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but on a real EMT time-course it shows no graded temporal-emergence advantage over a linear model.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Nodes are molecules, chromatin features, or response programs; edges are literature activation/inhibition relations. The GNN sees only the binary graph STRUCTURE (edge signs and weights are never exposed), a cell's measured gene activity injected onto the corresponding nodes, and it reads out a program via message passing. Three theory mechanisms are built in and independently ablatable: (i) intrinsic memory is re-injected every message-passing round (persistent, strong) while the cue decays (transient, weak); (ii) a plasticity input scales the cue's influence; (iii) a winner-take-all step sharpens toward one attractor program. A hybrid residual (a linear map from the raw node vector to the class logits) guarantees the model is at least as expressive as a linear classifier. Message passing is vectorized over relations for efficiency.</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and the attractor off (an honest graded classifier, no forced fate), isolating structure as the only variable: the full KG-GNN vs the IDENTICAL network with the graph edges removed (kg_gnn_noedges) — same architecture, capacity, features, and markers. 5-fold x 3-seed grouped CV; paired Wilcoxon over the same seed x fold splits.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Model (markers in all)</w:t>
            </w:r>
          </w:p>
        </w:tc>
        <w:tc>
          <w:tcPr>
            <w:tcW w:type="dxa" w:w="2880"/>
          </w:tcPr>
          <w:p>
            <w:r/>
            <w:r>
              <w:rPr>
                <w:b/>
                <w:sz w:val="19"/>
              </w:rPr>
              <w:t>macro-AUPRC</w:t>
            </w:r>
          </w:p>
        </w:tc>
        <w:tc>
          <w:tcPr>
            <w:tcW w:type="dxa" w:w="2880"/>
          </w:tcPr>
          <w:p>
            <w:r/>
            <w:r>
              <w:rPr>
                <w:b/>
                <w:sz w:val="19"/>
              </w:rPr>
              <w:t>vs KG-GNN (paired)</w:t>
            </w:r>
          </w:p>
        </w:tc>
      </w:tr>
      <w:tr>
        <w:tc>
          <w:tcPr>
            <w:tcW w:type="dxa" w:w="2880"/>
          </w:tcPr>
          <w:p>
            <w:r/>
            <w:r>
              <w:rPr>
                <w:sz w:val="19"/>
              </w:rPr>
              <w:t>KG-GNN (markers + structure)</w:t>
            </w:r>
          </w:p>
        </w:tc>
        <w:tc>
          <w:tcPr>
            <w:tcW w:type="dxa" w:w="2880"/>
          </w:tcPr>
          <w:p>
            <w:r/>
            <w:r>
              <w:rPr>
                <w:sz w:val="19"/>
              </w:rPr>
              <w:t>0.473</w:t>
            </w:r>
          </w:p>
        </w:tc>
        <w:tc>
          <w:tcPr>
            <w:tcW w:type="dxa" w:w="2880"/>
          </w:tcPr>
          <w:p>
            <w:r/>
            <w:r>
              <w:rPr>
                <w:sz w:val="19"/>
              </w:rPr>
              <w:t>—</w:t>
            </w:r>
          </w:p>
        </w:tc>
      </w:tr>
      <w:tr>
        <w:tc>
          <w:tcPr>
            <w:tcW w:type="dxa" w:w="2880"/>
          </w:tcPr>
          <w:p>
            <w:r/>
            <w:r>
              <w:rPr>
                <w:sz w:val="19"/>
              </w:rPr>
              <w:t>KG-GNN, edges removed (markers, no structure)</w:t>
            </w:r>
          </w:p>
        </w:tc>
        <w:tc>
          <w:tcPr>
            <w:tcW w:type="dxa" w:w="2880"/>
          </w:tcPr>
          <w:p>
            <w:r/>
            <w:r>
              <w:rPr>
                <w:sz w:val="19"/>
              </w:rPr>
              <w:t>0.392</w:t>
            </w:r>
          </w:p>
        </w:tc>
        <w:tc>
          <w:tcPr>
            <w:tcW w:type="dxa" w:w="2880"/>
          </w:tcPr>
          <w:p>
            <w:r/>
            <w:r>
              <w:rPr>
                <w:sz w:val="19"/>
              </w:rPr>
              <w:t>+0.082, p=0.015 *</w:t>
            </w:r>
          </w:p>
        </w:tc>
      </w:tr>
      <w:tr>
        <w:tc>
          <w:tcPr>
            <w:tcW w:type="dxa" w:w="2880"/>
          </w:tcPr>
          <w:p>
            <w:r/>
            <w:r>
              <w:rPr>
                <w:sz w:val="19"/>
              </w:rPr>
              <w:t>Logistic regression (no structure)</w:t>
            </w:r>
          </w:p>
        </w:tc>
        <w:tc>
          <w:tcPr>
            <w:tcW w:type="dxa" w:w="2880"/>
          </w:tcPr>
          <w:p>
            <w:r/>
            <w:r>
              <w:rPr>
                <w:sz w:val="19"/>
              </w:rPr>
              <w:t>0.397</w:t>
            </w:r>
          </w:p>
        </w:tc>
        <w:tc>
          <w:tcPr>
            <w:tcW w:type="dxa" w:w="2880"/>
          </w:tcPr>
          <w:p>
            <w:r/>
            <w:r>
              <w:rPr>
                <w:sz w:val="19"/>
              </w:rPr>
              <w:t>+0.089, p=0.018 *</w:t>
            </w:r>
          </w:p>
        </w:tc>
      </w:tr>
      <w:tr>
        <w:tc>
          <w:tcPr>
            <w:tcW w:type="dxa" w:w="2880"/>
          </w:tcPr>
          <w:p>
            <w:r/>
            <w:r>
              <w:rPr>
                <w:sz w:val="19"/>
              </w:rPr>
              <w:t>Random forest (no structure)</w:t>
            </w:r>
          </w:p>
        </w:tc>
        <w:tc>
          <w:tcPr>
            <w:tcW w:type="dxa" w:w="2880"/>
          </w:tcPr>
          <w:p>
            <w:r/>
            <w:r>
              <w:rPr>
                <w:sz w:val="19"/>
              </w:rPr>
              <w:t>0.405</w:t>
            </w:r>
          </w:p>
        </w:tc>
        <w:tc>
          <w:tcPr>
            <w:tcW w:type="dxa" w:w="2880"/>
          </w:tcPr>
          <w:p>
            <w:r/>
            <w:r>
              <w:rPr>
                <w:sz w:val="19"/>
              </w:rPr>
              <w:t>+0.059, p=0.015 *</w:t>
            </w:r>
          </w:p>
        </w:tc>
      </w:tr>
    </w:tbl>
    <w:p>
      <w:pPr>
        <w:spacing w:after="40"/>
      </w:pPr>
    </w:p>
    <w:p>
      <w:r>
        <w:rPr>
          <w:i/>
          <w:color w:val="555555"/>
          <w:sz w:val="20"/>
        </w:rPr>
        <w:t>With markers held equal, adding the regulatory graph SIGNIFICANTLY improves program probability-ranking (+0.082 AUPRC, p=0.015). The control is decisive: removing the graph from the same network drops it to 0.392 — right onto the logistic-regression level (0.397) — so the structure, not capacity or features, is the lever. The KG-GNN also significantly beats both external structureless baselines. Scope: the gain is specific to AUPRC (ranking); on prog-recall the arms tie (p~1.0). Claim: layered regulatory structure significantly improves the model's ranking of the correct program, markers held equal — a direct, controlled test of the theory. (Attractor off; the winner-take-all sharpening, when on, saturates probabilities and erases this graded ranking signal — see 3.4.)</w:t>
      </w:r>
    </w:p>
    <w:p>
      <w:pPr>
        <w:pStyle w:val="Heading2"/>
      </w:pPr>
      <w:r>
        <w:t>3.3b Cross-dataset classification vs baselines (no-markers view)</w:t>
      </w:r>
    </w:p>
    <w:p>
      <w:pPr>
        <w:spacing w:after="120"/>
      </w:pPr>
      <w:r>
        <w:t>Widened inputs, 5-fold x 3-seed grouped CV, markers removed, class-weighted (mean +/- std over the 15 seed x fold estimates). The KG-GNN is the top model on macro-AUPRC — the metric that matters for imbalanced multiclass — by a consistent ~19% relative margin, while trailing on the argmax metrics at this compute budget.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w:t>
            </w:r>
          </w:p>
        </w:tc>
        <w:tc>
          <w:tcPr>
            <w:tcW w:type="dxa" w:w="1728"/>
          </w:tcPr>
          <w:p>
            <w:r/>
            <w:r>
              <w:rPr>
                <w:sz w:val="19"/>
              </w:rPr>
              <w:t>0.270 +/-0.13</w:t>
            </w:r>
          </w:p>
        </w:tc>
        <w:tc>
          <w:tcPr>
            <w:tcW w:type="dxa" w:w="1728"/>
          </w:tcPr>
          <w:p>
            <w:r/>
            <w:r>
              <w:rPr>
                <w:sz w:val="19"/>
              </w:rPr>
              <w:t>0.319 +/-0.10</w:t>
            </w:r>
          </w:p>
        </w:tc>
        <w:tc>
          <w:tcPr>
            <w:tcW w:type="dxa" w:w="1728"/>
          </w:tcPr>
          <w:p>
            <w:r/>
            <w:r>
              <w:rPr>
                <w:sz w:val="19"/>
              </w:rPr>
              <w:t>0.136 +/-0.05</w:t>
            </w:r>
          </w:p>
        </w:tc>
        <w:tc>
          <w:tcPr>
            <w:tcW w:type="dxa" w:w="1728"/>
          </w:tcPr>
          <w:p>
            <w:r/>
            <w:r>
              <w:rPr>
                <w:sz w:val="19"/>
              </w:rPr>
              <w:t>0.472 +/-0.11</w:t>
            </w:r>
          </w:p>
        </w:tc>
      </w:tr>
      <w:tr>
        <w:tc>
          <w:tcPr>
            <w:tcW w:type="dxa" w:w="1728"/>
          </w:tcPr>
          <w:p>
            <w:r/>
            <w:r>
              <w:rPr>
                <w:sz w:val="19"/>
              </w:rPr>
              <w:t>Random forest</w:t>
            </w:r>
          </w:p>
        </w:tc>
        <w:tc>
          <w:tcPr>
            <w:tcW w:type="dxa" w:w="1728"/>
          </w:tcPr>
          <w:p>
            <w:r/>
            <w:r>
              <w:rPr>
                <w:sz w:val="19"/>
              </w:rPr>
              <w:t>0.324 +/-0.16</w:t>
            </w:r>
          </w:p>
        </w:tc>
        <w:tc>
          <w:tcPr>
            <w:tcW w:type="dxa" w:w="1728"/>
          </w:tcPr>
          <w:p>
            <w:r/>
            <w:r>
              <w:rPr>
                <w:sz w:val="19"/>
              </w:rPr>
              <w:t>0.377 +/-0.12</w:t>
            </w:r>
          </w:p>
        </w:tc>
        <w:tc>
          <w:tcPr>
            <w:tcW w:type="dxa" w:w="1728"/>
          </w:tcPr>
          <w:p>
            <w:r/>
            <w:r>
              <w:rPr>
                <w:sz w:val="19"/>
              </w:rPr>
              <w:t>0.194 +/-0.06</w:t>
            </w:r>
          </w:p>
        </w:tc>
        <w:tc>
          <w:tcPr>
            <w:tcW w:type="dxa" w:w="1728"/>
          </w:tcPr>
          <w:p>
            <w:r/>
            <w:r>
              <w:rPr>
                <w:sz w:val="19"/>
              </w:rPr>
              <w:t>0.397 +/-0.13</w:t>
            </w:r>
          </w:p>
        </w:tc>
      </w:tr>
      <w:tr>
        <w:tc>
          <w:tcPr>
            <w:tcW w:type="dxa" w:w="1728"/>
          </w:tcPr>
          <w:p>
            <w:r/>
            <w:r>
              <w:rPr>
                <w:sz w:val="19"/>
              </w:rPr>
              <w:t>Logistic regression</w:t>
            </w:r>
          </w:p>
        </w:tc>
        <w:tc>
          <w:tcPr>
            <w:tcW w:type="dxa" w:w="1728"/>
          </w:tcPr>
          <w:p>
            <w:r/>
            <w:r>
              <w:rPr>
                <w:sz w:val="19"/>
              </w:rPr>
              <w:t>0.307 +/-0.18</w:t>
            </w:r>
          </w:p>
        </w:tc>
        <w:tc>
          <w:tcPr>
            <w:tcW w:type="dxa" w:w="1728"/>
          </w:tcPr>
          <w:p>
            <w:r/>
            <w:r>
              <w:rPr>
                <w:sz w:val="19"/>
              </w:rPr>
              <w:t>0.365 +/-0.13</w:t>
            </w:r>
          </w:p>
        </w:tc>
        <w:tc>
          <w:tcPr>
            <w:tcW w:type="dxa" w:w="1728"/>
          </w:tcPr>
          <w:p>
            <w:r/>
            <w:r>
              <w:rPr>
                <w:sz w:val="19"/>
              </w:rPr>
              <w:t>0.161 +/-0.05</w:t>
            </w:r>
          </w:p>
        </w:tc>
        <w:tc>
          <w:tcPr>
            <w:tcW w:type="dxa" w:w="1728"/>
          </w:tcPr>
          <w:p>
            <w:r/>
            <w:r>
              <w:rPr>
                <w:sz w:val="19"/>
              </w:rPr>
              <w:t>0.396 +/-0.16</w:t>
            </w:r>
          </w:p>
        </w:tc>
      </w:tr>
      <w:tr>
        <w:tc>
          <w:tcPr>
            <w:tcW w:type="dxa" w:w="1728"/>
          </w:tcPr>
          <w:p>
            <w:r/>
            <w:r>
              <w:rPr>
                <w:sz w:val="19"/>
              </w:rPr>
              <w:t>Gradient boosting</w:t>
            </w:r>
          </w:p>
        </w:tc>
        <w:tc>
          <w:tcPr>
            <w:tcW w:type="dxa" w:w="1728"/>
          </w:tcPr>
          <w:p>
            <w:r/>
            <w:r>
              <w:rPr>
                <w:sz w:val="19"/>
              </w:rPr>
              <w:t>0.211 +/-0.12</w:t>
            </w:r>
          </w:p>
        </w:tc>
        <w:tc>
          <w:tcPr>
            <w:tcW w:type="dxa" w:w="1728"/>
          </w:tcPr>
          <w:p>
            <w:r/>
            <w:r>
              <w:rPr>
                <w:sz w:val="19"/>
              </w:rPr>
              <w:t>0.345 +/-0.09</w:t>
            </w:r>
          </w:p>
        </w:tc>
        <w:tc>
          <w:tcPr>
            <w:tcW w:type="dxa" w:w="1728"/>
          </w:tcPr>
          <w:p>
            <w:r/>
            <w:r>
              <w:rPr>
                <w:sz w:val="19"/>
              </w:rPr>
              <w:t>0.173 +/-0.05</w:t>
            </w:r>
          </w:p>
        </w:tc>
        <w:tc>
          <w:tcPr>
            <w:tcW w:type="dxa" w:w="1728"/>
          </w:tcPr>
          <w:p>
            <w:r/>
            <w:r>
              <w:rPr>
                <w:sz w:val="19"/>
              </w:rPr>
              <w:t>0.392 +/-0.16</w:t>
            </w:r>
          </w:p>
        </w:tc>
      </w:tr>
      <w:tr>
        <w:tc>
          <w:tcPr>
            <w:tcW w:type="dxa" w:w="1728"/>
          </w:tcPr>
          <w:p>
            <w:r/>
            <w:r>
              <w:rPr>
                <w:sz w:val="19"/>
              </w:rPr>
              <w:t>Majority class</w:t>
            </w:r>
          </w:p>
        </w:tc>
        <w:tc>
          <w:tcPr>
            <w:tcW w:type="dxa" w:w="1728"/>
          </w:tcPr>
          <w:p>
            <w:r/>
            <w:r>
              <w:rPr>
                <w:sz w:val="19"/>
              </w:rPr>
              <w:t>0.000</w:t>
            </w:r>
          </w:p>
        </w:tc>
        <w:tc>
          <w:tcPr>
            <w:tcW w:type="dxa" w:w="1728"/>
          </w:tcPr>
          <w:p>
            <w:r/>
            <w:r>
              <w:rPr>
                <w:sz w:val="19"/>
              </w:rPr>
              <w:t>0.220 +/-0.02</w:t>
            </w:r>
          </w:p>
        </w:tc>
        <w:tc>
          <w:tcPr>
            <w:tcW w:type="dxa" w:w="1728"/>
          </w:tcPr>
          <w:p>
            <w:r/>
            <w:r>
              <w:rPr>
                <w:sz w:val="19"/>
              </w:rPr>
              <w:t>0.138 +/-0.02</w:t>
            </w:r>
          </w:p>
        </w:tc>
        <w:tc>
          <w:tcPr>
            <w:tcW w:type="dxa" w:w="1728"/>
          </w:tcPr>
          <w:p>
            <w:r/>
            <w:r>
              <w:rPr>
                <w:sz w:val="19"/>
              </w:rPr>
              <w:t>0.154 +/-0.04</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Logistic regression</w:t>
            </w:r>
          </w:p>
        </w:tc>
        <w:tc>
          <w:tcPr>
            <w:tcW w:type="dxa" w:w="2880"/>
          </w:tcPr>
          <w:p>
            <w:r/>
            <w:r>
              <w:rPr>
                <w:sz w:val="19"/>
              </w:rPr>
              <w:t>+0.069</w:t>
            </w:r>
          </w:p>
        </w:tc>
        <w:tc>
          <w:tcPr>
            <w:tcW w:type="dxa" w:w="2880"/>
          </w:tcPr>
          <w:p>
            <w:r/>
            <w:r>
              <w:rPr>
                <w:sz w:val="19"/>
              </w:rPr>
              <w:t>0.008 (significant)</w:t>
            </w:r>
          </w:p>
        </w:tc>
      </w:tr>
      <w:tr>
        <w:tc>
          <w:tcPr>
            <w:tcW w:type="dxa" w:w="2880"/>
          </w:tcPr>
          <w:p>
            <w:r/>
            <w:r>
              <w:rPr>
                <w:sz w:val="19"/>
              </w:rPr>
              <w:t>Random forest</w:t>
            </w:r>
          </w:p>
        </w:tc>
        <w:tc>
          <w:tcPr>
            <w:tcW w:type="dxa" w:w="2880"/>
          </w:tcPr>
          <w:p>
            <w:r/>
            <w:r>
              <w:rPr>
                <w:sz w:val="19"/>
              </w:rPr>
              <w:t>+0.058</w:t>
            </w:r>
          </w:p>
        </w:tc>
        <w:tc>
          <w:tcPr>
            <w:tcW w:type="dxa" w:w="2880"/>
          </w:tcPr>
          <w:p>
            <w:r/>
            <w:r>
              <w:rPr>
                <w:sz w:val="19"/>
              </w:rPr>
              <w:t>0.018 (significant)</w:t>
            </w:r>
          </w:p>
        </w:tc>
      </w:tr>
      <w:tr>
        <w:tc>
          <w:tcPr>
            <w:tcW w:type="dxa" w:w="2880"/>
          </w:tcPr>
          <w:p>
            <w:r/>
            <w:r>
              <w:rPr>
                <w:sz w:val="19"/>
              </w:rPr>
              <w:t>Majority</w:t>
            </w:r>
          </w:p>
        </w:tc>
        <w:tc>
          <w:tcPr>
            <w:tcW w:type="dxa" w:w="2880"/>
          </w:tcPr>
          <w:p>
            <w:r/>
            <w:r>
              <w:rPr>
                <w:sz w:val="19"/>
              </w:rPr>
              <w:t>+0.278</w:t>
            </w:r>
          </w:p>
        </w:tc>
        <w:tc>
          <w:tcPr>
            <w:tcW w:type="dxa" w:w="2880"/>
          </w:tcPr>
          <w:p>
            <w:r/>
            <w:r>
              <w:rPr>
                <w:sz w:val="19"/>
              </w:rPr>
              <w:t>0.0001 (significant)</w:t>
            </w:r>
          </w:p>
        </w:tc>
      </w:tr>
    </w:tbl>
    <w:p>
      <w:pPr>
        <w:spacing w:after="40"/>
      </w:pPr>
    </w:p>
    <w:p>
      <w:r>
        <w:rPr>
          <w:i/>
          <w:color w:val="555555"/>
          <w:sz w:val="20"/>
        </w:rPr>
        <w:t>The KG-GNN's macro-AUPRC advantage over both strong baselines is STATISTICALLY SIGNIFICANT (p&lt;0.02) on the paired test. The marginal +/-1 std ranges overlap only because grouped-fold variance is large; paired (same folds), the edge is significant. The advantage is specific to AUPRC (probability ranking): on prog-recall the model ties logistic regression (p=0.85) and beats random forest (p=1e-4). The edge is consistent across every configuration (single-seed 0.500, multi-seed 0.477); widening inputs (42-&gt;148 genes) lifted all models ~0.03-0.05 AUPRC. Argmax metrics trail at epochs-40 (under-convergence) and recover to competitive when converged (recall 0.437 / balanced-acc 0.382, single seed). Interpretation: structure improves program RANKING over structureless learners, significantly, while matching them on top-1 decisions.</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Model / config</w:t>
            </w:r>
          </w:p>
        </w:tc>
        <w:tc>
          <w:tcPr>
            <w:tcW w:type="dxa" w:w="4320"/>
          </w:tcPr>
          <w:p>
            <w:r/>
            <w:r>
              <w:rPr>
                <w:b/>
                <w:sz w:val="19"/>
              </w:rPr>
              <w:t>Spearman(P(EMT), time) among EMT-labelled cells</w:t>
            </w:r>
          </w:p>
        </w:tc>
      </w:tr>
      <w:tr>
        <w:tc>
          <w:tcPr>
            <w:tcW w:type="dxa" w:w="4320"/>
          </w:tcPr>
          <w:p>
            <w:r/>
            <w:r>
              <w:rPr>
                <w:sz w:val="19"/>
              </w:rPr>
              <w:t>Logistic regression</w:t>
            </w:r>
          </w:p>
        </w:tc>
        <w:tc>
          <w:tcPr>
            <w:tcW w:type="dxa" w:w="4320"/>
          </w:tcPr>
          <w:p>
            <w:r/>
            <w:r>
              <w:rPr>
                <w:sz w:val="19"/>
              </w:rPr>
              <w:t>+0.154 (p=2e-39) — graded</w:t>
            </w:r>
          </w:p>
        </w:tc>
      </w:tr>
      <w:tr>
        <w:tc>
          <w:tcPr>
            <w:tcW w:type="dxa" w:w="4320"/>
          </w:tcPr>
          <w:p>
            <w:r/>
            <w:r>
              <w:rPr>
                <w:sz w:val="19"/>
              </w:rPr>
              <w:t>KG-GNN, attractor ON</w:t>
            </w:r>
          </w:p>
        </w:tc>
        <w:tc>
          <w:tcPr>
            <w:tcW w:type="dxa" w:w="4320"/>
          </w:tcPr>
          <w:p>
            <w:r/>
            <w:r>
              <w:rPr>
                <w:sz w:val="19"/>
              </w:rPr>
              <w:t>+0.007 (p=0.56) — flat / null</w:t>
            </w:r>
          </w:p>
        </w:tc>
      </w:tr>
      <w:tr>
        <w:tc>
          <w:tcPr>
            <w:tcW w:type="dxa" w:w="4320"/>
          </w:tcPr>
          <w:p>
            <w:r/>
            <w:r>
              <w:rPr>
                <w:sz w:val="19"/>
              </w:rPr>
              <w:t>KG-GNN, attractor OFF</w:t>
            </w:r>
          </w:p>
        </w:tc>
        <w:tc>
          <w:tcPr>
            <w:tcW w:type="dxa" w:w="4320"/>
          </w:tcPr>
          <w:p>
            <w:r/>
            <w:r>
              <w:rPr>
                <w:sz w:val="19"/>
              </w:rPr>
              <w:t>-0.040 (p=7e-04) — flat</w:t>
            </w:r>
          </w:p>
        </w:tc>
      </w:tr>
    </w:tbl>
    <w:p>
      <w:pPr>
        <w:spacing w:after="40"/>
      </w:pPr>
    </w:p>
    <w:p>
      <w:r>
        <w:rPr>
          <w:i/>
          <w:color w:val="555555"/>
          <w:sz w:val="20"/>
        </w:rPr>
        <w:t>Negative result, reported for completeness. On real time-course data the KG-GNN does not read graded temporal emergence (flat), while the linear model does (weakly). We hypothesized the winner-take-all attractor was flattening the continuum and tested it: turning the attractor off did not recover the gradient, so that hypothesis is rejected. The theory's temporal prediction is thus supported in simulation but not by the structured model on this real course.</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1" name="Picture 1"/>
            <wp:cNvGraphicFramePr>
              <a:graphicFrameLocks noChangeAspect="1"/>
            </wp:cNvGraphicFramePr>
            <a:graphic>
              <a:graphicData uri="http://schemas.openxmlformats.org/drawingml/2006/picture">
                <pic:pic>
                  <pic:nvPicPr>
                    <pic:cNvPr id="0" name="importance_heatmap.png"/>
                    <pic:cNvPicPr/>
                  </pic:nvPicPr>
                  <pic:blipFill>
                    <a:blip r:embed="rId9"/>
                    <a:stretch>
                      <a:fillRect/>
                    </a:stretch>
                  </pic:blipFill>
                  <pic:spPr>
                    <a:xfrm>
                      <a:off x="0" y="0"/>
                      <a:ext cx="4572000" cy="6035040"/>
                    </a:xfrm>
                    <a:prstGeom prst="rect"/>
                  </pic:spPr>
                </pic:pic>
              </a:graphicData>
            </a:graphic>
          </wp:inline>
        </w:drawing>
      </w:r>
    </w:p>
    <w:p>
      <w:pPr>
        <w:jc w:val="center"/>
      </w:pPr>
      <w:r>
        <w:rPr>
          <w:i/>
          <w:sz w:val="18"/>
        </w:rPr>
        <w:t>Figure 1.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is a de-repression switch, which yields a sign-specific prediction: HDAC4/5 knockdown should ENHANCE the program (and substitute for the cue), while CaMKII/PKD blockade should ABOLISH stretch-induced hypertrophy. An in-silico node-perturbation test of this direction is implemented; the converged-model run is [pending]. Wet-lab validation path: KN-93 (CaMKII inhibition) and HDAC4/5 knockdown in NRVM / hiPSC-CM.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The theory's temporal-integration prediction is the clearest negative: in simulation the plasticity-gated, hysteretic behavior emerges by construction, but on a real EMT time-course the structured model shows no graded temporal advantage over a linear model, and the attractor mechanism is not the cause. This tempers claims that the model's dynamics capture real temporal commitment, and marks a target for future architectures (e.g. explicit trajectory supervision).</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AUPRC edge is consistent but not yet formally significant from the pooled summary; the paired per-fold test and a converged (epochs-120) multi-seed run are pending (GPU).</w:t>
      </w:r>
    </w:p>
    <w:p>
      <w:pPr>
        <w:pStyle w:val="ListBullet"/>
      </w:pPr>
      <w:r>
        <w:t>On real time-course data the model shows no temporal-continuum advantage over a linear model.</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~0.48 vs ~0.40 baselines, paired p&lt;0.02) on the hard cross-dataset-transfer regime; it matches baselines on top-1 metrics once converged, recovers known regulators, and reproduces the theory's plasticity-gated dynamics in simulation. The stronger claims — a decisive classification win and a real-data temporal-integration advantage — are not supported, and we report those negatives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