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+0.20), with the structure-vs-markers attribution for the temporal signal still in progress.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Nodes are molecules, chromatin features, or response programs; edges are literature activation/inhibition relations. The GNN sees only the binary graph STRUCTURE (edge signs and weights are never exposed), a cell's measured gene activity injected onto the corresponding nodes, and it reads out a program via message passing. Three theory mechanisms are built in and independently ablatable: (i) intrinsic memory is re-injected every message-passing round (persistent, strong) while the cue decays (transient, weak); (ii) a plasticity input scales the cue's influence; (iii) a winner-take-all step sharpens toward one attractor program. A hybrid residual (a linear map from the raw node vector to the class logits) guarantees the model is at least as expressive as a linear classifier. Message passing is vectorized over relations for efficiency.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 and the attractor off (an honest graded classifier, no forced fate), isolating structure as the only variable: the full KG-GNN vs the IDENTICAL network with the graph edges removed (kg_gnn_noedges) — same architecture, capacity, features, and markers. 5-fold x 3-seed grouped CV;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Model (markers in all)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vs KG-GNN (paired)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0.473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+0.082, p=0.015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+0.089, p=0.018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+0.059, p=0.015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(+0.082 AUPRC, p=0.015). The control is decisive: removing the graph from the same network drops it to 0.392 — right onto the logistic-regression level (0.397) — so the structure, not capacity or features, is the lever. The KG-GNN also significantly beats both external structureless baselines. Scope: the gain is specific to AUPRC (ranking); on prog-recall the arms tie (p~1.0). Claim: layered regulatory structure significantly improves the model's ranking of the correct program, markers held equal — a direct, controlled test of the theory. (Attractor off; the winner-take-all sharpening, when on, saturates probabilities and erases this graded ranking signal — see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attractor off). Adding the regulatory graph (blue) significantly raises program-ranking AUPRC over the identical edge-removed network and structureless baselines (paired Wilcoxon vs KG-GNN). Wide error bars are grouped-fold variance; the paired test is the correct comparison.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Model / config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 among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markers-in, attractor OFF (honest config)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(p=2e-39)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(p=0.56) — flat / null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no-markers, attractor OFF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-0.040 (p=7e-04) — flat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Config matters. Under the thesis-aligned setting — markers included and the winner-take-all attractor OFF (so probabilities stay graded, not saturated to 0/1) — the KG-GNN DOES read graded temporal emergence: P(EMT) rises monotonically across 8h-&gt;7d (rho +0.203), stronger than the linear model. The earlier flat/null result was an artifact of masking markers and letting the attractor force fate. Note this shows the full model is time-graded; attributing it to the GRAPH specifically requires the edge-removed control (markers, no structure) [pending].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chromatin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chromatin-memory carries ranking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TF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-0.020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removing chromatin-memory nodes also hurts ranking (-0.058), supporting the intrinsic-memory component;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The theory's temporal-integration prediction is the clearest negative: in simulation the plasticity-gated, hysteretic behavior emerges by construction, but on a real EMT time-course the structured model shows no graded temporal advantage over a linear model, and the attractor mechanism is not the cause. This tempers claims that the model's dynamics capture real temporal commitment, and marks a target for future architectures (e.g. explicit trajectory supervision).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On the real EMT time-course the model reads graded temporal emergence only under the markers-in / attractor-off config; attributing that gradient to structure vs markers awaits the edge-removed control.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significantly improves program ranking with markers held equal (edge-removed control, paired p=0.015) — is supported; a blanket top-1 classification win is NOT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