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 that COLLAPSES to +0.03 when the graph is removed, a second structure-isolation confirmation (this time on the temporal axis) that regulatory structure, not markers, drives the signal.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The model's objective is to predict a cell's response-program (pathway) state from its measured gene activity over the regulatory graph. Nodes are molecules, chromatin features, or response programs; edges are literature activation/inhibition relations. The GNN sees only the binary graph STRUCTURE (edge signs/weights are never exposed) plus the cell's expression injected onto nodes, and reads out a program via message passing. A hybrid residual (a linear map from the raw node vector to the class logits) guarantees it is at least as expressive as a linear classifier; message passing is vectorized over relations.</w:t>
      </w:r>
    </w:p>
    <w:p>
      <w:pPr>
        <w:spacing w:after="120"/>
      </w:pPr>
      <w:r>
        <w:t>Intrinsic memory formulation. We evaluated two formulations of how lineage/chromatin memory enters the model. The INITIAL formulation re-injected intrinsic memory as a strong signal every message-passing round (with a decaying cue and a plasticity term scaling cue influence, and a winner-take-all attractor step) — effectively adding a secondary autoregulation mechanism on top of the pathway prediction. The PREFERRED formulation (Section 3.7) reframes memory as transition RESISTANCE: memory sets the barrier a cue must overcome to leave the current attractor, plasticity LOWERS that barrier (rather than amplifying the cue), and a soft/graded attractor replaces winner-take-all. All of these are independently ablatable so the contribution of each can be measured; leakage controls are identical across formulations.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 This edge does not shrink as the program set grows — on a 19-program pool it widens and extends to top-1 metrics (Section 3.8).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Config (EMT time-course, markers-in, attractor OFF)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 + regulatory structure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+0.033 (p=5e-03) — flat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— flat / null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A SECOND structure-isolation result, on the temporal axis. Under the thesis-aligned setting (markers in, winner-take-all attractor OFF so probabilities stay graded) the KG-GNN reads graded temporal emergence — P(EMT) rises monotonically across 8h-&gt;7d (rho +0.203). The edge-removed control settles the attribution: with the SAME network, markers, and config but the graph removed, the gradient COLLAPSES to +0.033 (near-flat). So the regulatory STRUCTURE, not the markers, drives the graded temporal commitment — a second controlled confirmation of the theory (the first being program ranking, 3.3). The attractor must be off: its winner-take-all sharpening saturates probabilities to 0/1 and erases this graded signal (the earlier flat/null results were the masked-markers + attractor-on config).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2"/>
      </w:pPr>
      <w:r>
        <w:t>3.7 Architecture: intrinsic memory as transition resistance</w:t>
      </w:r>
    </w:p>
    <w:p>
      <w:pPr>
        <w:spacing w:after="120"/>
      </w:pPr>
      <w:r>
        <w:t>Reframing intrinsic memory as transition RESISTANCE — the barrier a cue must overcome to leave the current attractor — rather than a re-injected default signal, keeps the model focused on its objective (predicting the pathway program) instead of imposing a secondary autoregulation mechanism. Resistance is computed per cell from lineage-TF, chromatin, and current-program states; plasticity lowers it; the state updates as resistance*current + (1-resistance)*candidate, and a soft (graded) attractor replaces winner-take-all. We compared the two formulations on an expanded 13-program pool (adding T-cell exhaustion as a genuine-generalization stress test), markers included in all arms, identical grouped folds/seeds and leakage controls.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metric (13-program, markers-in)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initial re-injection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resistance-gated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0.509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0.526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balanced accuracy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0.372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macro-F1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0.177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0.192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program recall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0.351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0.349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structure benefit vs edge-removed (AUPRC)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+0.085 (p=0.0015)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+0.130 (p=0.0002)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resistance formulation improves the top-1 metrics the initial formulation only matched (balanced accuracy +0.031, macro-F1 +0.015) at equal-or-better AUPRC, and — the key point — it WIDENS the benefit of regulatory structure: the graph's edge-removed AUPRC advantage grows from +0.085 to +0.130 (more significant), and structure begins to help program recall (which it did not under re-injection). In both formulations the edge-removed model collapses to the logistic-regression level (~0.39), confirming the graph is the lever. Interpretation: scoping memory as inertia (not a re-injected default) lets the regulatory graph contribute more to pathway prediction, consistent with the theory that lineage/chromatin context sets a transition barrier rather than a fixed bias. Caveats: the gains are modest and from a single configuration (plasticity-as-barrier-lowering, soft attractor); the folds are shared so the means are comparable but a formal paired test between formulations is future work; and the 13-program pool adds a cleanly separable program (exhaustion) that raises absolute AUPRC independent of architecture, so the controlled quantities are the within-pool structure benefit and top-1 deltas, not the absolute AUPRC vs the 12-program sections above.</w:t>
      </w:r>
    </w:p>
    <w:p>
      <w:pPr>
        <w:pStyle w:val="Heading2"/>
      </w:pPr>
      <w:r>
        <w:t>3.8 The structure advantage scales with program diversity</w:t>
      </w:r>
    </w:p>
    <w:p>
      <w:pPr>
        <w:spacing w:after="120"/>
      </w:pPr>
      <w:r>
        <w:t>To test whether the structure benefit is an artifact of a small program set, we tripled program breadth: seven additional curated cue-&gt;cell-state-transition datasets were ingested (intestinal differentiation, germinal-center B-cell, T-follicular-helper and regulatory-T fates, trophoblast differentiation, adipogenesis, and endothelial-to-mesenchymal transition), each with real per-cell or condition labels and a knowledge-graph cascade, taking the pool to 19 programs / 20 classes / 27,392 cells. We reran the identical converged resistance-gated configuration (hidden 128, 8 steps, 120 epochs), grouped 5-fold x 3-seed, markers in all arms, with the edge-removed structure control.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 (19-program, markers-in)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bal-acc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prog-rec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KG-GNN, edges removed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0.537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0.166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On the same seed x fold splits (paired Wilcoxon), the KG-GNN significantly beats logistic regression (+0.270 AUPRC, p=0.0003; +0.090 program recall, p=0.0001), random forest (+0.259 / +0.256), and — the controlled comparison — its own edge-removed twin (+0.282 AUPRC, p=0.0001; +0.096 recall). The key observation is how the gap arose: the KG-GNN's AUPRC is essentially unchanged from the 12/13-program pool (0.53 -&gt; 0.54), while the structureless models degrade sharply as programs triple (logistic regression, random forest, and the edge-removed network all fall from ~0.40 to ~0.29). Regulatory structure thus buys ROBUSTNESS to program diversity: it sustains ranking quality where flat learners do not, and the advantage — ranking-only and modest on 12 programs — now also covers top-1 (balanced accuracy, program recall) and is roughly quadrupled (+0.07 -&gt; +0.28). The edge-removed model again collapsing onto logistic regression confirms the graph, not features or capacity, is the lever, and rules out the new single-source programs leaking via batch identity (the edge-removed twin shares that information and does not exploit it; cue nodes are off throughout, so no cue-gating). The finding is NOT architecture-specific: repeating it with the initial re-injection formulation (arch=toggle, attractor off) on a 20-program pool gives the same picture — KG-GNN AUPRC 0.579 vs logistic regression 0.302 / random forest 0.305 / edge-removed 0.335, i.e. +0.240 over logistic regression and +0.238 over the edge-removed control (both paired p=0.0001), again also leading top-1. So across two architectures and two pool sizes (19 and 20 programs), regulatory structure sustains ranking where structureless models degrade. Caveats: large grouped-fold variance (+/-0.11), and several added programs are single-source, so grouped-split cannot test transfer TO them.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Two architectural findings shaped the result, and both point to mis-scoped MECHANISM rather than a failure of the graph. First, the winner-take-all attractor saturated probabilities and erased graded temporal signal; a soft (graded) attractor recovered graded temporal emergence on the real EMT course, and an edge-removed control showed the regulatory graph — not the markers — drives it (rho +0.20 with structure vs +0.03 without). Second, reframing intrinsic memory as transition resistance rather than a re-injected default (Section 3.7) improved top-1 metrics and widened the structure benefit. Together these suggest the model's earlier ceilings were partly artifacts of over-strong mechanisms (hard winner-take-all, forced memory re-injection): better biological scoping let the regulatory structure contribute more — on ranking, top-1, and temporally — under honest grouped-dataset evaluation. The gains are modest, and on cross-dataset classification the model remains competitive rather than dominant; but the direction consistently supports the theory that lineage/chromatin context sets a transition barrier the cue must overcome.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The temporal-emergence result is on a single EMT time-course and requires the attractor off (WTA sharpening erases the graded signal); multi-dataset temporal validation is future work.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ListBullet"/>
      </w:pPr>
      <w:r>
        <w:t>The program-diversity scaling result (3.8) is confirmed across two architectures (resistance and re-injection) but several added programs are single-source, so grouped-split cannot test transfer TO them; fold variance is large (+/-0.11).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adds value on top of markers — is supported by TWO independent edge-removed controls (markers held equal): it significantly improves program ranking (+0.082 AUPRC, paired p=0.015) and it drives graded temporal emergence (rho +0.20 with structure vs +0.03 without). This ranking advantage does not depend on a small program set: tripling breadth to 19 programs WIDENS it to +0.28 AUPRC over the edge-removed control (paired p=0.0001) and extends it to top-1 metrics, because structure sustains ranking quality where flat learners degrade with program count — confirmed across two architectures (Section 3.8). A blanket top-1 classification win is NOT claimed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