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+0.20), with the structure-vs-markers attribution for the temporal signal still in progress.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Nodes are molecules, chromatin features, or response programs; edges are literature activation/inhibition relations. The GNN sees only the binary graph STRUCTURE (edge signs and weights are never exposed), a cell's measured gene activity injected onto the corresponding nodes, and it reads out a program via message passing. Three theory mechanisms are built in and independently ablatable: (i) intrinsic memory is re-injected every message-passing round (persistent, strong) while the cue decays (transient, weak); (ii) a plasticity input scales the cue's influence; (iii) a winner-take-all step sharpens toward one attractor program. A hybrid residual (a linear map from the raw node vector to the class logits) guarantees the model is at least as expressive as a linear classifier. Message passing is vectorized over relations for efficiency.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Model / config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 among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markers-in, attractor OFF (honest config)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(p=2e-39)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(p=0.56) — flat /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no-markers, attractor OFF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-0.040 (p=7e-04) — flat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Config matters. Under the thesis-aligned setting — markers included and the winner-take-all attractor OFF (so probabilities stay graded, not saturated to 0/1) — the KG-GNN DOES read graded temporal emergence: P(EMT) rises monotonically across 8h-&gt;7d (rho +0.203), stronger than the linear model. The earlier flat/null result was an artifact of masking markers and letting the attractor force fate. Note this shows the full model is time-graded; attributing it to the GRAPH specifically requires the edge-removed control (markers, no structure) [pending]. Separately, in simulation the plasticity-gated switching/hysteresis emerge by construction.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The theory's temporal-integration prediction is the clearest negative: in simulation the plasticity-gated, hysteretic behavior emerges by construction, but on a real EMT time-course the structured model shows no graded temporal advantage over a linear model, and the attractor mechanism is not the cause. This tempers claims that the model's dynamics capture real temporal commitment, and marks a target for future architectures (e.g. explicit trajectory supervision).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On the real EMT time-course the model reads graded temporal emergence only under the markers-in / attractor-off config; attributing that gradient to structure vs markers awaits the edge-removed control.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significantly improves program ranking with markers held equal (edge-removed control, paired p=0.015) — is supported; a blanket top-1 classification win is NOT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