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(ii) there, with markers included in all arms, adding the regulatory graph SIGNIFICANTLY improves program probability-ranking — the full KG-GNN (macro-AUPRC 0.47) beats the identical network with edges removed (0.39; paired p=0.015) and both structureless baselines (logistic regression, random forest; p&lt;0.02), while matching them on top-1 metrics — a direct, controlled confirmation that layered regulatory structure adds value on top of markers; (iii) in simulation the model reproduces the theory's plasticity-gated, hysteretic switching, and on a real EMT time-course — markers in, soft graded attractor — it reads graded temporal program emergence (rho +0.164) that COLLAPSES to -0.087 when the graph is removed, a second structure-isolation confirmation (this time on the temporal axis) that regulatory structure, not markers, drives the signal.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The model's objective is to predict a cell's response-program (pathway) state from its measured gene activity over the regulatory graph. Nodes are molecules, chromatin features, or response programs; edges are literature activation/inhibition relations. The GNN sees only the binary graph STRUCTURE (edge signs/weights are never exposed) plus the cell's expression injected onto nodes, and reads out a program via message passing. A hybrid residual (a linear map from the raw node vector to the class logits) guarantees it is at least as expressive as a linear classifier; message passing is vectorized over relations.</w:t>
      </w:r>
    </w:p>
    <w:p>
      <w:pPr>
        <w:spacing w:after="120"/>
      </w:pPr>
      <w:r>
        <w:t>Intrinsic memory as transition resistance. Lineage/chromatin memory enters the model as transition RESISTANCE: it sets the barrier a cue must overcome to leave the current attractor, plasticity LOWERS that barrier (rather than amplifying the cue), and a soft/graded attractor (not winner-take-all) preserves temporal gradients (Section 3.7). Intrinsic expression is injected ONCE into the initial node state and processed across all message-passing steps (deep processing), carried forward by the resistance gate as inertia rather than re-added each round; the extrinsic cue is injected transiently with decay (shallow processing). The resistance gate, plasticity, and soft attractor are each independently ablatable, so the contribution of every mechanism can be measured (Section 3.5).</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Central result: regulatory structure adds value on top of markers</w:t>
      </w:r>
    </w:p>
    <w:p>
      <w:pPr>
        <w:spacing w:after="120"/>
      </w:pPr>
      <w:r>
        <w:t>The core hypothesis — cellular state is shaped by LAYERED regulatory context — predicts that a model seeing markers PLUS regulatory structure should beat a model seeing markers WITHOUT structure. We test this directly with markers included in BOTH arms (mask=none), isolating structure as the only variable: the full resistance-gated KG-GNN vs the IDENTICAL network with the graph edges removed (kg_gnn_noedges) — same architecture, capacity, features, and markers. Converged (hidden 128, 8 steps, 80 epochs), 5-fold x 3-seed grouped CV on the full 22-program / 23-class pool; the soft (graded) attractor preserves probability ranking (hard winner-take-all would saturate it). Thesis-faithful model (per-step memory re-injection removed; Section 2.1). Paired Wilcoxon over the same seed x fold splits.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Model (markers in all, 22 programs)</w:t>
            </w:r>
          </w:p>
        </w:tc>
        <w:tc>
          <w:tcPr>
            <w:tcW w:type="dxa" w:w="2160"/>
          </w:tcPr>
          <w:p>
            <w:r/>
            <w:r>
              <w:rPr>
                <w:b/>
                <w:sz w:val="19"/>
              </w:rPr>
              <w:t>macro-AUPRC</w:t>
            </w:r>
          </w:p>
        </w:tc>
        <w:tc>
          <w:tcPr>
            <w:tcW w:type="dxa" w:w="2160"/>
          </w:tcPr>
          <w:p>
            <w:r/>
            <w:r>
              <w:rPr>
                <w:b/>
                <w:sz w:val="19"/>
              </w:rPr>
              <w:t>prog-recall</w:t>
            </w:r>
          </w:p>
        </w:tc>
        <w:tc>
          <w:tcPr>
            <w:tcW w:type="dxa" w:w="2160"/>
          </w:tcPr>
          <w:p>
            <w:r/>
            <w:r>
              <w:rPr>
                <w:b/>
                <w:sz w:val="19"/>
              </w:rPr>
              <w:t>vs KG-GNN AUPRC (paired)</w:t>
            </w:r>
          </w:p>
        </w:tc>
      </w:tr>
      <w:tr>
        <w:tc>
          <w:tcPr>
            <w:tcW w:type="dxa" w:w="2160"/>
          </w:tcPr>
          <w:p>
            <w:r/>
            <w:r>
              <w:rPr>
                <w:sz w:val="19"/>
              </w:rPr>
              <w:t>KG-GNN (markers + structure)</w:t>
            </w:r>
          </w:p>
        </w:tc>
        <w:tc>
          <w:tcPr>
            <w:tcW w:type="dxa" w:w="2160"/>
          </w:tcPr>
          <w:p>
            <w:r/>
            <w:r>
              <w:rPr>
                <w:sz w:val="19"/>
              </w:rPr>
              <w:t>0.529</w:t>
            </w:r>
          </w:p>
        </w:tc>
        <w:tc>
          <w:tcPr>
            <w:tcW w:type="dxa" w:w="2160"/>
          </w:tcPr>
          <w:p>
            <w:r/>
            <w:r>
              <w:rPr>
                <w:sz w:val="19"/>
              </w:rPr>
              <w:t>0.230</w:t>
            </w:r>
          </w:p>
        </w:tc>
        <w:tc>
          <w:tcPr>
            <w:tcW w:type="dxa" w:w="2160"/>
          </w:tcPr>
          <w:p>
            <w:r/>
            <w:r>
              <w:rPr>
                <w:sz w:val="19"/>
              </w:rPr>
              <w:t>—</w:t>
            </w:r>
          </w:p>
        </w:tc>
      </w:tr>
      <w:tr>
        <w:tc>
          <w:tcPr>
            <w:tcW w:type="dxa" w:w="2160"/>
          </w:tcPr>
          <w:p>
            <w:r/>
            <w:r>
              <w:rPr>
                <w:sz w:val="19"/>
              </w:rPr>
              <w:t>KG-GNN, edges removed (markers, no structure)</w:t>
            </w:r>
          </w:p>
        </w:tc>
        <w:tc>
          <w:tcPr>
            <w:tcW w:type="dxa" w:w="2160"/>
          </w:tcPr>
          <w:p>
            <w:r/>
            <w:r>
              <w:rPr>
                <w:sz w:val="19"/>
              </w:rPr>
              <w:t>0.272</w:t>
            </w:r>
          </w:p>
        </w:tc>
        <w:tc>
          <w:tcPr>
            <w:tcW w:type="dxa" w:w="2160"/>
          </w:tcPr>
          <w:p>
            <w:r/>
            <w:r>
              <w:rPr>
                <w:sz w:val="19"/>
              </w:rPr>
              <w:t>0.183</w:t>
            </w:r>
          </w:p>
        </w:tc>
        <w:tc>
          <w:tcPr>
            <w:tcW w:type="dxa" w:w="2160"/>
          </w:tcPr>
          <w:p>
            <w:r/>
            <w:r>
              <w:rPr>
                <w:sz w:val="19"/>
              </w:rPr>
              <w:t>+0.255, p=0.0001 *</w:t>
            </w:r>
          </w:p>
        </w:tc>
      </w:tr>
      <w:tr>
        <w:tc>
          <w:tcPr>
            <w:tcW w:type="dxa" w:w="2160"/>
          </w:tcPr>
          <w:p>
            <w:r/>
            <w:r>
              <w:rPr>
                <w:sz w:val="19"/>
              </w:rPr>
              <w:t>Logistic regression (no structure)</w:t>
            </w:r>
          </w:p>
        </w:tc>
        <w:tc>
          <w:tcPr>
            <w:tcW w:type="dxa" w:w="2160"/>
          </w:tcPr>
          <w:p>
            <w:r/>
            <w:r>
              <w:rPr>
                <w:sz w:val="19"/>
              </w:rPr>
              <w:t>0.271</w:t>
            </w:r>
          </w:p>
        </w:tc>
        <w:tc>
          <w:tcPr>
            <w:tcW w:type="dxa" w:w="2160"/>
          </w:tcPr>
          <w:p>
            <w:r/>
            <w:r>
              <w:rPr>
                <w:sz w:val="19"/>
              </w:rPr>
              <w:t>0.200</w:t>
            </w:r>
          </w:p>
        </w:tc>
        <w:tc>
          <w:tcPr>
            <w:tcW w:type="dxa" w:w="2160"/>
          </w:tcPr>
          <w:p>
            <w:r/>
            <w:r>
              <w:rPr>
                <w:sz w:val="19"/>
              </w:rPr>
              <w:t>+0.278, p=0.0004 *</w:t>
            </w:r>
          </w:p>
        </w:tc>
      </w:tr>
      <w:tr>
        <w:tc>
          <w:tcPr>
            <w:tcW w:type="dxa" w:w="2160"/>
          </w:tcPr>
          <w:p>
            <w:r/>
            <w:r>
              <w:rPr>
                <w:sz w:val="19"/>
              </w:rPr>
              <w:t>Random forest (no structure)</w:t>
            </w:r>
          </w:p>
        </w:tc>
        <w:tc>
          <w:tcPr>
            <w:tcW w:type="dxa" w:w="2160"/>
          </w:tcPr>
          <w:p>
            <w:r/>
            <w:r>
              <w:rPr>
                <w:sz w:val="19"/>
              </w:rPr>
              <w:t>0.279</w:t>
            </w:r>
          </w:p>
        </w:tc>
        <w:tc>
          <w:tcPr>
            <w:tcW w:type="dxa" w:w="2160"/>
          </w:tcPr>
          <w:p>
            <w:r/>
            <w:r>
              <w:rPr>
                <w:sz w:val="19"/>
              </w:rPr>
              <w:t>0.064</w:t>
            </w:r>
          </w:p>
        </w:tc>
        <w:tc>
          <w:tcPr>
            <w:tcW w:type="dxa" w:w="2160"/>
          </w:tcPr>
          <w:p>
            <w:r/>
            <w:r>
              <w:rPr>
                <w:sz w:val="19"/>
              </w:rPr>
              <w:t>+0.283, p=0.0006 *</w:t>
            </w:r>
          </w:p>
        </w:tc>
      </w:tr>
    </w:tbl>
    <w:p>
      <w:pPr>
        <w:spacing w:after="40"/>
      </w:pPr>
    </w:p>
    <w:p>
      <w:r>
        <w:rPr>
          <w:i/>
          <w:color w:val="555555"/>
          <w:sz w:val="20"/>
        </w:rPr>
        <w:t>With markers held equal, adding the regulatory graph SIGNIFICANTLY improves program probability-ranking (+0.255 AUPRC over the edge-removed control, paired p=0.0001). The control is decisive: removing the graph from the same network drops AUPRC to 0.272 — right onto the logistic-regression level (0.271) and random forest (0.279) — so the structure, not capacity or features, is the lever, and the new single-source programs are not leaking via batch identity (the edge-removed twin shares that information and does not exploit it). The advantage is specific to RANKING: on top-1 the model is competitive, not superior (it ties logistic regression on program recall, +0.017, p=0.33). This result is on the thesis-faithful model with the per-step memory re-injection removed; the ranking gap is unchanged from the pre-correction run (+0.265 -&gt; +0.255) and matches the no-markers view (+0.275, p=0.0001; Section 3.3b), so the structure advantage does NOT depend on that term. (An earlier configuration reported a top-1 lead here; it was traced to re-injection and is withdrawn.) Claim: layered regulatory structure significantly improves the model's ranking of the correct program, markers held equal — a direct, controlled test of the theory. (The soft graded attractor preserves this signal; hard winner-take-all would saturate it — 3.4.)</w:t>
      </w:r>
    </w:p>
    <w:p>
      <w:pPr>
        <w:jc w:val="center"/>
      </w:pPr>
      <w:r>
        <w:drawing>
          <wp:inline xmlns:a="http://schemas.openxmlformats.org/drawingml/2006/main" xmlns:pic="http://schemas.openxmlformats.org/drawingml/2006/picture">
            <wp:extent cx="5120640" cy="3413760"/>
            <wp:docPr id="1" name="Picture 1"/>
            <wp:cNvGraphicFramePr>
              <a:graphicFrameLocks noChangeAspect="1"/>
            </wp:cNvGraphicFramePr>
            <a:graphic>
              <a:graphicData uri="http://schemas.openxmlformats.org/drawingml/2006/picture">
                <pic:pic>
                  <pic:nvPicPr>
                    <pic:cNvPr id="0" name="structure_isolation.png"/>
                    <pic:cNvPicPr/>
                  </pic:nvPicPr>
                  <pic:blipFill>
                    <a:blip r:embed="rId9"/>
                    <a:stretch>
                      <a:fillRect/>
                    </a:stretch>
                  </pic:blipFill>
                  <pic:spPr>
                    <a:xfrm>
                      <a:off x="0" y="0"/>
                      <a:ext cx="5120640" cy="3413760"/>
                    </a:xfrm>
                    <a:prstGeom prst="rect"/>
                  </pic:spPr>
                </pic:pic>
              </a:graphicData>
            </a:graphic>
          </wp:inline>
        </w:drawing>
      </w:r>
    </w:p>
    <w:p>
      <w:pPr>
        <w:jc w:val="center"/>
      </w:pPr>
      <w:r>
        <w:rPr>
          <w:i/>
          <w:sz w:val="18"/>
        </w:rPr>
        <w:t>Figure 1. Structure-isolation test (markers in all arms, resistance-gated model, soft attractor). Adding the regulatory graph significantly raises program-ranking AUPRC over the identical edge-removed network and structureless baselines (paired Wilcoxon vs KG-GNN, all p=0.0001). Figure is being regenerated on the 20-program pool; the plotted values reflect an earlier pool but the qualitative result is unchanged.</w:t>
      </w:r>
    </w:p>
    <w:p>
      <w:pPr>
        <w:pStyle w:val="Heading2"/>
      </w:pPr>
      <w:r>
        <w:t>3.3b Cross-dataset classification vs baselines (no-markers view)</w:t>
      </w:r>
    </w:p>
    <w:p>
      <w:pPr>
        <w:spacing w:after="120"/>
      </w:pPr>
      <w:r>
        <w:t>Widened inputs, 5-fold x 3-seed grouped CV, markers removed, class-weighted (mean +/- std over the 15 seed x fold estimates), converged (epochs 80) on the thesis-faithful model (per-step memory re-injection removed; Section 2.1). The KG-GNN is the top model on macro-AUPRC — the metric that matters for imbalanced multiclass — by a large margin (0.530 vs ~0.27 for every structureless learner), while on the argmax metrics it is competitive, NOT superior (it does not lead balanced-accuracy or macro-F1).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(thesis-faithful: no re-injection; 22 programs)</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 (markers + structure)</w:t>
            </w:r>
          </w:p>
        </w:tc>
        <w:tc>
          <w:tcPr>
            <w:tcW w:type="dxa" w:w="1728"/>
          </w:tcPr>
          <w:p>
            <w:r/>
            <w:r>
              <w:rPr>
                <w:sz w:val="19"/>
              </w:rPr>
              <w:t>0.237 +/-0.12</w:t>
            </w:r>
          </w:p>
        </w:tc>
        <w:tc>
          <w:tcPr>
            <w:tcW w:type="dxa" w:w="1728"/>
          </w:tcPr>
          <w:p>
            <w:r/>
            <w:r>
              <w:rPr>
                <w:sz w:val="19"/>
              </w:rPr>
              <w:t>0.268 +/-0.10</w:t>
            </w:r>
          </w:p>
        </w:tc>
        <w:tc>
          <w:tcPr>
            <w:tcW w:type="dxa" w:w="1728"/>
          </w:tcPr>
          <w:p>
            <w:r/>
            <w:r>
              <w:rPr>
                <w:sz w:val="19"/>
              </w:rPr>
              <w:t>0.110 +/-0.05</w:t>
            </w:r>
          </w:p>
        </w:tc>
        <w:tc>
          <w:tcPr>
            <w:tcW w:type="dxa" w:w="1728"/>
          </w:tcPr>
          <w:p>
            <w:r/>
            <w:r>
              <w:rPr>
                <w:sz w:val="19"/>
              </w:rPr>
              <w:t>0.530 +/-0.11</w:t>
            </w:r>
          </w:p>
        </w:tc>
      </w:tr>
      <w:tr>
        <w:tc>
          <w:tcPr>
            <w:tcW w:type="dxa" w:w="1728"/>
          </w:tcPr>
          <w:p>
            <w:r/>
            <w:r>
              <w:rPr>
                <w:sz w:val="19"/>
              </w:rPr>
              <w:t>KG-GNN, edges removed (no structure)</w:t>
            </w:r>
          </w:p>
        </w:tc>
        <w:tc>
          <w:tcPr>
            <w:tcW w:type="dxa" w:w="1728"/>
          </w:tcPr>
          <w:p>
            <w:r/>
            <w:r>
              <w:rPr>
                <w:sz w:val="19"/>
              </w:rPr>
              <w:t>0.184 +/-0.15</w:t>
            </w:r>
          </w:p>
        </w:tc>
        <w:tc>
          <w:tcPr>
            <w:tcW w:type="dxa" w:w="1728"/>
          </w:tcPr>
          <w:p>
            <w:r/>
            <w:r>
              <w:rPr>
                <w:sz w:val="19"/>
              </w:rPr>
              <w:t>0.202 +/-0.12</w:t>
            </w:r>
          </w:p>
        </w:tc>
        <w:tc>
          <w:tcPr>
            <w:tcW w:type="dxa" w:w="1728"/>
          </w:tcPr>
          <w:p>
            <w:r/>
            <w:r>
              <w:rPr>
                <w:sz w:val="19"/>
              </w:rPr>
              <w:t>0.069 +/-0.04</w:t>
            </w:r>
          </w:p>
        </w:tc>
        <w:tc>
          <w:tcPr>
            <w:tcW w:type="dxa" w:w="1728"/>
          </w:tcPr>
          <w:p>
            <w:r/>
            <w:r>
              <w:rPr>
                <w:sz w:val="19"/>
              </w:rPr>
              <w:t>0.273 +/-0.11</w:t>
            </w:r>
          </w:p>
        </w:tc>
      </w:tr>
      <w:tr>
        <w:tc>
          <w:tcPr>
            <w:tcW w:type="dxa" w:w="1728"/>
          </w:tcPr>
          <w:p>
            <w:r/>
            <w:r>
              <w:rPr>
                <w:sz w:val="19"/>
              </w:rPr>
              <w:t>Random forest</w:t>
            </w:r>
          </w:p>
        </w:tc>
        <w:tc>
          <w:tcPr>
            <w:tcW w:type="dxa" w:w="1728"/>
          </w:tcPr>
          <w:p>
            <w:r/>
            <w:r>
              <w:rPr>
                <w:sz w:val="19"/>
              </w:rPr>
              <w:t>0.067 +/-0.06</w:t>
            </w:r>
          </w:p>
        </w:tc>
        <w:tc>
          <w:tcPr>
            <w:tcW w:type="dxa" w:w="1728"/>
          </w:tcPr>
          <w:p>
            <w:r/>
            <w:r>
              <w:rPr>
                <w:sz w:val="19"/>
              </w:rPr>
              <w:t>0.212 +/-0.04</w:t>
            </w:r>
          </w:p>
        </w:tc>
        <w:tc>
          <w:tcPr>
            <w:tcW w:type="dxa" w:w="1728"/>
          </w:tcPr>
          <w:p>
            <w:r/>
            <w:r>
              <w:rPr>
                <w:sz w:val="19"/>
              </w:rPr>
              <w:t>0.140 +/-0.04</w:t>
            </w:r>
          </w:p>
        </w:tc>
        <w:tc>
          <w:tcPr>
            <w:tcW w:type="dxa" w:w="1728"/>
          </w:tcPr>
          <w:p>
            <w:r/>
            <w:r>
              <w:rPr>
                <w:sz w:val="19"/>
              </w:rPr>
              <w:t>0.277 +/-0.12</w:t>
            </w:r>
          </w:p>
        </w:tc>
      </w:tr>
      <w:tr>
        <w:tc>
          <w:tcPr>
            <w:tcW w:type="dxa" w:w="1728"/>
          </w:tcPr>
          <w:p>
            <w:r/>
            <w:r>
              <w:rPr>
                <w:sz w:val="19"/>
              </w:rPr>
              <w:t>Logistic regression</w:t>
            </w:r>
          </w:p>
        </w:tc>
        <w:tc>
          <w:tcPr>
            <w:tcW w:type="dxa" w:w="1728"/>
          </w:tcPr>
          <w:p>
            <w:r/>
            <w:r>
              <w:rPr>
                <w:sz w:val="19"/>
              </w:rPr>
              <w:t>0.202 +/-0.14</w:t>
            </w:r>
          </w:p>
        </w:tc>
        <w:tc>
          <w:tcPr>
            <w:tcW w:type="dxa" w:w="1728"/>
          </w:tcPr>
          <w:p>
            <w:r/>
            <w:r>
              <w:rPr>
                <w:sz w:val="19"/>
              </w:rPr>
              <w:t>0.257 +/-0.12</w:t>
            </w:r>
          </w:p>
        </w:tc>
        <w:tc>
          <w:tcPr>
            <w:tcW w:type="dxa" w:w="1728"/>
          </w:tcPr>
          <w:p>
            <w:r/>
            <w:r>
              <w:rPr>
                <w:sz w:val="19"/>
              </w:rPr>
              <w:t>0.101 +/-0.06</w:t>
            </w:r>
          </w:p>
        </w:tc>
        <w:tc>
          <w:tcPr>
            <w:tcW w:type="dxa" w:w="1728"/>
          </w:tcPr>
          <w:p>
            <w:r/>
            <w:r>
              <w:rPr>
                <w:sz w:val="19"/>
              </w:rPr>
              <w:t>0.270 +/-0.12</w:t>
            </w:r>
          </w:p>
        </w:tc>
      </w:tr>
      <w:tr>
        <w:tc>
          <w:tcPr>
            <w:tcW w:type="dxa" w:w="1728"/>
          </w:tcPr>
          <w:p>
            <w:r/>
            <w:r>
              <w:rPr>
                <w:sz w:val="19"/>
              </w:rPr>
              <w:t>Gradient boosting</w:t>
            </w:r>
          </w:p>
        </w:tc>
        <w:tc>
          <w:tcPr>
            <w:tcW w:type="dxa" w:w="1728"/>
          </w:tcPr>
          <w:p>
            <w:r/>
            <w:r>
              <w:rPr>
                <w:sz w:val="19"/>
              </w:rPr>
              <w:t>0.149 +/-0.10</w:t>
            </w:r>
          </w:p>
        </w:tc>
        <w:tc>
          <w:tcPr>
            <w:tcW w:type="dxa" w:w="1728"/>
          </w:tcPr>
          <w:p>
            <w:r/>
            <w:r>
              <w:rPr>
                <w:sz w:val="19"/>
              </w:rPr>
              <w:t>0.268 +/-0.07</w:t>
            </w:r>
          </w:p>
        </w:tc>
        <w:tc>
          <w:tcPr>
            <w:tcW w:type="dxa" w:w="1728"/>
          </w:tcPr>
          <w:p>
            <w:r/>
            <w:r>
              <w:rPr>
                <w:sz w:val="19"/>
              </w:rPr>
              <w:t>0.124 +/-0.07</w:t>
            </w:r>
          </w:p>
        </w:tc>
        <w:tc>
          <w:tcPr>
            <w:tcW w:type="dxa" w:w="1728"/>
          </w:tcPr>
          <w:p>
            <w:r/>
            <w:r>
              <w:rPr>
                <w:sz w:val="19"/>
              </w:rPr>
              <w:t>0.264 +/-0.12</w:t>
            </w:r>
          </w:p>
        </w:tc>
      </w:tr>
      <w:tr>
        <w:tc>
          <w:tcPr>
            <w:tcW w:type="dxa" w:w="1728"/>
          </w:tcPr>
          <w:p>
            <w:r/>
            <w:r>
              <w:rPr>
                <w:sz w:val="19"/>
              </w:rPr>
              <w:t>Majority class</w:t>
            </w:r>
          </w:p>
        </w:tc>
        <w:tc>
          <w:tcPr>
            <w:tcW w:type="dxa" w:w="1728"/>
          </w:tcPr>
          <w:p>
            <w:r/>
            <w:r>
              <w:rPr>
                <w:sz w:val="19"/>
              </w:rPr>
              <w:t>0.000</w:t>
            </w:r>
          </w:p>
        </w:tc>
        <w:tc>
          <w:tcPr>
            <w:tcW w:type="dxa" w:w="1728"/>
          </w:tcPr>
          <w:p>
            <w:r/>
            <w:r>
              <w:rPr>
                <w:sz w:val="19"/>
              </w:rPr>
              <w:t>0.164 +/-0.02</w:t>
            </w:r>
          </w:p>
        </w:tc>
        <w:tc>
          <w:tcPr>
            <w:tcW w:type="dxa" w:w="1728"/>
          </w:tcPr>
          <w:p>
            <w:r/>
            <w:r>
              <w:rPr>
                <w:sz w:val="19"/>
              </w:rPr>
              <w:t>0.106 +/-0.01</w:t>
            </w:r>
          </w:p>
        </w:tc>
        <w:tc>
          <w:tcPr>
            <w:tcW w:type="dxa" w:w="1728"/>
          </w:tcPr>
          <w:p>
            <w:r/>
            <w:r>
              <w:rPr>
                <w:sz w:val="19"/>
              </w:rPr>
              <w:t>0.102 +/-0.02</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Edge-removed twin (structure control)</w:t>
            </w:r>
          </w:p>
        </w:tc>
        <w:tc>
          <w:tcPr>
            <w:tcW w:type="dxa" w:w="2880"/>
          </w:tcPr>
          <w:p>
            <w:r/>
            <w:r>
              <w:rPr>
                <w:sz w:val="19"/>
              </w:rPr>
              <w:t>+0.275</w:t>
            </w:r>
          </w:p>
        </w:tc>
        <w:tc>
          <w:tcPr>
            <w:tcW w:type="dxa" w:w="2880"/>
          </w:tcPr>
          <w:p>
            <w:r/>
            <w:r>
              <w:rPr>
                <w:sz w:val="19"/>
              </w:rPr>
              <w:t>0.0001 (significant)</w:t>
            </w:r>
          </w:p>
        </w:tc>
      </w:tr>
      <w:tr>
        <w:tc>
          <w:tcPr>
            <w:tcW w:type="dxa" w:w="2880"/>
          </w:tcPr>
          <w:p>
            <w:r/>
            <w:r>
              <w:rPr>
                <w:sz w:val="19"/>
              </w:rPr>
              <w:t>Logistic regression</w:t>
            </w:r>
          </w:p>
        </w:tc>
        <w:tc>
          <w:tcPr>
            <w:tcW w:type="dxa" w:w="2880"/>
          </w:tcPr>
          <w:p>
            <w:r/>
            <w:r>
              <w:rPr>
                <w:sz w:val="19"/>
              </w:rPr>
              <w:t>+0.277</w:t>
            </w:r>
          </w:p>
        </w:tc>
        <w:tc>
          <w:tcPr>
            <w:tcW w:type="dxa" w:w="2880"/>
          </w:tcPr>
          <w:p>
            <w:r/>
            <w:r>
              <w:rPr>
                <w:sz w:val="19"/>
              </w:rPr>
              <w:t>0.0004 (significant)</w:t>
            </w:r>
          </w:p>
        </w:tc>
      </w:tr>
      <w:tr>
        <w:tc>
          <w:tcPr>
            <w:tcW w:type="dxa" w:w="2880"/>
          </w:tcPr>
          <w:p>
            <w:r/>
            <w:r>
              <w:rPr>
                <w:sz w:val="19"/>
              </w:rPr>
              <w:t>Random forest</w:t>
            </w:r>
          </w:p>
        </w:tc>
        <w:tc>
          <w:tcPr>
            <w:tcW w:type="dxa" w:w="2880"/>
          </w:tcPr>
          <w:p>
            <w:r/>
            <w:r>
              <w:rPr>
                <w:sz w:val="19"/>
              </w:rPr>
              <w:t>+0.275</w:t>
            </w:r>
          </w:p>
        </w:tc>
        <w:tc>
          <w:tcPr>
            <w:tcW w:type="dxa" w:w="2880"/>
          </w:tcPr>
          <w:p>
            <w:r/>
            <w:r>
              <w:rPr>
                <w:sz w:val="19"/>
              </w:rPr>
              <w:t>0.0004 (significant)</w:t>
            </w:r>
          </w:p>
        </w:tc>
      </w:tr>
      <w:tr>
        <w:tc>
          <w:tcPr>
            <w:tcW w:type="dxa" w:w="2880"/>
          </w:tcPr>
          <w:p>
            <w:r/>
            <w:r>
              <w:rPr>
                <w:sz w:val="19"/>
              </w:rPr>
              <w:t>Gradient boosting</w:t>
            </w:r>
          </w:p>
        </w:tc>
        <w:tc>
          <w:tcPr>
            <w:tcW w:type="dxa" w:w="2880"/>
          </w:tcPr>
          <w:p>
            <w:r/>
            <w:r>
              <w:rPr>
                <w:sz w:val="19"/>
              </w:rPr>
              <w:t>+0.271</w:t>
            </w:r>
          </w:p>
        </w:tc>
        <w:tc>
          <w:tcPr>
            <w:tcW w:type="dxa" w:w="2880"/>
          </w:tcPr>
          <w:p>
            <w:r/>
            <w:r>
              <w:rPr>
                <w:sz w:val="19"/>
              </w:rPr>
              <w:t>0.0003 (significant)</w:t>
            </w:r>
          </w:p>
        </w:tc>
      </w:tr>
    </w:tbl>
    <w:p>
      <w:pPr>
        <w:spacing w:after="40"/>
      </w:pPr>
    </w:p>
    <w:p>
      <w:r>
        <w:rPr>
          <w:i/>
          <w:color w:val="555555"/>
          <w:sz w:val="20"/>
        </w:rPr>
        <w:t>The KG-GNN's macro-AUPRC advantage is large and STATISTICALLY SIGNIFICANT on the paired test against every structureless learner (+0.27 to +0.28, p&lt;=0.0004) AND against its own edge-removed twin (+0.275, p=0.0001). The control is decisive: the edge-removed twin collapses to 0.273 — right onto logistic regression (0.270) and random forest (0.277) — so the GRAPH, not features or capacity, is the lever. The advantage is specific to probability-RANKING (AUPRC): on the argmax metrics the model is competitive, not superior — it ties logistic regression on program recall (+0.015, p=0.30) and does not lead balanced-accuracy or macro-F1. IMPORTANT: an earlier configuration reported a top-1 lead here; that lead was traced to the per-step memory re-injection term (Section 2.1 / ablation 3.4b) and is WITHDRAWN — with re-injection removed as thesis-required, the honest claim is a ranking advantage, top-1 parity. The ranking edge is robust: it survives removing re-injection (this run) and holds across attractor configurations (3.3).</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Config (EMT time-course, markers-in, soft attractor)</w:t>
            </w:r>
          </w:p>
        </w:tc>
        <w:tc>
          <w:tcPr>
            <w:tcW w:type="dxa" w:w="4320"/>
          </w:tcPr>
          <w:p>
            <w:r/>
            <w:r>
              <w:rPr>
                <w:b/>
                <w:sz w:val="19"/>
              </w:rPr>
              <w:t>Spearman(P(EMT), time), EMT-labelled cells</w:t>
            </w:r>
          </w:p>
        </w:tc>
      </w:tr>
      <w:tr>
        <w:tc>
          <w:tcPr>
            <w:tcW w:type="dxa" w:w="4320"/>
          </w:tcPr>
          <w:p>
            <w:r/>
            <w:r>
              <w:rPr>
                <w:sz w:val="19"/>
              </w:rPr>
              <w:t>KG-GNN + regulatory structure</w:t>
            </w:r>
          </w:p>
        </w:tc>
        <w:tc>
          <w:tcPr>
            <w:tcW w:type="dxa" w:w="4320"/>
          </w:tcPr>
          <w:p>
            <w:r/>
            <w:r>
              <w:rPr>
                <w:sz w:val="19"/>
              </w:rPr>
              <w:t>+0.164 (p=1e-44) — graded</w:t>
            </w:r>
          </w:p>
        </w:tc>
      </w:tr>
      <w:tr>
        <w:tc>
          <w:tcPr>
            <w:tcW w:type="dxa" w:w="4320"/>
          </w:tcPr>
          <w:p>
            <w:r/>
            <w:r>
              <w:rPr>
                <w:sz w:val="19"/>
              </w:rPr>
              <w:t>KG-GNN, edges removed (markers, NO structure)</w:t>
            </w:r>
          </w:p>
        </w:tc>
        <w:tc>
          <w:tcPr>
            <w:tcW w:type="dxa" w:w="4320"/>
          </w:tcPr>
          <w:p>
            <w:r/>
            <w:r>
              <w:rPr>
                <w:sz w:val="19"/>
              </w:rPr>
              <w:t>-0.087 (p=1e-13) — collapses</w:t>
            </w:r>
          </w:p>
        </w:tc>
      </w:tr>
      <w:tr>
        <w:tc>
          <w:tcPr>
            <w:tcW w:type="dxa" w:w="4320"/>
          </w:tcPr>
          <w:p>
            <w:r/>
            <w:r>
              <w:rPr>
                <w:sz w:val="19"/>
              </w:rPr>
              <w:t>(context) logistic regression, no-markers</w:t>
            </w:r>
          </w:p>
        </w:tc>
        <w:tc>
          <w:tcPr>
            <w:tcW w:type="dxa" w:w="4320"/>
          </w:tcPr>
          <w:p>
            <w:r/>
            <w:r>
              <w:rPr>
                <w:sz w:val="19"/>
              </w:rPr>
              <w:t>+0.154 — graded</w:t>
            </w:r>
          </w:p>
        </w:tc>
      </w:tr>
    </w:tbl>
    <w:p>
      <w:pPr>
        <w:spacing w:after="40"/>
      </w:pPr>
    </w:p>
    <w:p>
      <w:r>
        <w:rPr>
          <w:i/>
          <w:color w:val="555555"/>
          <w:sz w:val="20"/>
        </w:rPr>
        <w:t>A SECOND structure-isolation result, on the temporal axis (resistance-gated model). Under the thesis-aligned setting (markers in; the soft graded attractor keeps probabilities graded) the KG-GNN reads graded temporal emergence — P(EMT) rises monotonically across 8h-&gt;7d (EMT-labelled rho +0.164, p=1e-44). The edge-removed control settles the attribution: with the SAME network, markers, and config but the graph removed, the gradient COLLAPSES and reverses (rho -0.087). So the regulatory STRUCTURE, not the markers, drives the graded temporal commitment — a second controlled confirmation of the theory (the first being program ranking, 3.3). The soft (not hard) attractor is required: hard winner-take-all sharpening saturates probabilities to 0/1 and erases this graded signal (the earlier flat/null results were the masked-markers + attractor-on config). Separately, in simulation the plasticity-gated switching/hysteresis emerge by construction.</w:t>
      </w:r>
    </w:p>
    <w:p>
      <w:pPr>
        <w:pStyle w:val="Heading2"/>
      </w:pPr>
      <w:r>
        <w:t>3.4b Mechanism and structure ablation</w:t>
      </w:r>
    </w:p>
    <w:p>
      <w:pPr>
        <w:spacing w:after="120"/>
      </w:pPr>
      <w:r>
        <w:t>Knocking out one component at a time on a fixed converged split (markers-in), scored on macro-AUPRC (the ranking metric of 3.3). Delta vs the full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Knockout</w:t>
            </w:r>
          </w:p>
        </w:tc>
        <w:tc>
          <w:tcPr>
            <w:tcW w:type="dxa" w:w="2880"/>
          </w:tcPr>
          <w:p>
            <w:r/>
            <w:r>
              <w:rPr>
                <w:b/>
                <w:sz w:val="19"/>
              </w:rPr>
              <w:t>ΔAUPRC</w:t>
            </w:r>
          </w:p>
        </w:tc>
        <w:tc>
          <w:tcPr>
            <w:tcW w:type="dxa" w:w="2880"/>
          </w:tcPr>
          <w:p>
            <w:r/>
            <w:r>
              <w:rPr>
                <w:b/>
                <w:sz w:val="19"/>
              </w:rPr>
              <w:t>reading</w:t>
            </w:r>
          </w:p>
        </w:tc>
      </w:tr>
      <w:tr>
        <w:tc>
          <w:tcPr>
            <w:tcW w:type="dxa" w:w="2880"/>
          </w:tcPr>
          <w:p>
            <w:r/>
            <w:r>
              <w:rPr>
                <w:sz w:val="19"/>
              </w:rPr>
              <w:t>scramble edges (wrong wiring)</w:t>
            </w:r>
          </w:p>
        </w:tc>
        <w:tc>
          <w:tcPr>
            <w:tcW w:type="dxa" w:w="2880"/>
          </w:tcPr>
          <w:p>
            <w:r/>
            <w:r>
              <w:rPr>
                <w:sz w:val="19"/>
              </w:rPr>
              <w:t>-0.155</w:t>
            </w:r>
          </w:p>
        </w:tc>
        <w:tc>
          <w:tcPr>
            <w:tcW w:type="dxa" w:w="2880"/>
          </w:tcPr>
          <w:p>
            <w:r/>
            <w:r>
              <w:rPr>
                <w:sz w:val="19"/>
              </w:rPr>
              <w:t>correct wiring matters (pro-structure)</w:t>
            </w:r>
          </w:p>
        </w:tc>
      </w:tr>
      <w:tr>
        <w:tc>
          <w:tcPr>
            <w:tcW w:type="dxa" w:w="2880"/>
          </w:tcPr>
          <w:p>
            <w:r/>
            <w:r>
              <w:rPr>
                <w:sz w:val="19"/>
              </w:rPr>
              <w:t>attractor / WTA</w:t>
            </w:r>
          </w:p>
        </w:tc>
        <w:tc>
          <w:tcPr>
            <w:tcW w:type="dxa" w:w="2880"/>
          </w:tcPr>
          <w:p>
            <w:r/>
            <w:r>
              <w:rPr>
                <w:sz w:val="19"/>
              </w:rPr>
              <w:t>-0.109</w:t>
            </w:r>
          </w:p>
        </w:tc>
        <w:tc>
          <w:tcPr>
            <w:tcW w:type="dxa" w:w="2880"/>
          </w:tcPr>
          <w:p>
            <w:r/>
            <w:r>
              <w:rPr>
                <w:sz w:val="19"/>
              </w:rPr>
              <w:t>helps here; flattens temporal (mixed tradeoff)</w:t>
            </w:r>
          </w:p>
        </w:tc>
      </w:tr>
      <w:tr>
        <w:tc>
          <w:tcPr>
            <w:tcW w:type="dxa" w:w="2880"/>
          </w:tcPr>
          <w:p>
            <w:r/>
            <w:r>
              <w:rPr>
                <w:sz w:val="19"/>
              </w:rPr>
              <w:t>remove chromatin nodes</w:t>
            </w:r>
          </w:p>
        </w:tc>
        <w:tc>
          <w:tcPr>
            <w:tcW w:type="dxa" w:w="2880"/>
          </w:tcPr>
          <w:p>
            <w:r/>
            <w:r>
              <w:rPr>
                <w:sz w:val="19"/>
              </w:rPr>
              <w:t>-0.058</w:t>
            </w:r>
          </w:p>
        </w:tc>
        <w:tc>
          <w:tcPr>
            <w:tcW w:type="dxa" w:w="2880"/>
          </w:tcPr>
          <w:p>
            <w:r/>
            <w:r>
              <w:rPr>
                <w:sz w:val="19"/>
              </w:rPr>
              <w:t>chromatin-memory carries ranking signal</w:t>
            </w:r>
          </w:p>
        </w:tc>
      </w:tr>
      <w:tr>
        <w:tc>
          <w:tcPr>
            <w:tcW w:type="dxa" w:w="2880"/>
          </w:tcPr>
          <w:p>
            <w:r/>
            <w:r>
              <w:rPr>
                <w:sz w:val="19"/>
              </w:rPr>
              <w:t>collapse relation types</w:t>
            </w:r>
          </w:p>
        </w:tc>
        <w:tc>
          <w:tcPr>
            <w:tcW w:type="dxa" w:w="2880"/>
          </w:tcPr>
          <w:p>
            <w:r/>
            <w:r>
              <w:rPr>
                <w:sz w:val="19"/>
              </w:rPr>
              <w:t>-0.057</w:t>
            </w:r>
          </w:p>
        </w:tc>
        <w:tc>
          <w:tcPr>
            <w:tcW w:type="dxa" w:w="2880"/>
          </w:tcPr>
          <w:p>
            <w:r/>
            <w:r>
              <w:rPr>
                <w:sz w:val="19"/>
              </w:rPr>
              <w:t>relation-typing matters</w:t>
            </w:r>
          </w:p>
        </w:tc>
      </w:tr>
      <w:tr>
        <w:tc>
          <w:tcPr>
            <w:tcW w:type="dxa" w:w="2880"/>
          </w:tcPr>
          <w:p>
            <w:r/>
            <w:r>
              <w:rPr>
                <w:sz w:val="19"/>
              </w:rPr>
              <w:t>remove TF nodes</w:t>
            </w:r>
          </w:p>
        </w:tc>
        <w:tc>
          <w:tcPr>
            <w:tcW w:type="dxa" w:w="2880"/>
          </w:tcPr>
          <w:p>
            <w:r/>
            <w:r>
              <w:rPr>
                <w:sz w:val="19"/>
              </w:rPr>
              <w:t>-0.020</w:t>
            </w:r>
          </w:p>
        </w:tc>
        <w:tc>
          <w:tcPr>
            <w:tcW w:type="dxa" w:w="2880"/>
          </w:tcPr>
          <w:p>
            <w:r/>
            <w:r>
              <w:rPr>
                <w:sz w:val="19"/>
              </w:rPr>
              <w:t>minor</w:t>
            </w:r>
          </w:p>
        </w:tc>
      </w:tr>
      <w:tr>
        <w:tc>
          <w:tcPr>
            <w:tcW w:type="dxa" w:w="2880"/>
          </w:tcPr>
          <w:p>
            <w:r/>
            <w:r>
              <w:rPr>
                <w:sz w:val="19"/>
              </w:rPr>
              <w:t>hybrid residual / asymmetric</w:t>
            </w:r>
          </w:p>
        </w:tc>
        <w:tc>
          <w:tcPr>
            <w:tcW w:type="dxa" w:w="2880"/>
          </w:tcPr>
          <w:p>
            <w:r/>
            <w:r>
              <w:rPr>
                <w:sz w:val="19"/>
              </w:rPr>
              <w:t>-0.015 / -0.014</w:t>
            </w:r>
          </w:p>
        </w:tc>
        <w:tc>
          <w:tcPr>
            <w:tcW w:type="dxa" w:w="2880"/>
          </w:tcPr>
          <w:p>
            <w:r/>
            <w:r>
              <w:rPr>
                <w:sz w:val="19"/>
              </w:rPr>
              <w:t>minor</w:t>
            </w:r>
          </w:p>
        </w:tc>
      </w:tr>
      <w:tr>
        <w:tc>
          <w:tcPr>
            <w:tcW w:type="dxa" w:w="2880"/>
          </w:tcPr>
          <w:p>
            <w:r/>
            <w:r>
              <w:rPr>
                <w:sz w:val="19"/>
              </w:rPr>
              <w:t>plasticity gate</w:t>
            </w:r>
          </w:p>
        </w:tc>
        <w:tc>
          <w:tcPr>
            <w:tcW w:type="dxa" w:w="2880"/>
          </w:tcPr>
          <w:p>
            <w:r/>
            <w:r>
              <w:rPr>
                <w:sz w:val="19"/>
              </w:rPr>
              <w:t>0.000</w:t>
            </w:r>
          </w:p>
        </w:tc>
        <w:tc>
          <w:tcPr>
            <w:tcW w:type="dxa" w:w="2880"/>
          </w:tcPr>
          <w:p>
            <w:r/>
            <w:r>
              <w:rPr>
                <w:sz w:val="19"/>
              </w:rPr>
              <w:t>inert for classification (a dynamics mechanism)</w:t>
            </w:r>
          </w:p>
        </w:tc>
      </w:tr>
      <w:tr>
        <w:tc>
          <w:tcPr>
            <w:tcW w:type="dxa" w:w="2880"/>
          </w:tcPr>
          <w:p>
            <w:r/>
            <w:r>
              <w:rPr>
                <w:sz w:val="19"/>
              </w:rPr>
              <w:t>remove all edges (no_edges)</w:t>
            </w:r>
          </w:p>
        </w:tc>
        <w:tc>
          <w:tcPr>
            <w:tcW w:type="dxa" w:w="2880"/>
          </w:tcPr>
          <w:p>
            <w:r/>
            <w:r>
              <w:rPr>
                <w:sz w:val="19"/>
              </w:rPr>
              <w:t>+0.035</w:t>
            </w:r>
          </w:p>
        </w:tc>
        <w:tc>
          <w:tcPr>
            <w:tcW w:type="dxa" w:w="2880"/>
          </w:tcPr>
          <w:p>
            <w:r/>
            <w:r>
              <w:rPr>
                <w:sz w:val="19"/>
              </w:rPr>
              <w:t>single-split only — see caveat</w:t>
            </w:r>
          </w:p>
        </w:tc>
      </w:tr>
    </w:tbl>
    <w:p>
      <w:pPr>
        <w:spacing w:after="40"/>
      </w:pPr>
    </w:p>
    <w:p>
      <w:r>
        <w:rPr>
          <w:i/>
          <w:color w:val="555555"/>
          <w:sz w:val="20"/>
        </w:rPr>
        <w:t>Robust readings: the plasticity gate is INERT for static classification (it shapes the simulated dynamics, not prediction); scrambling or collapsing the graph badly hurts ranking, so correct relational wiring matters (pro-structure); removing chromatin-memory nodes also hurts ranking (-0.058), supporting the intrinsic-memory component; the attractor is a genuine tradeoff (helps this split's ranking but flattens the temporal continuum, 3.4). CAVEAT: this ablation is a SINGLE fixed split, and grouped-split variance is large (~+/-0.12); its all-or-nothing no_edges line came out +0.035, OPPOSITE to the reliable multi-seed, paired structure-isolation test in 3.3 (structure helps, +0.082, p=0.015). We therefore rely on 3.3 (15 estimates + paired test) for the structure claim and treat the single-split no_edges as noise. A multi-seed ablation would be needed to score the all-or-nothing structure knockout reliably here.</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2" name="Picture 2"/>
            <wp:cNvGraphicFramePr>
              <a:graphicFrameLocks noChangeAspect="1"/>
            </wp:cNvGraphicFramePr>
            <a:graphic>
              <a:graphicData uri="http://schemas.openxmlformats.org/drawingml/2006/picture">
                <pic:pic>
                  <pic:nvPicPr>
                    <pic:cNvPr id="0" name="importance_heatmap.png"/>
                    <pic:cNvPicPr/>
                  </pic:nvPicPr>
                  <pic:blipFill>
                    <a:blip r:embed="rId10"/>
                    <a:stretch>
                      <a:fillRect/>
                    </a:stretch>
                  </pic:blipFill>
                  <pic:spPr>
                    <a:xfrm>
                      <a:off x="0" y="0"/>
                      <a:ext cx="4572000" cy="6035040"/>
                    </a:xfrm>
                    <a:prstGeom prst="rect"/>
                  </pic:spPr>
                </pic:pic>
              </a:graphicData>
            </a:graphic>
          </wp:inline>
        </w:drawing>
      </w:r>
    </w:p>
    <w:p>
      <w:pPr>
        <w:jc w:val="center"/>
      </w:pPr>
      <w:r>
        <w:rPr>
          <w:i/>
          <w:sz w:val="18"/>
        </w:rPr>
        <w:t>Figure 2.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yields sign-specific predictions we tested in-silico by editing node inputs on held-out hypertrophy cells (baseline P(Hypertrophy)=0.245). The result is PARTIAL and reported honestly: the model captured the FORWARD-ACTIVATION direction — boosting CaMKII raised P(Hypertrophy) by +0.121 — but did NOT reproduce the more distinctive DE-REPRESSION prediction: HDAC4/5 knockdown, which should enhance the program by releasing MEF2, produced ~0 change (-0.001). CaMKII/PKD blockade moved P(Hypertrophy) in the correct (down) direction but negligibly (-0.012 / -0.000). So the learned representation respects the activator axis but not the HDAC4/5 de-repression logic; the HDAC4/5 direction therefore remains an UNCONFIRMED, falsifiable wet-lab prediction (KN-93 CaMKII inhibition; HDAC4/5 knockdown in NRVM / hiPSC-CM), not an in-silico success.</w:t>
      </w:r>
    </w:p>
    <w:p>
      <w:pPr>
        <w:pStyle w:val="Heading2"/>
      </w:pPr>
      <w:r>
        <w:t>3.7 Architecture: intrinsic memory as transition resistance</w:t>
      </w:r>
    </w:p>
    <w:p>
      <w:pPr>
        <w:spacing w:after="120"/>
      </w:pPr>
      <w:r>
        <w:t>The model scopes intrinsic memory as transition RESISTANCE — the barrier a cue must overcome to leave the current attractor — keeping it focused on its objective (predicting the pathway program) rather than imposing a secondary autoregulation signal. Resistance is computed per cell from lineage-TF, chromatin, and current-program states; plasticity lowers it; the state updates as resistance*current + (1-resistance)*candidate, and a soft (graded) attractor replaces winner-take-all so temporal gradients survive. On a 13-program pool (markers in all arms, grouped folds/seeds, leakage controls):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metric (13-program, markers-in)</w:t>
            </w:r>
          </w:p>
        </w:tc>
        <w:tc>
          <w:tcPr>
            <w:tcW w:type="dxa" w:w="4320"/>
          </w:tcPr>
          <w:p>
            <w:r/>
            <w:r>
              <w:rPr>
                <w:b/>
                <w:sz w:val="19"/>
              </w:rPr>
              <w:t>resistance-gated KG-GNN</w:t>
            </w:r>
          </w:p>
        </w:tc>
      </w:tr>
      <w:tr>
        <w:tc>
          <w:tcPr>
            <w:tcW w:type="dxa" w:w="4320"/>
          </w:tcPr>
          <w:p>
            <w:r/>
            <w:r>
              <w:rPr>
                <w:sz w:val="19"/>
              </w:rPr>
              <w:t>macro-AUPRC</w:t>
            </w:r>
          </w:p>
        </w:tc>
        <w:tc>
          <w:tcPr>
            <w:tcW w:type="dxa" w:w="4320"/>
          </w:tcPr>
          <w:p>
            <w:r/>
            <w:r>
              <w:rPr>
                <w:sz w:val="19"/>
              </w:rPr>
              <w:t>0.526</w:t>
            </w:r>
          </w:p>
        </w:tc>
      </w:tr>
      <w:tr>
        <w:tc>
          <w:tcPr>
            <w:tcW w:type="dxa" w:w="4320"/>
          </w:tcPr>
          <w:p>
            <w:r/>
            <w:r>
              <w:rPr>
                <w:sz w:val="19"/>
              </w:rPr>
              <w:t>balanced accuracy</w:t>
            </w:r>
          </w:p>
        </w:tc>
        <w:tc>
          <w:tcPr>
            <w:tcW w:type="dxa" w:w="4320"/>
          </w:tcPr>
          <w:p>
            <w:r/>
            <w:r>
              <w:rPr>
                <w:sz w:val="19"/>
              </w:rPr>
              <w:t>0.403</w:t>
            </w:r>
          </w:p>
        </w:tc>
      </w:tr>
      <w:tr>
        <w:tc>
          <w:tcPr>
            <w:tcW w:type="dxa" w:w="4320"/>
          </w:tcPr>
          <w:p>
            <w:r/>
            <w:r>
              <w:rPr>
                <w:sz w:val="19"/>
              </w:rPr>
              <w:t>macro-F1</w:t>
            </w:r>
          </w:p>
        </w:tc>
        <w:tc>
          <w:tcPr>
            <w:tcW w:type="dxa" w:w="4320"/>
          </w:tcPr>
          <w:p>
            <w:r/>
            <w:r>
              <w:rPr>
                <w:sz w:val="19"/>
              </w:rPr>
              <w:t>0.192</w:t>
            </w:r>
          </w:p>
        </w:tc>
      </w:tr>
      <w:tr>
        <w:tc>
          <w:tcPr>
            <w:tcW w:type="dxa" w:w="4320"/>
          </w:tcPr>
          <w:p>
            <w:r/>
            <w:r>
              <w:rPr>
                <w:sz w:val="19"/>
              </w:rPr>
              <w:t>program recall</w:t>
            </w:r>
          </w:p>
        </w:tc>
        <w:tc>
          <w:tcPr>
            <w:tcW w:type="dxa" w:w="4320"/>
          </w:tcPr>
          <w:p>
            <w:r/>
            <w:r>
              <w:rPr>
                <w:sz w:val="19"/>
              </w:rPr>
              <w:t>0.349</w:t>
            </w:r>
          </w:p>
        </w:tc>
      </w:tr>
      <w:tr>
        <w:tc>
          <w:tcPr>
            <w:tcW w:type="dxa" w:w="4320"/>
          </w:tcPr>
          <w:p>
            <w:r/>
            <w:r>
              <w:rPr>
                <w:sz w:val="19"/>
              </w:rPr>
              <w:t>structure benefit vs edge-removed (AUPRC)</w:t>
            </w:r>
          </w:p>
        </w:tc>
        <w:tc>
          <w:tcPr>
            <w:tcW w:type="dxa" w:w="4320"/>
          </w:tcPr>
          <w:p>
            <w:r/>
            <w:r>
              <w:rPr>
                <w:sz w:val="19"/>
              </w:rPr>
              <w:t>+0.130 (p=0.0002)</w:t>
            </w:r>
          </w:p>
        </w:tc>
      </w:tr>
    </w:tbl>
    <w:p>
      <w:pPr>
        <w:spacing w:after="40"/>
      </w:pPr>
    </w:p>
    <w:p>
      <w:r>
        <w:rPr>
          <w:i/>
          <w:color w:val="555555"/>
          <w:sz w:val="20"/>
        </w:rPr>
        <w:t>The regulatory graph is the lever: the edge-removed model (same network, adjacency zeroed) collapses to the logistic-regression level (~0.39), while the full model reaches 0.526 — a +0.130 AUPRC structure benefit (paired p=0.0002), and here structure also helps program recall. Scoping memory as inertia rather than a fixed bias lets lineage/chromatin context set a transition barrier the graph can act through. Caveat: single configuration (plasticity-as-barrier-lowering, soft attractor); the 13-program pool's absolute AUPRC is not comparable to the 12-program sections above (added programs shift the base rate), so the controlled quantity is the within-pool structure benefit.</w:t>
      </w:r>
    </w:p>
    <w:p>
      <w:pPr>
        <w:pStyle w:val="Heading2"/>
      </w:pPr>
      <w:r>
        <w:t>3.8 The structure advantage scales with program diversity</w:t>
      </w:r>
    </w:p>
    <w:p>
      <w:pPr>
        <w:spacing w:after="120"/>
      </w:pPr>
      <w:r>
        <w:t>To test whether the structure benefit is an artifact of a small program set, we tripled program breadth: seven additional curated cue-&gt;cell-state-transition datasets were ingested (intestinal differentiation, germinal-center B-cell, T-follicular-helper and regulatory-T fates, trophoblast differentiation, adipogenesis, and endothelial-to-mesenchymal transition), each with real per-cell or condition labels and a knowledge-graph cascade, taking the pool to 19 programs / 20 classes / 27,392 cells. We reran the identical converged resistance-gated configuration (hidden 128, 8 steps, 120 epochs), grouped 5-fold x 3-seed, markers in all arms, with the edge-removed structure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 (19-program, markers-in)</w:t>
            </w:r>
          </w:p>
        </w:tc>
        <w:tc>
          <w:tcPr>
            <w:tcW w:type="dxa" w:w="1728"/>
          </w:tcPr>
          <w:p>
            <w:r/>
            <w:r>
              <w:rPr>
                <w:b/>
                <w:sz w:val="19"/>
              </w:rPr>
              <w:t>AUPRC</w:t>
            </w:r>
          </w:p>
        </w:tc>
        <w:tc>
          <w:tcPr>
            <w:tcW w:type="dxa" w:w="1728"/>
          </w:tcPr>
          <w:p>
            <w:r/>
            <w:r>
              <w:rPr>
                <w:b/>
                <w:sz w:val="19"/>
              </w:rPr>
              <w:t>bal-acc</w:t>
            </w:r>
          </w:p>
        </w:tc>
        <w:tc>
          <w:tcPr>
            <w:tcW w:type="dxa" w:w="1728"/>
          </w:tcPr>
          <w:p>
            <w:r/>
            <w:r>
              <w:rPr>
                <w:b/>
                <w:sz w:val="19"/>
              </w:rPr>
              <w:t>prog-rec</w:t>
            </w:r>
          </w:p>
        </w:tc>
        <w:tc>
          <w:tcPr>
            <w:tcW w:type="dxa" w:w="1728"/>
          </w:tcPr>
          <w:p>
            <w:r/>
            <w:r>
              <w:rPr>
                <w:b/>
                <w:sz w:val="19"/>
              </w:rPr>
              <w:t>macro-F1</w:t>
            </w:r>
          </w:p>
        </w:tc>
      </w:tr>
      <w:tr>
        <w:tc>
          <w:tcPr>
            <w:tcW w:type="dxa" w:w="1728"/>
          </w:tcPr>
          <w:p>
            <w:r/>
            <w:r>
              <w:rPr>
                <w:sz w:val="19"/>
              </w:rPr>
              <w:t>logistic regression</w:t>
            </w:r>
          </w:p>
        </w:tc>
        <w:tc>
          <w:tcPr>
            <w:tcW w:type="dxa" w:w="1728"/>
          </w:tcPr>
          <w:p>
            <w:r/>
            <w:r>
              <w:rPr>
                <w:sz w:val="19"/>
              </w:rPr>
              <w:t>0.296</w:t>
            </w:r>
          </w:p>
        </w:tc>
        <w:tc>
          <w:tcPr>
            <w:tcW w:type="dxa" w:w="1728"/>
          </w:tcPr>
          <w:p>
            <w:r/>
            <w:r>
              <w:rPr>
                <w:sz w:val="19"/>
              </w:rPr>
              <w:t>0.276</w:t>
            </w:r>
          </w:p>
        </w:tc>
        <w:tc>
          <w:tcPr>
            <w:tcW w:type="dxa" w:w="1728"/>
          </w:tcPr>
          <w:p>
            <w:r/>
            <w:r>
              <w:rPr>
                <w:sz w:val="19"/>
              </w:rPr>
              <w:t>0.223</w:t>
            </w:r>
          </w:p>
        </w:tc>
        <w:tc>
          <w:tcPr>
            <w:tcW w:type="dxa" w:w="1728"/>
          </w:tcPr>
          <w:p>
            <w:r/>
            <w:r>
              <w:rPr>
                <w:sz w:val="19"/>
              </w:rPr>
              <w:t>0.108</w:t>
            </w:r>
          </w:p>
        </w:tc>
      </w:tr>
      <w:tr>
        <w:tc>
          <w:tcPr>
            <w:tcW w:type="dxa" w:w="1728"/>
          </w:tcPr>
          <w:p>
            <w:r/>
            <w:r>
              <w:rPr>
                <w:sz w:val="19"/>
              </w:rPr>
              <w:t>random forest</w:t>
            </w:r>
          </w:p>
        </w:tc>
        <w:tc>
          <w:tcPr>
            <w:tcW w:type="dxa" w:w="1728"/>
          </w:tcPr>
          <w:p>
            <w:r/>
            <w:r>
              <w:rPr>
                <w:sz w:val="19"/>
              </w:rPr>
              <w:t>0.299</w:t>
            </w:r>
          </w:p>
        </w:tc>
        <w:tc>
          <w:tcPr>
            <w:tcW w:type="dxa" w:w="1728"/>
          </w:tcPr>
          <w:p>
            <w:r/>
            <w:r>
              <w:rPr>
                <w:sz w:val="19"/>
              </w:rPr>
              <w:t>0.221</w:t>
            </w:r>
          </w:p>
        </w:tc>
        <w:tc>
          <w:tcPr>
            <w:tcW w:type="dxa" w:w="1728"/>
          </w:tcPr>
          <w:p>
            <w:r/>
            <w:r>
              <w:rPr>
                <w:sz w:val="19"/>
              </w:rPr>
              <w:t>0.084</w:t>
            </w:r>
          </w:p>
        </w:tc>
        <w:tc>
          <w:tcPr>
            <w:tcW w:type="dxa" w:w="1728"/>
          </w:tcPr>
          <w:p>
            <w:r/>
            <w:r>
              <w:rPr>
                <w:sz w:val="19"/>
              </w:rPr>
              <w:t>0.135</w:t>
            </w:r>
          </w:p>
        </w:tc>
      </w:tr>
      <w:tr>
        <w:tc>
          <w:tcPr>
            <w:tcW w:type="dxa" w:w="1728"/>
          </w:tcPr>
          <w:p>
            <w:r/>
            <w:r>
              <w:rPr>
                <w:sz w:val="19"/>
              </w:rPr>
              <w:t>KG-GNN, edges removed</w:t>
            </w:r>
          </w:p>
        </w:tc>
        <w:tc>
          <w:tcPr>
            <w:tcW w:type="dxa" w:w="1728"/>
          </w:tcPr>
          <w:p>
            <w:r/>
            <w:r>
              <w:rPr>
                <w:sz w:val="19"/>
              </w:rPr>
              <w:t>0.286</w:t>
            </w:r>
          </w:p>
        </w:tc>
        <w:tc>
          <w:tcPr>
            <w:tcW w:type="dxa" w:w="1728"/>
          </w:tcPr>
          <w:p>
            <w:r/>
            <w:r>
              <w:rPr>
                <w:sz w:val="19"/>
              </w:rPr>
              <w:t>0.243</w:t>
            </w:r>
          </w:p>
        </w:tc>
        <w:tc>
          <w:tcPr>
            <w:tcW w:type="dxa" w:w="1728"/>
          </w:tcPr>
          <w:p>
            <w:r/>
            <w:r>
              <w:rPr>
                <w:sz w:val="19"/>
              </w:rPr>
              <w:t>0.220</w:t>
            </w:r>
          </w:p>
        </w:tc>
        <w:tc>
          <w:tcPr>
            <w:tcW w:type="dxa" w:w="1728"/>
          </w:tcPr>
          <w:p>
            <w:r/>
            <w:r>
              <w:rPr>
                <w:sz w:val="19"/>
              </w:rPr>
              <w:t>0.085</w:t>
            </w:r>
          </w:p>
        </w:tc>
      </w:tr>
      <w:tr>
        <w:tc>
          <w:tcPr>
            <w:tcW w:type="dxa" w:w="1728"/>
          </w:tcPr>
          <w:p>
            <w:r/>
            <w:r>
              <w:rPr>
                <w:sz w:val="19"/>
              </w:rPr>
              <w:t>KG-GNN (markers + structure)</w:t>
            </w:r>
          </w:p>
        </w:tc>
        <w:tc>
          <w:tcPr>
            <w:tcW w:type="dxa" w:w="1728"/>
          </w:tcPr>
          <w:p>
            <w:r/>
            <w:r>
              <w:rPr>
                <w:sz w:val="19"/>
              </w:rPr>
              <w:t>0.537</w:t>
            </w:r>
          </w:p>
        </w:tc>
        <w:tc>
          <w:tcPr>
            <w:tcW w:type="dxa" w:w="1728"/>
          </w:tcPr>
          <w:p>
            <w:r/>
            <w:r>
              <w:rPr>
                <w:sz w:val="19"/>
              </w:rPr>
              <w:t>0.353</w:t>
            </w:r>
          </w:p>
        </w:tc>
        <w:tc>
          <w:tcPr>
            <w:tcW w:type="dxa" w:w="1728"/>
          </w:tcPr>
          <w:p>
            <w:r/>
            <w:r>
              <w:rPr>
                <w:sz w:val="19"/>
              </w:rPr>
              <w:t>0.328</w:t>
            </w:r>
          </w:p>
        </w:tc>
        <w:tc>
          <w:tcPr>
            <w:tcW w:type="dxa" w:w="1728"/>
          </w:tcPr>
          <w:p>
            <w:r/>
            <w:r>
              <w:rPr>
                <w:sz w:val="19"/>
              </w:rPr>
              <w:t>0.166</w:t>
            </w:r>
          </w:p>
        </w:tc>
      </w:tr>
    </w:tbl>
    <w:p>
      <w:pPr>
        <w:spacing w:after="40"/>
      </w:pPr>
    </w:p>
    <w:p>
      <w:r>
        <w:rPr>
          <w:i/>
          <w:color w:val="555555"/>
          <w:sz w:val="20"/>
        </w:rPr>
        <w:t>On the same seed x fold splits (paired Wilcoxon), the KG-GNN significantly beats logistic regression (+0.270 AUPRC, p=0.0003; +0.090 program recall, p=0.0001), random forest (+0.259 / +0.256), and — the controlled comparison — its own edge-removed twin (+0.282 AUPRC, p=0.0001; +0.096 recall). The key observation is how the gap arose: the KG-GNN's AUPRC is essentially unchanged from the 12/13-program pool (0.53 -&gt; 0.54), while the structureless models degrade sharply as programs triple (logistic regression, random forest, and the edge-removed network all fall from ~0.40 to ~0.29). Regulatory structure thus buys ROBUSTNESS to program diversity: it sustains ranking quality where flat learners do not, and the ranking advantage — modest on 12 programs — is roughly quadrupled (+0.07 -&gt; +0.28) as breadth grows (top-1 stays competitive, not superior). The edge-removed model again collapsing onto logistic regression confirms the graph, not features or capacity, is the lever, and rules out the new single-source programs leaking via batch identity (the edge-removed twin shares that information and does not exploit it; cue nodes are off throughout, so no cue-gating). So regulatory structure sustains ranking where structureless models degrade as program count grows. The result is robust to the attractor configuration (soft and delayed-soft both give AUPRC ~0.57 with a ~+0.26 structure benefit, paired p=0.0001; 3.3). Caveats: large grouped-fold variance (+/-0.11); several added programs are single-source, so grouped-split cannot test transfer TO them.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Two aspects of how the mechanisms are scoped shaped the result, and both point to biological scoping rather than a failure of the graph. First, a winner-take-all attractor saturates probabilities and erases graded temporal signal; the model's soft (graded) attractor recovers graded temporal emergence on the real EMT course, and an edge-removed control shows the regulatory graph — not the markers — drives it (rho +0.164 with structure vs -0.087 without). Second, scoping intrinsic memory as transition RESISTANCE — a barrier the cue must overcome, with plasticity lowering it — lets the regulatory graph act through lineage/chromatin context rather than as a fixed bias. Together these say the graph's value emerges when its mechanisms are scoped to their biological roles (graded attractor, memory-as-inertia): with that scoping the regulatory structure contributes on program RANKING and temporally under honest grouped-dataset evaluation (top-1 competitive, not superior). The gains are modest, and on cross-dataset classification the model remains competitive rather than dominant; but the direction consistently supports the theory that lineage/chromatin context sets a transition barrier the cue must overcome.</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advantage is specific to AUPRC (ranking); on top-1 metrics the model matches, not beats, the baselines. A converged (epochs-120) multi-seed run to confirm top-1 recovery is still useful.</w:t>
      </w:r>
    </w:p>
    <w:p>
      <w:pPr>
        <w:pStyle w:val="ListBullet"/>
      </w:pPr>
      <w:r>
        <w:t>The temporal-emergence result is on a single EMT time-course and requires the attractor off (WTA sharpening erases the graded signal); multi-dataset temporal validation is future work.</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ListBullet"/>
      </w:pPr>
      <w:r>
        <w:t>Section 3.3b, the temporal-emergence, and LOPO results were first measured on an earlier memory formulation; the resistance-gated architecture is now the sole model and 3.3 has been re-measured on it (structure +0.265 AUPRC, p=0.0001) and temporal confirmed (rho +0.164 vs -0.087 edge-removed); 3.3b and LOPO re-runs on resistance still pending.</w:t>
      </w:r>
    </w:p>
    <w:p>
      <w:pPr>
        <w:pStyle w:val="ListBullet"/>
      </w:pPr>
      <w:r>
        <w:t>The program-diversity scaling result (3.8) is confirmed across two attractor configurations (soft, delayed-soft); several added programs are single-source, so grouped-split cannot test transfer TO them; fold variance is large (+/-0.11).</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~0.53 vs ~0.27 baselines, paired p&lt;=0.0004) on the hard cross-dataset-transfer regime; it is competitive not superior on top-1 metrics, recovers known regulators, and reproduces the theory's plasticity-gated dynamics in simulation. The central claim — that regulatory structure adds value on top of markers — is supported by TWO independent edge-removed controls (features held equal, only edges removed): it significantly improves program ranking (+0.275 AUPRC, paired p=0.0001, thesis-faithful model) and it drives graded temporal emergence (rho +0.164 with structure vs -0.087 without). This ranking advantage does not depend on a small program set: tripling breadth to ~20 programs WIDENS it to +0.28 AUPRC over the edge-removed control (paired p=0.0001), because structure sustains ranking quality where flat learners degrade with program count (Section 3.8). A blanket top-1 classification win is NOT claimed (the model matches, not beats, on argmax), which we report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