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markers in, soft graded attractor — it reads graded temporal program emergence (rho +0.164) that COLLAPSES to -0.087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as transition resistance. Lineage/chromatin memory enters the model as transition RESISTANCE: it sets the barrier a cue must overcome to leave the current attractor, plasticity LOWERS that barrier (rather than amplifying the cue), and a soft/graded attractor (not winner-take-all) preserves temporal gradients (Section 3.7). The resistance gate, plasticity, soft attractor, and memory re-injection strength are each independently ablatable, so the contribution of every mechanism can be measured (Section 3.5).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(mask=none), isolating structure as the only variable: the full resistance-gated KG-GNN vs the IDENTICAL network with the graph edges removed (kg_gnn_noedges) — same architecture, capacity, features, and markers. Converged (hidden 128, 8 steps, 120 epochs), 5-fold x 3-seed grouped CV on the full 20-program / 21-class pool; the soft (graded) attractor preserves probability ranking (hard winner-take-all would saturate it).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Model (markers in all, 20 programs)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prog-recall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vs KG-GNN AUPRC (paired)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0.191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+0.265,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+0.278,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0.092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+0.273, p=0.0001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(+0.265 AUPRC over the edge-removed control, paired p=0.0001) AND program recall (+0.148, p=0.0001) — on this converged 20-program model the structure advantage now covers top-1, not only ranking. The control is decisive: removing the graph from the same network drops AUPRC to 0.310 — right onto the logistic-regression level (0.302) — so the structure, not capacity or features, is the lever, and the new single-source programs are not leaking via batch identity (the edge-removed twin shares that information and does not exploit it). The KG-GNN also significantly beats both external structureless baselines on every metric. Claim: layered regulatory structure significantly improves the model's identification and ranking of the correct program, markers held equal — a direct, controlled test of the theory. (The soft graded attractor preserves this signal; hard winner-take-all would saturate it — 3.4.) The result is robust to the attractor configuration: repeating with a delayed-soft attractor gives AUPRC 0.572 and a +0.259 structure benefit over the edge-removed control (paired p=0.0001), matching the soft-attractor run.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resistance-gated model, soft attractor). Adding the regulatory graph significantly raises program-ranking AUPRC over the identical edge-removed network and structureless baselines (paired Wilcoxon vs KG-GNN, all p=0.0001). Figure is being regenerated on the 20-program pool; the plotted values reflect an earlier pool but the qualitative result is unchanged.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soft attractor)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+0.164 (p=1e-44)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-0.087 (p=1e-13) — collapses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 (resistance-gated model). Under the thesis-aligned setting (markers in; the soft graded attractor keeps probabilities graded) the KG-GNN reads graded temporal emergence — P(EMT) rises monotonically across 8h-&gt;7d (EMT-labelled rho +0.164, p=1e-44). The edge-removed control settles the attribution: with the SAME network, markers, and config but the graph removed, the gradient COLLAPSES and reverses (rho -0.087). So the regulatory STRUCTURE, not the markers, drives the graded temporal commitment — a second controlled confirmation of the theory (the first being program ranking, 3.3). The soft (not hard) attractor is required: hard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The model scopes intrinsic memory as transition RESISTANCE — the barrier a cue must overcome to leave the current attractor — keeping it focused on its objective (predicting the pathway program) rather than imposing a secondary autoregulation signal. Resistance is computed per cell from lineage-TF, chromatin, and current-program states; plasticity lowers it; the state updates as resistance*current + (1-resistance)*candidate, and a soft (graded) attractor replaces winner-take-all so temporal gradients survive. On a 13-program pool (markers in all arms, grouped folds/seeds, leakage controls):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resistance-gated KG-GNN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regulatory graph is the lever: the edge-removed model (same network, adjacency zeroed) collapses to the logistic-regression level (~0.39), while the full model reaches 0.526 — a +0.130 AUPRC structure benefit (paired p=0.0002), and here structure also helps program recall. Scoping memory as inertia rather than a fixed bias lets lineage/chromatin context set a transition barrier the graph can act through. Caveat: single configuration (plasticity-as-barrier-lowering, soft attractor); the 13-program pool's absolute AUPRC is not comparable to the 12-program sections above (added programs shift the base rate), so the controlled quantity is the within-pool structure benefit.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So regulatory structure sustains ranking where structureless models degrade as program count grows. The result is robust to the attractor configuration (soft and delayed-soft both give AUPRC ~0.57 with a ~+0.26 structure benefit, paired p=0.0001; 3.3). Caveats: large grouped-fold variance (+/-0.11); several added programs are single-source, so grouped-split cannot test transfer TO them.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aspects of how the mechanisms are scoped shaped the result, and both point to biological scoping rather than a failure of the graph. First, a winner-take-all attractor saturates probabilities and erases graded temporal signal; the model's soft (graded) attractor recovers graded temporal emergence on the real EMT course, and an edge-removed control shows the regulatory graph — not the markers — drives it (rho +0.164 with structure vs -0.087 without). Second, scoping intrinsic memory as transition RESISTANCE — a barrier the cue must overcome, with plasticity lowering it — lets the regulatory graph act through lineage/chromatin context rather than as a fixed bias. Together these say the graph's value emerges when its mechanisms are scoped to their biological roles (graded attractor, memory-as-inertia): with that scoping the regulatory structure contributes on ranking, top-1, and temporally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Section 3.3b, the temporal-emergence, and LOPO results were first measured on an earlier memory formulation; the resistance-gated architecture is now the sole model and 3.3 has been re-measured on it (structure +0.265 AUPRC, p=0.0001) and temporal confirmed (rho +0.164 vs -0.087 edge-removed); 3.3b and LOPO re-runs on resistance still pending.</w:t>
      </w:r>
    </w:p>
    <w:p>
      <w:pPr>
        <w:pStyle w:val="ListBullet"/>
      </w:pPr>
      <w:r>
        <w:t>The program-diversity scaling result (3.8) is confirmed across two attractor configurations (soft, delayed-soft); several added programs are single-source, so grouped-split cannot test transfer TO them; fold variance is large (+/-0.11).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+0.164 with structure vs -0.087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(Section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