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 that COLLAPSES to +0.03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formulation. We evaluated two formulations of how lineage/chromatin memory enters the model. The INITIAL formulation re-injected intrinsic memory as a strong signal every message-passing round (with a decaying cue and a plasticity term scaling cue influence, and a winner-take-all attractor step) — effectively adding a secondary autoregulation mechanism on top of the pathway prediction. The PREFERRED formulation (Section 3.7) reframes memory as transition RESISTANCE: memory sets the barrier a cue must overcome to leave the current attractor, plasticity LOWERS that barrier (rather than amplifying the cue), and a soft/graded attractor replaces winner-take-all. All of these are independently ablatable so the contribution of each can be measured; leakage controls are identical across formulations.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 and the attractor off (an honest graded classifier, no forced fate), isolating structure as the only variable: the full KG-GNN vs the IDENTICAL network with the graph edges removed (kg_gnn_noedges) — same architecture, capacity, features, and markers. 5-fold x 3-seed grouped CV;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Model (markers in all)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vs KG-GNN (paired)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0.473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+0.082, p=0.015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0.397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+0.089, p=0.018 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+0.059, p=0.015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(+0.082 AUPRC, p=0.015). The control is decisive: removing the graph from the same network drops it to 0.392 — right onto the logistic-regression level (0.397) — so the structure, not capacity or features, is the lever. The KG-GNN also significantly beats both external structureless baselines. Scope: the gain is specific to AUPRC (ranking); on prog-recall the arms tie (p~1.0). Claim: layered regulatory structure significantly improves the model's ranking of the correct program, markers held equal — a direct, controlled test of the theory. (Attractor off; the winner-take-all sharpening, when on, saturates probabilities and erases this graded ranking signal — see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attractor off). Adding the regulatory graph (blue) significantly raises program-ranking AUPRC over the identical edge-removed network and structureless baselines (paired Wilcoxon vs KG-GNN). Wide error bars are grouped-fold variance; the paired test is the correct comparison.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 This edge does not shrink as the program set grows — on a 19-program pool it widens and extends to top-1 metrics (Section 3.8).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attractor OFF)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+0.033 (p=5e-03) — flat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— flat / null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axis. Under the thesis-aligned setting (markers in, winner-take-all attractor OFF so probabilities stay graded) the KG-GNN reads graded temporal emergence — P(EMT) rises monotonically across 8h-&gt;7d (rho +0.203). The edge-removed control settles the attribution: with the SAME network, markers, and config but the graph removed, the gradient COLLAPSES to +0.033 (near-flat). So the regulatory STRUCTURE, not the markers, drives the graded temporal commitment — a second controlled confirmation of the theory (the first being program ranking, 3.3). The attractor must be off: its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Reframing intrinsic memory as transition RESISTANCE — the barrier a cue must overcome to leave the current attractor — rather than a re-injected default signal, keeps the model focused on its objective (predicting the pathway program) instead of imposing a secondary autoregulation mechanism. Resistance is computed per cell from lineage-TF, chromatin, and current-program states; plasticity lowers it; the state updates as resistance*current + (1-resistance)*candidate, and a soft (graded) attractor replaces winner-take-all. We compared the two formulations on an expanded 13-program pool (adding T-cell exhaustion as a genuine-generalization stress test), markers included in all arms, identical grouped folds/seeds and leakage controls.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initial re-injection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resistance-gated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0.372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0.177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0.351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+0.085 (p=0.0015)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resistance formulation improves the top-1 metrics the initial formulation only matched (balanced accuracy +0.031, macro-F1 +0.015) at equal-or-better AUPRC, and — the key point — it WIDENS the benefit of regulatory structure: the graph's edge-removed AUPRC advantage grows from +0.085 to +0.130 (more significant), and structure begins to help program recall (which it did not under re-injection). In both formulations the edge-removed model collapses to the logistic-regression level (~0.39), confirming the graph is the lever. Interpretation: scoping memory as inertia (not a re-injected default) lets the regulatory graph contribute more to pathway prediction, consistent with the theory that lineage/chromatin context sets a transition barrier rather than a fixed bias. Caveats: the gains are modest and from a single configuration (plasticity-as-barrier-lowering, soft attractor); the folds are shared so the means are comparable but a formal paired test between formulations is future work; and the 13-program pool adds a cleanly separable program (exhaustion) that raises absolute AUPRC independent of architecture, so the controlled quantities are the within-pool structure benefit and top-1 deltas, not the absolute AUPRC vs the 12-program sections above.</w:t>
      </w:r>
    </w:p>
    <w:p>
      <w:pPr>
        <w:pStyle w:val="Heading2"/>
      </w:pPr>
      <w:r>
        <w:t>3.8 The structure advantage scales with program diversity</w:t>
      </w:r>
    </w:p>
    <w:p>
      <w:pPr>
        <w:spacing w:after="120"/>
      </w:pPr>
      <w:r>
        <w:t>To test whether the structure benefit is an artifact of a small program set, we tripled program breadth: seven additional curated cue-&gt;cell-state-transition datasets were ingested (intestinal differentiation, germinal-center B-cell, T-follicular-helper and regulatory-T fates, trophoblast differentiation, adipogenesis, and endothelial-to-mesenchymal transition), each with real per-cell or condition labels and a knowledge-graph cascade, taking the pool to 19 programs / 20 classes / 27,392 cells. We reran the identical converged resistance-gated configuration (hidden 128, 8 steps, 120 epochs), grouped 5-fold x 3-seed, markers in all arms, with the edge-removed structure control.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 (19-program, markers-in)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bal-acc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prog-rec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KG-GNN, edges removed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0.166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On the same seed x fold splits (paired Wilcoxon), the KG-GNN significantly beats logistic regression (+0.270 AUPRC, p=0.0003; +0.090 program recall, p=0.0001), random forest (+0.259 / +0.256), and — the controlled comparison — its own edge-removed twin (+0.282 AUPRC, p=0.0001; +0.096 recall). The key observation is how the gap arose: the KG-GNN's AUPRC is essentially unchanged from the 12/13-program pool (0.53 -&gt; 0.54), while the structureless models degrade sharply as programs triple (logistic regression, random forest, and the edge-removed network all fall from ~0.40 to ~0.29). Regulatory structure thus buys ROBUSTNESS to program diversity: it sustains ranking quality where flat learners do not, and the advantage — ranking-only and modest on 12 programs — now also covers top-1 (balanced accuracy, program recall) and is roughly quadrupled (+0.07 -&gt; +0.28). The edge-removed model again collapsing onto logistic regression confirms the graph, not features or capacity, is the lever, and rules out the new single-source programs leaking via batch identity (the edge-removed twin shares that information and does not exploit it; cue nodes are off throughout, so no cue-gating). Caveats: a single configuration; large grouped-fold variance (+/-0.11); several added programs are single-source, so grouped-split cannot test transfer TO them. A second-configuration confirmation is in progress before this is treated as more than a single-config finding.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architectural findings shaped the result, and both point to mis-scoped MECHANISM rather than a failure of the graph. First, the winner-take-all attractor saturated probabilities and erased graded temporal signal; a soft (graded) attractor recovered graded temporal emergence on the real EMT course, and an edge-removed control showed the regulatory graph — not the markers — drives it (rho +0.20 with structure vs +0.03 without). Second, reframing intrinsic memory as transition resistance rather than a re-injected default (Section 3.7) improved top-1 metrics and widened the structure benefit. Together these suggest the model's earlier ceilings were partly artifacts of over-strong mechanisms (hard winner-take-all, forced memory re-injection): better biological scoping let the regulatory structure contribute more — on ranking, top-1, and temporally —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ListBullet"/>
      </w:pPr>
      <w:r>
        <w:t>The 19-program scaling result (3.8) is a single configuration; several added programs are single-source, so grouped-split cannot test transfer TO them. A second-configuration confirmation is in progress.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+0.20 with structure vs +0.03 without). This ranking advantage does not depend on a small program set: tripling breadth to 19 programs WIDENS it to +0.28 AUPRC over the edge-removed control (paired p=0.0001) and extends it to top-1 metrics, because structure sustains ranking quality where flat learners degrade with program count (single-config; Section 3.8).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