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 that COLLAPSES to +0.03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The model's objective is to predict a cell's response-program (pathway) state from its measured gene activity over the regulatory graph. Nodes are molecules, chromatin features, or response programs; edges are literature activation/inhibition relations. The GNN sees only the binary graph STRUCTURE (edge signs/weights are never exposed) plus the cell's expression injected onto nodes, and reads out a program via message passing. A hybrid residual (a linear map from the raw node vector to the class logits) guarantees it is at least as expressive as a linear classifier; message passing is vectorized over relations.</w:t>
      </w:r>
    </w:p>
    <w:p>
      <w:pPr>
        <w:spacing w:after="120"/>
      </w:pPr>
      <w:r>
        <w:t>Intrinsic memory as transition resistance. Lineage/chromatin memory enters the model as transition RESISTANCE: it sets the barrier a cue must overcome to leave the current attractor, plasticity LOWERS that barrier (rather than amplifying the cue), and a soft/graded attractor (not winner-take-all) preserves temporal gradients (Section 3.7). The resistance gate, plasticity, soft attractor, and memory re-injection strength are each independently ablatable, so the contribution of every mechanism can be measured (Section 3.5).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 This edge does not shrink as the program set grows — on a 19-program pool it widens and extends to top-1 metrics (Section 3.8).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attractor OFF)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+0.033 (p=5e-03) — flat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— flat / null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axis. Under the thesis-aligned setting (markers in, winner-take-all attractor OFF so probabilities stay graded) the KG-GNN reads graded temporal emergence — P(EMT) rises monotonically across 8h-&gt;7d (rho +0.203). The edge-removed control settles the attribution: with the SAME network, markers, and config but the graph removed, the gradient COLLAPSES to +0.033 (near-flat). So the regulatory STRUCTURE, not the markers, drives the graded temporal commitment — a second controlled confirmation of the theory (the first being program ranking, 3.3). The attractor must be off: its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2"/>
      </w:pPr>
      <w:r>
        <w:t>3.7 Architecture: intrinsic memory as transition resistance</w:t>
      </w:r>
    </w:p>
    <w:p>
      <w:pPr>
        <w:spacing w:after="120"/>
      </w:pPr>
      <w:r>
        <w:t>The model scopes intrinsic memory as transition RESISTANCE — the barrier a cue must overcome to leave the current attractor — keeping it focused on its objective (predicting the pathway program) rather than imposing a secondary autoregulation signal. Resistance is computed per cell from lineage-TF, chromatin, and current-program states; plasticity lowers it; the state updates as resistance*current + (1-resistance)*candidate, and a soft (graded) attractor replaces winner-take-all so temporal gradients survive. On a 13-program pool (markers in all arms, grouped folds/seeds, leakage controls):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metric (13-program, markers-in)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resistance-gated KG-GNN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macro-AUPRC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0.526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balanced accuracy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0.403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macro-F1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0.192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program recall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0.349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structure benefit vs edge-removed (AUPRC)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+0.130 (p=0.0002)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regulatory graph is the lever: the edge-removed model (same network, adjacency zeroed) collapses to the logistic-regression level (~0.39), while the full model reaches 0.526 — a +0.130 AUPRC structure benefit (paired p=0.0002), and here structure also helps program recall. Scoping memory as inertia rather than a fixed bias lets lineage/chromatin context set a transition barrier the graph can act through. Caveat: single configuration (plasticity-as-barrier-lowering, soft attractor); the 13-program pool's absolute AUPRC is not comparable to the 12-program sections above (added programs shift the base rate), so the controlled quantity is the within-pool structure benefit.</w:t>
      </w:r>
    </w:p>
    <w:p>
      <w:pPr>
        <w:pStyle w:val="Heading2"/>
      </w:pPr>
      <w:r>
        <w:t>3.8 The structure advantage scales with program diversity</w:t>
      </w:r>
    </w:p>
    <w:p>
      <w:pPr>
        <w:spacing w:after="120"/>
      </w:pPr>
      <w:r>
        <w:t>To test whether the structure benefit is an artifact of a small program set, we tripled program breadth: seven additional curated cue-&gt;cell-state-transition datasets were ingested (intestinal differentiation, germinal-center B-cell, T-follicular-helper and regulatory-T fates, trophoblast differentiation, adipogenesis, and endothelial-to-mesenchymal transition), each with real per-cell or condition labels and a knowledge-graph cascade, taking the pool to 19 programs / 20 classes / 27,392 cells. We reran the identical converged resistance-gated configuration (hidden 128, 8 steps, 120 epochs), grouped 5-fold x 3-seed, markers in all arms, with the edge-removed structure control.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 (19-program, markers-in)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bal-acc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prog-rec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KG-GNN, edges removed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0.537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0.166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On the same seed x fold splits (paired Wilcoxon), the KG-GNN significantly beats logistic regression (+0.270 AUPRC, p=0.0003; +0.090 program recall, p=0.0001), random forest (+0.259 / +0.256), and — the controlled comparison — its own edge-removed twin (+0.282 AUPRC, p=0.0001; +0.096 recall). The key observation is how the gap arose: the KG-GNN's AUPRC is essentially unchanged from the 12/13-program pool (0.53 -&gt; 0.54), while the structureless models degrade sharply as programs triple (logistic regression, random forest, and the edge-removed network all fall from ~0.40 to ~0.29). Regulatory structure thus buys ROBUSTNESS to program diversity: it sustains ranking quality where flat learners do not, and the advantage — ranking-only and modest on 12 programs — now also covers top-1 (balanced accuracy, program recall) and is roughly quadrupled (+0.07 -&gt; +0.28). The edge-removed model again collapsing onto logistic regression confirms the graph, not features or capacity, is the lever, and rules out the new single-source programs leaking via batch identity (the edge-removed twin shares that information and does not exploit it; cue nodes are off throughout, so no cue-gating). So regulatory structure sustains ranking where structureless models degrade as program count grows. Caveats: a single configuration (converged resistance-gated, soft attractor); large grouped-fold variance (+/-0.11); several added programs are single-source, so grouped-split cannot test transfer TO them. A second resistance-gated configuration (varying attractor mode / capacity) is the natural confirmation and is pending.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Two aspects of how the mechanisms are scoped shaped the result, and both point to biological scoping rather than a failure of the graph. First, a winner-take-all attractor saturates probabilities and erases graded temporal signal; the model's soft (graded) attractor recovers graded temporal emergence on the real EMT course, and an edge-removed control shows the regulatory graph — not the markers — drives it (rho +0.20 with structure vs +0.03 without). Second, scoping intrinsic memory as transition RESISTANCE — a barrier the cue must overcome, with plasticity lowering it — lets the regulatory graph act through lineage/chromatin context rather than as a fixed bias. Together these say the graph's value emerges when its mechanisms are scoped to their biological roles (graded attractor, memory-as-inertia): with that scoping the regulatory structure contributes on ranking, top-1, and temporally under honest grouped-dataset evaluation. The gains are modest, and on cross-dataset classification the model remains competitive rather than dominant; but the direction consistently supports the theory that lineage/chromatin context sets a transition barrier the cue must overcome.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ListBullet"/>
      </w:pPr>
      <w:r>
        <w:t>Sections 3.3, 3.3b, and the temporal/LOPO results were first measured on an earlier memory formulation; the resistance-gated architecture is now the sole model (3.7/3.8 report it directly), and those earlier sections are being re-measured on it for consistency.</w:t>
      </w:r>
    </w:p>
    <w:p>
      <w:pPr>
        <w:pStyle w:val="ListBullet"/>
      </w:pPr>
      <w:r>
        <w:t>The program-diversity scaling result (3.8) is a single resistance-gated configuration; several added programs are single-source, so grouped-split cannot test transfer TO them; fold variance is large (+/-0.11). A second resistance configuration is the natural confirmation (pending).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+0.20 with structure vs +0.03 without). This ranking advantage does not depend on a small program set: tripling breadth to 19 programs WIDENS it to +0.28 AUPRC over the edge-removed control (paired p=0.0001) and extends it to top-1 metrics, because structure sustains ranking quality where flat learners degrade with program count (Section 3.8).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