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86FD2">
      <w:pPr>
        <w:spacing w:before="1400" w:after="0"/>
      </w:pPr>
      <w:r>
        <w:rPr>
          <w:rFonts w:ascii="Calibri" w:hAnsi="Calibri" w:eastAsia="Calibri" w:cs="Calibri"/>
          <w:b/>
          <w:bCs/>
          <w:color w:val="1F3864"/>
          <w:sz w:val="30"/>
          <w:szCs w:val="30"/>
        </w:rPr>
        <w:t>GEB PLATFORM</w:t>
      </w:r>
    </w:p>
    <w:p w14:paraId="166AA830">
      <w:pPr>
        <w:spacing w:after="240"/>
      </w:pPr>
      <w:r>
        <w:rPr>
          <w:rFonts w:ascii="Calibri" w:hAnsi="Calibri" w:eastAsia="Calibri" w:cs="Calibri"/>
          <w:b/>
          <w:bCs/>
          <w:color w:val="000000"/>
          <w:sz w:val="44"/>
          <w:szCs w:val="44"/>
        </w:rPr>
        <w:t>CVE Remediation — Solution Document</w:t>
      </w:r>
    </w:p>
    <w:p w14:paraId="4248BFC1">
      <w:pPr>
        <w:spacing w:after="60"/>
      </w:pPr>
      <w:r>
        <w:rPr>
          <w:rFonts w:ascii="Calibri" w:hAnsi="Calibri" w:eastAsia="Calibri" w:cs="Calibri"/>
          <w:color w:val="595959"/>
          <w:sz w:val="24"/>
          <w:szCs w:val="24"/>
        </w:rPr>
        <w:t>Singapore (SG) Country Release  ·  Portal Application</w:t>
      </w:r>
    </w:p>
    <w:p w14:paraId="5943FEDC">
      <w:pPr>
        <w:spacing w:after="600"/>
      </w:pPr>
      <w:r>
        <w:rPr>
          <w:rFonts w:ascii="Calibri" w:hAnsi="Calibri" w:eastAsia="Calibri" w:cs="Calibri"/>
          <w:i/>
          <w:iCs/>
          <w:color w:val="595959"/>
          <w:sz w:val="24"/>
          <w:szCs w:val="24"/>
        </w:rPr>
        <w:t>August 2026</w:t>
      </w:r>
    </w:p>
    <w:p w14:paraId="748AB5DE">
      <w:pPr>
        <w:pBdr>
          <w:top w:val="single" w:color="1F3864" w:sz="6" w:space="0"/>
        </w:pBdr>
        <w:spacing w:after="240"/>
      </w:pPr>
    </w:p>
    <w:p w14:paraId="75740931">
      <w:pPr>
        <w:spacing w:after="40"/>
      </w:pPr>
      <w:r>
        <w:rPr>
          <w:rFonts w:ascii="Calibri" w:hAnsi="Calibri" w:eastAsia="Calibri" w:cs="Calibri"/>
          <w:b/>
          <w:bCs/>
          <w:sz w:val="22"/>
          <w:szCs w:val="22"/>
        </w:rPr>
        <w:t xml:space="preserve">Prepared by:  </w:t>
      </w:r>
      <w:r>
        <w:rPr>
          <w:rFonts w:ascii="Calibri" w:hAnsi="Calibri" w:eastAsia="Calibri" w:cs="Calibri"/>
          <w:sz w:val="22"/>
          <w:szCs w:val="22"/>
        </w:rPr>
        <w:t>Wipro Consulting</w:t>
      </w:r>
    </w:p>
    <w:p w14:paraId="10C7EC40">
      <w:pPr>
        <w:spacing w:after="40"/>
      </w:pPr>
      <w:r>
        <w:rPr>
          <w:rFonts w:ascii="Calibri" w:hAnsi="Calibri" w:eastAsia="Calibri" w:cs="Calibri"/>
          <w:b/>
          <w:bCs/>
          <w:sz w:val="22"/>
          <w:szCs w:val="22"/>
        </w:rPr>
        <w:t xml:space="preserve">Prepared for:  </w:t>
      </w:r>
      <w:r>
        <w:rPr>
          <w:rFonts w:ascii="Calibri" w:hAnsi="Calibri" w:eastAsia="Calibri" w:cs="Calibri"/>
          <w:sz w:val="22"/>
          <w:szCs w:val="22"/>
        </w:rPr>
        <w:t>United Overseas Bank (UOB) — Singapore</w:t>
      </w:r>
    </w:p>
    <w:p w14:paraId="36EED3C5">
      <w:pPr>
        <w:spacing w:after="40"/>
      </w:pPr>
      <w:r>
        <w:rPr>
          <w:rFonts w:ascii="Calibri" w:hAnsi="Calibri" w:eastAsia="Calibri" w:cs="Calibri"/>
          <w:b/>
          <w:bCs/>
          <w:sz w:val="22"/>
          <w:szCs w:val="22"/>
        </w:rPr>
        <w:t xml:space="preserve">Version:  </w:t>
      </w:r>
      <w:r>
        <w:rPr>
          <w:rFonts w:ascii="Calibri" w:hAnsi="Calibri" w:eastAsia="Calibri" w:cs="Calibri"/>
          <w:sz w:val="22"/>
          <w:szCs w:val="22"/>
        </w:rPr>
        <w:t>1.3</w:t>
      </w:r>
    </w:p>
    <w:p w14:paraId="587EC3F0">
      <w:pPr>
        <w:spacing w:after="40"/>
      </w:pPr>
      <w:r>
        <w:rPr>
          <w:rFonts w:ascii="Calibri" w:hAnsi="Calibri" w:eastAsia="Calibri" w:cs="Calibri"/>
          <w:b/>
          <w:bCs/>
          <w:sz w:val="22"/>
          <w:szCs w:val="22"/>
        </w:rPr>
        <w:t xml:space="preserve">Classification:  </w:t>
      </w:r>
      <w:r>
        <w:rPr>
          <w:rFonts w:ascii="Calibri" w:hAnsi="Calibri" w:eastAsia="Calibri" w:cs="Calibri"/>
          <w:i/>
          <w:iCs/>
          <w:sz w:val="22"/>
          <w:szCs w:val="22"/>
        </w:rPr>
        <w:t>Restricted</w:t>
      </w:r>
    </w:p>
    <w:p w14:paraId="13F33D8D">
      <w:r>
        <w:br w:type="textWrapping"/>
      </w:r>
    </w:p>
    <w:p w14:paraId="485BABFF">
      <w:pPr>
        <w:pageBreakBefore/>
      </w:pPr>
    </w:p>
    <w:p w14:paraId="22820BEE">
      <w:pPr>
        <w:pStyle w:val="2"/>
        <w:spacing w:before="260" w:after="120"/>
      </w:pPr>
      <w:r>
        <w:rPr>
          <w:rFonts w:ascii="Calibri" w:hAnsi="Calibri" w:eastAsia="Calibri" w:cs="Calibri"/>
          <w:b/>
          <w:bCs/>
          <w:color w:val="1F3864"/>
          <w:sz w:val="26"/>
          <w:szCs w:val="26"/>
        </w:rPr>
        <w:t>Document Control</w:t>
      </w:r>
    </w:p>
    <w:p w14:paraId="4B4B6B80">
      <w:pPr>
        <w:pStyle w:val="3"/>
        <w:spacing w:before="180" w:after="90"/>
      </w:pPr>
      <w:r>
        <w:rPr>
          <w:rFonts w:ascii="Calibri" w:hAnsi="Calibri" w:eastAsia="Calibri" w:cs="Calibri"/>
          <w:b/>
          <w:bCs/>
          <w:color w:val="1F3864"/>
          <w:sz w:val="22"/>
          <w:szCs w:val="22"/>
        </w:rPr>
        <w:t>Version History</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000"/>
        <w:gridCol w:w="1500"/>
        <w:gridCol w:w="2400"/>
        <w:gridCol w:w="4120"/>
      </w:tblGrid>
      <w:tr w14:paraId="090FF9E3">
        <w:trPr>
          <w:tblHeader/>
        </w:trPr>
        <w:tc>
          <w:tcPr>
            <w:tcW w:w="1000" w:type="dxa"/>
            <w:shd w:val="clear" w:color="auto" w:fill="1F3864"/>
            <w:tcMar>
              <w:top w:w="40" w:type="dxa"/>
              <w:left w:w="90" w:type="dxa"/>
              <w:bottom w:w="40" w:type="dxa"/>
              <w:right w:w="90" w:type="dxa"/>
            </w:tcMar>
          </w:tcPr>
          <w:p w14:paraId="29D2B5BC">
            <w:pPr>
              <w:spacing w:before="20" w:after="20" w:line="252" w:lineRule="auto"/>
              <w:jc w:val="left"/>
            </w:pPr>
            <w:r>
              <w:rPr>
                <w:rFonts w:ascii="Calibri" w:hAnsi="Calibri" w:eastAsia="Calibri" w:cs="Calibri"/>
                <w:b/>
                <w:bCs/>
                <w:color w:val="FFFFFF"/>
                <w:sz w:val="18"/>
                <w:szCs w:val="18"/>
              </w:rPr>
              <w:t>Version</w:t>
            </w:r>
          </w:p>
        </w:tc>
        <w:tc>
          <w:tcPr>
            <w:tcW w:w="1500" w:type="dxa"/>
            <w:shd w:val="clear" w:color="auto" w:fill="1F3864"/>
            <w:tcMar>
              <w:top w:w="40" w:type="dxa"/>
              <w:left w:w="90" w:type="dxa"/>
              <w:bottom w:w="40" w:type="dxa"/>
              <w:right w:w="90" w:type="dxa"/>
            </w:tcMar>
          </w:tcPr>
          <w:p w14:paraId="46693390">
            <w:pPr>
              <w:spacing w:before="20" w:after="20" w:line="252" w:lineRule="auto"/>
              <w:jc w:val="left"/>
            </w:pPr>
            <w:r>
              <w:rPr>
                <w:rFonts w:ascii="Calibri" w:hAnsi="Calibri" w:eastAsia="Calibri" w:cs="Calibri"/>
                <w:b/>
                <w:bCs/>
                <w:color w:val="FFFFFF"/>
                <w:sz w:val="18"/>
                <w:szCs w:val="18"/>
              </w:rPr>
              <w:t>Date</w:t>
            </w:r>
          </w:p>
        </w:tc>
        <w:tc>
          <w:tcPr>
            <w:tcW w:w="2400" w:type="dxa"/>
            <w:shd w:val="clear" w:color="auto" w:fill="1F3864"/>
            <w:tcMar>
              <w:top w:w="40" w:type="dxa"/>
              <w:left w:w="90" w:type="dxa"/>
              <w:bottom w:w="40" w:type="dxa"/>
              <w:right w:w="90" w:type="dxa"/>
            </w:tcMar>
          </w:tcPr>
          <w:p w14:paraId="0148DD75">
            <w:pPr>
              <w:spacing w:before="20" w:after="20" w:line="252" w:lineRule="auto"/>
              <w:jc w:val="left"/>
            </w:pPr>
            <w:r>
              <w:rPr>
                <w:rFonts w:ascii="Calibri" w:hAnsi="Calibri" w:eastAsia="Calibri" w:cs="Calibri"/>
                <w:b/>
                <w:bCs/>
                <w:color w:val="FFFFFF"/>
                <w:sz w:val="18"/>
                <w:szCs w:val="18"/>
              </w:rPr>
              <w:t>Author</w:t>
            </w:r>
          </w:p>
        </w:tc>
        <w:tc>
          <w:tcPr>
            <w:tcW w:w="4120" w:type="dxa"/>
            <w:shd w:val="clear" w:color="auto" w:fill="1F3864"/>
            <w:tcMar>
              <w:top w:w="40" w:type="dxa"/>
              <w:left w:w="90" w:type="dxa"/>
              <w:bottom w:w="40" w:type="dxa"/>
              <w:right w:w="90" w:type="dxa"/>
            </w:tcMar>
          </w:tcPr>
          <w:p w14:paraId="5D9804D8">
            <w:pPr>
              <w:spacing w:before="20" w:after="20" w:line="252" w:lineRule="auto"/>
              <w:jc w:val="left"/>
            </w:pPr>
            <w:r>
              <w:rPr>
                <w:rFonts w:ascii="Calibri" w:hAnsi="Calibri" w:eastAsia="Calibri" w:cs="Calibri"/>
                <w:b/>
                <w:bCs/>
                <w:color w:val="FFFFFF"/>
                <w:sz w:val="18"/>
                <w:szCs w:val="18"/>
              </w:rPr>
              <w:t>Change Summary</w:t>
            </w:r>
          </w:p>
        </w:tc>
      </w:tr>
      <w:tr w14:paraId="257B152C">
        <w:tc>
          <w:tcPr>
            <w:tcW w:w="1000" w:type="dxa"/>
            <w:shd w:val="clear" w:color="auto" w:fill="FFFFFF"/>
            <w:tcMar>
              <w:top w:w="40" w:type="dxa"/>
              <w:left w:w="90" w:type="dxa"/>
              <w:bottom w:w="40" w:type="dxa"/>
              <w:right w:w="90" w:type="dxa"/>
            </w:tcMar>
          </w:tcPr>
          <w:p w14:paraId="5D84767B">
            <w:pPr>
              <w:spacing w:before="20" w:after="20" w:line="252" w:lineRule="auto"/>
              <w:jc w:val="left"/>
            </w:pPr>
            <w:r>
              <w:rPr>
                <w:rFonts w:ascii="Calibri" w:hAnsi="Calibri" w:eastAsia="Calibri" w:cs="Calibri"/>
                <w:b w:val="0"/>
                <w:bCs w:val="0"/>
                <w:color w:val="000000"/>
                <w:sz w:val="18"/>
                <w:szCs w:val="18"/>
              </w:rPr>
              <w:t>1.0</w:t>
            </w:r>
          </w:p>
        </w:tc>
        <w:tc>
          <w:tcPr>
            <w:tcW w:w="1500" w:type="dxa"/>
            <w:shd w:val="clear" w:color="auto" w:fill="FFFFFF"/>
            <w:tcMar>
              <w:top w:w="40" w:type="dxa"/>
              <w:left w:w="90" w:type="dxa"/>
              <w:bottom w:w="40" w:type="dxa"/>
              <w:right w:w="90" w:type="dxa"/>
            </w:tcMar>
          </w:tcPr>
          <w:p w14:paraId="2557FF92">
            <w:pPr>
              <w:spacing w:before="20" w:after="20" w:line="252" w:lineRule="auto"/>
              <w:jc w:val="left"/>
            </w:pPr>
            <w:r>
              <w:rPr>
                <w:rFonts w:ascii="Calibri" w:hAnsi="Calibri" w:eastAsia="Calibri" w:cs="Calibri"/>
                <w:b w:val="0"/>
                <w:bCs w:val="0"/>
                <w:color w:val="000000"/>
                <w:sz w:val="18"/>
                <w:szCs w:val="18"/>
              </w:rPr>
              <w:t>07 Jul 2026</w:t>
            </w:r>
          </w:p>
        </w:tc>
        <w:tc>
          <w:tcPr>
            <w:tcW w:w="2400" w:type="dxa"/>
            <w:shd w:val="clear" w:color="auto" w:fill="FFFFFF"/>
            <w:tcMar>
              <w:top w:w="40" w:type="dxa"/>
              <w:left w:w="90" w:type="dxa"/>
              <w:bottom w:w="40" w:type="dxa"/>
              <w:right w:w="90" w:type="dxa"/>
            </w:tcMar>
          </w:tcPr>
          <w:p w14:paraId="611C874E">
            <w:pPr>
              <w:spacing w:before="20" w:after="20" w:line="252" w:lineRule="auto"/>
              <w:jc w:val="left"/>
            </w:pPr>
            <w:r>
              <w:rPr>
                <w:rFonts w:ascii="Calibri" w:hAnsi="Calibri" w:eastAsia="Calibri" w:cs="Calibri"/>
                <w:b w:val="0"/>
                <w:bCs w:val="0"/>
                <w:color w:val="000000"/>
                <w:sz w:val="18"/>
                <w:szCs w:val="18"/>
              </w:rPr>
              <w:t>Sai Pavan Jaldu (Wipro)</w:t>
            </w:r>
          </w:p>
        </w:tc>
        <w:tc>
          <w:tcPr>
            <w:tcW w:w="4120" w:type="dxa"/>
            <w:shd w:val="clear" w:color="auto" w:fill="FFFFFF"/>
            <w:tcMar>
              <w:top w:w="40" w:type="dxa"/>
              <w:left w:w="90" w:type="dxa"/>
              <w:bottom w:w="40" w:type="dxa"/>
              <w:right w:w="90" w:type="dxa"/>
            </w:tcMar>
          </w:tcPr>
          <w:p w14:paraId="4241C4C2">
            <w:pPr>
              <w:spacing w:before="20" w:after="20" w:line="252" w:lineRule="auto"/>
              <w:jc w:val="left"/>
            </w:pPr>
            <w:r>
              <w:rPr>
                <w:rFonts w:ascii="Calibri" w:hAnsi="Calibri" w:eastAsia="Calibri" w:cs="Calibri"/>
                <w:b w:val="0"/>
                <w:bCs w:val="0"/>
                <w:color w:val="000000"/>
                <w:sz w:val="18"/>
                <w:szCs w:val="18"/>
              </w:rPr>
              <w:t>Initial SG country release baseline.</w:t>
            </w:r>
          </w:p>
        </w:tc>
      </w:tr>
      <w:tr w14:paraId="43CBE97B">
        <w:tc>
          <w:tcPr>
            <w:tcW w:w="1000" w:type="dxa"/>
            <w:shd w:val="clear" w:color="auto" w:fill="EEF1F7"/>
            <w:tcMar>
              <w:top w:w="40" w:type="dxa"/>
              <w:left w:w="90" w:type="dxa"/>
              <w:bottom w:w="40" w:type="dxa"/>
              <w:right w:w="90" w:type="dxa"/>
            </w:tcMar>
          </w:tcPr>
          <w:p w14:paraId="56B15414">
            <w:pPr>
              <w:spacing w:before="20" w:after="20" w:line="252" w:lineRule="auto"/>
              <w:jc w:val="left"/>
            </w:pPr>
            <w:r>
              <w:rPr>
                <w:rFonts w:ascii="Calibri" w:hAnsi="Calibri" w:eastAsia="Calibri" w:cs="Calibri"/>
                <w:b w:val="0"/>
                <w:bCs w:val="0"/>
                <w:color w:val="000000"/>
                <w:sz w:val="18"/>
                <w:szCs w:val="18"/>
              </w:rPr>
              <w:t>1.1</w:t>
            </w:r>
          </w:p>
        </w:tc>
        <w:tc>
          <w:tcPr>
            <w:tcW w:w="1500" w:type="dxa"/>
            <w:shd w:val="clear" w:color="auto" w:fill="EEF1F7"/>
            <w:tcMar>
              <w:top w:w="40" w:type="dxa"/>
              <w:left w:w="90" w:type="dxa"/>
              <w:bottom w:w="40" w:type="dxa"/>
              <w:right w:w="90" w:type="dxa"/>
            </w:tcMar>
          </w:tcPr>
          <w:p w14:paraId="4D50D202">
            <w:pPr>
              <w:spacing w:before="20" w:after="20" w:line="252" w:lineRule="auto"/>
              <w:jc w:val="left"/>
            </w:pPr>
            <w:r>
              <w:rPr>
                <w:rFonts w:ascii="Calibri" w:hAnsi="Calibri" w:eastAsia="Calibri" w:cs="Calibri"/>
                <w:b w:val="0"/>
                <w:bCs w:val="0"/>
                <w:color w:val="000000"/>
                <w:sz w:val="18"/>
                <w:szCs w:val="18"/>
              </w:rPr>
              <w:t>07 Jul 2026</w:t>
            </w:r>
          </w:p>
        </w:tc>
        <w:tc>
          <w:tcPr>
            <w:tcW w:w="2400" w:type="dxa"/>
            <w:shd w:val="clear" w:color="auto" w:fill="EEF1F7"/>
            <w:tcMar>
              <w:top w:w="40" w:type="dxa"/>
              <w:left w:w="90" w:type="dxa"/>
              <w:bottom w:w="40" w:type="dxa"/>
              <w:right w:w="90" w:type="dxa"/>
            </w:tcMar>
          </w:tcPr>
          <w:p w14:paraId="674D45C6">
            <w:pPr>
              <w:spacing w:before="20" w:after="20" w:line="252" w:lineRule="auto"/>
              <w:jc w:val="left"/>
            </w:pPr>
            <w:r>
              <w:rPr>
                <w:rFonts w:ascii="Calibri" w:hAnsi="Calibri" w:eastAsia="Calibri" w:cs="Calibri"/>
                <w:b w:val="0"/>
                <w:bCs w:val="0"/>
                <w:color w:val="000000"/>
                <w:sz w:val="18"/>
                <w:szCs w:val="18"/>
              </w:rPr>
              <w:t>Sai Pavan Jaldu (Wipro)</w:t>
            </w:r>
          </w:p>
        </w:tc>
        <w:tc>
          <w:tcPr>
            <w:tcW w:w="4120" w:type="dxa"/>
            <w:shd w:val="clear" w:color="auto" w:fill="EEF1F7"/>
            <w:tcMar>
              <w:top w:w="40" w:type="dxa"/>
              <w:left w:w="90" w:type="dxa"/>
              <w:bottom w:w="40" w:type="dxa"/>
              <w:right w:w="90" w:type="dxa"/>
            </w:tcMar>
          </w:tcPr>
          <w:p w14:paraId="2B1391BB">
            <w:pPr>
              <w:spacing w:before="20" w:after="20" w:line="252" w:lineRule="auto"/>
              <w:jc w:val="left"/>
            </w:pPr>
            <w:r>
              <w:rPr>
                <w:rFonts w:ascii="Calibri" w:hAnsi="Calibri" w:eastAsia="Calibri" w:cs="Calibri"/>
                <w:b w:val="0"/>
                <w:bCs w:val="0"/>
                <w:color w:val="000000"/>
                <w:sz w:val="18"/>
                <w:szCs w:val="18"/>
              </w:rPr>
              <w:t>Scope refined. Clean separation between actual libraries and companion dependencies. batik-all reclassified from decommission to upgrade (target 1.15). springfox-swagger-ui removed from scope (completed via May 2026 release). spring-webmvc-portlet added as a distinct line to 4.3.30.RELEASE.</w:t>
            </w:r>
          </w:p>
        </w:tc>
      </w:tr>
      <w:tr w14:paraId="3EF321B7">
        <w:tc>
          <w:tcPr>
            <w:tcW w:w="1000" w:type="dxa"/>
            <w:shd w:val="clear" w:color="auto" w:fill="FFFFFF"/>
            <w:tcMar>
              <w:top w:w="40" w:type="dxa"/>
              <w:left w:w="90" w:type="dxa"/>
              <w:bottom w:w="40" w:type="dxa"/>
              <w:right w:w="90" w:type="dxa"/>
            </w:tcMar>
          </w:tcPr>
          <w:p w14:paraId="7719C87F">
            <w:pPr>
              <w:spacing w:before="20" w:after="20" w:line="252" w:lineRule="auto"/>
              <w:jc w:val="left"/>
            </w:pPr>
            <w:r>
              <w:rPr>
                <w:rFonts w:ascii="Calibri" w:hAnsi="Calibri" w:eastAsia="Calibri" w:cs="Calibri"/>
                <w:b w:val="0"/>
                <w:bCs w:val="0"/>
                <w:color w:val="000000"/>
                <w:sz w:val="18"/>
                <w:szCs w:val="18"/>
              </w:rPr>
              <w:t>1.2</w:t>
            </w:r>
          </w:p>
        </w:tc>
        <w:tc>
          <w:tcPr>
            <w:tcW w:w="1500" w:type="dxa"/>
            <w:shd w:val="clear" w:color="auto" w:fill="FFFFFF"/>
            <w:tcMar>
              <w:top w:w="40" w:type="dxa"/>
              <w:left w:w="90" w:type="dxa"/>
              <w:bottom w:w="40" w:type="dxa"/>
              <w:right w:w="90" w:type="dxa"/>
            </w:tcMar>
          </w:tcPr>
          <w:p w14:paraId="11979AFA">
            <w:pPr>
              <w:spacing w:before="20" w:after="20" w:line="252" w:lineRule="auto"/>
              <w:jc w:val="left"/>
            </w:pPr>
            <w:r>
              <w:rPr>
                <w:rFonts w:ascii="Calibri" w:hAnsi="Calibri" w:eastAsia="Calibri" w:cs="Calibri"/>
                <w:b w:val="0"/>
                <w:bCs w:val="0"/>
                <w:color w:val="000000"/>
                <w:sz w:val="18"/>
                <w:szCs w:val="18"/>
              </w:rPr>
              <w:t>08 Jul 2026</w:t>
            </w:r>
          </w:p>
        </w:tc>
        <w:tc>
          <w:tcPr>
            <w:tcW w:w="2400" w:type="dxa"/>
            <w:shd w:val="clear" w:color="auto" w:fill="FFFFFF"/>
            <w:tcMar>
              <w:top w:w="40" w:type="dxa"/>
              <w:left w:w="90" w:type="dxa"/>
              <w:bottom w:w="40" w:type="dxa"/>
              <w:right w:w="90" w:type="dxa"/>
            </w:tcMar>
          </w:tcPr>
          <w:p w14:paraId="49494C71">
            <w:pPr>
              <w:spacing w:before="20" w:after="20" w:line="252" w:lineRule="auto"/>
              <w:jc w:val="left"/>
            </w:pPr>
            <w:r>
              <w:rPr>
                <w:rFonts w:ascii="Calibri" w:hAnsi="Calibri" w:eastAsia="Calibri" w:cs="Calibri"/>
                <w:b w:val="0"/>
                <w:bCs w:val="0"/>
                <w:color w:val="000000"/>
                <w:sz w:val="18"/>
                <w:szCs w:val="18"/>
              </w:rPr>
              <w:t>Sai Pavan Jaldu (Wipro)</w:t>
            </w:r>
          </w:p>
        </w:tc>
        <w:tc>
          <w:tcPr>
            <w:tcW w:w="4120" w:type="dxa"/>
            <w:shd w:val="clear" w:color="auto" w:fill="FFFFFF"/>
            <w:tcMar>
              <w:top w:w="40" w:type="dxa"/>
              <w:left w:w="90" w:type="dxa"/>
              <w:bottom w:w="40" w:type="dxa"/>
              <w:right w:w="90" w:type="dxa"/>
            </w:tcMar>
          </w:tcPr>
          <w:p w14:paraId="1EF14D6B">
            <w:pPr>
              <w:spacing w:before="20" w:after="20" w:line="252" w:lineRule="auto"/>
              <w:jc w:val="left"/>
            </w:pPr>
            <w:r>
              <w:rPr>
                <w:rFonts w:ascii="Calibri" w:hAnsi="Calibri" w:eastAsia="Calibri" w:cs="Calibri"/>
                <w:b w:val="0"/>
                <w:bCs w:val="0"/>
                <w:color w:val="000000"/>
                <w:sz w:val="18"/>
                <w:szCs w:val="18"/>
              </w:rPr>
              <w:t>Applied review comments. Added assumptions for decommission items, applicability to bank and customer EAR variants, and the delivery mechanism (Hotfix plus removal notes). Testing scope tightened to specific touchpoints. Individual names removed from body text.</w:t>
            </w:r>
          </w:p>
        </w:tc>
      </w:tr>
      <w:tr w14:paraId="38F54849">
        <w:tc>
          <w:tcPr>
            <w:tcW w:w="1000" w:type="dxa"/>
            <w:shd w:val="clear" w:color="auto" w:fill="EEF1F7"/>
            <w:tcMar>
              <w:top w:w="40" w:type="dxa"/>
              <w:left w:w="90" w:type="dxa"/>
              <w:bottom w:w="40" w:type="dxa"/>
              <w:right w:w="90" w:type="dxa"/>
            </w:tcMar>
          </w:tcPr>
          <w:p w14:paraId="650228E1">
            <w:pPr>
              <w:spacing w:before="20" w:after="20" w:line="252" w:lineRule="auto"/>
              <w:jc w:val="left"/>
            </w:pPr>
            <w:r>
              <w:rPr>
                <w:rFonts w:ascii="Calibri" w:hAnsi="Calibri" w:eastAsia="Calibri" w:cs="Calibri"/>
                <w:b w:val="0"/>
                <w:bCs w:val="0"/>
                <w:color w:val="000000"/>
                <w:sz w:val="18"/>
                <w:szCs w:val="18"/>
              </w:rPr>
              <w:t>1.3</w:t>
            </w:r>
          </w:p>
        </w:tc>
        <w:tc>
          <w:tcPr>
            <w:tcW w:w="1500" w:type="dxa"/>
            <w:shd w:val="clear" w:color="auto" w:fill="EEF1F7"/>
            <w:tcMar>
              <w:top w:w="40" w:type="dxa"/>
              <w:left w:w="90" w:type="dxa"/>
              <w:bottom w:w="40" w:type="dxa"/>
              <w:right w:w="90" w:type="dxa"/>
            </w:tcMar>
          </w:tcPr>
          <w:p w14:paraId="1D71B3BC">
            <w:pPr>
              <w:spacing w:before="20" w:after="20" w:line="252" w:lineRule="auto"/>
              <w:jc w:val="left"/>
            </w:pPr>
            <w:r>
              <w:rPr>
                <w:rFonts w:ascii="Calibri" w:hAnsi="Calibri" w:eastAsia="Calibri" w:cs="Calibri"/>
                <w:b w:val="0"/>
                <w:bCs w:val="0"/>
                <w:color w:val="000000"/>
                <w:sz w:val="18"/>
                <w:szCs w:val="18"/>
              </w:rPr>
              <w:t>13 Jul 2026</w:t>
            </w:r>
          </w:p>
        </w:tc>
        <w:tc>
          <w:tcPr>
            <w:tcW w:w="2400" w:type="dxa"/>
            <w:shd w:val="clear" w:color="auto" w:fill="EEF1F7"/>
            <w:tcMar>
              <w:top w:w="40" w:type="dxa"/>
              <w:left w:w="90" w:type="dxa"/>
              <w:bottom w:w="40" w:type="dxa"/>
              <w:right w:w="90" w:type="dxa"/>
            </w:tcMar>
          </w:tcPr>
          <w:p w14:paraId="72A509A9">
            <w:pPr>
              <w:spacing w:before="20" w:after="20" w:line="252" w:lineRule="auto"/>
              <w:jc w:val="left"/>
            </w:pPr>
            <w:r>
              <w:rPr>
                <w:rFonts w:ascii="Calibri" w:hAnsi="Calibri" w:eastAsia="Calibri" w:cs="Calibri"/>
                <w:b w:val="0"/>
                <w:bCs w:val="0"/>
                <w:color w:val="000000"/>
                <w:sz w:val="18"/>
                <w:szCs w:val="18"/>
              </w:rPr>
              <w:t>Sai Pavan Jaldu (Wipro)</w:t>
            </w:r>
          </w:p>
        </w:tc>
        <w:tc>
          <w:tcPr>
            <w:tcW w:w="4120" w:type="dxa"/>
            <w:shd w:val="clear" w:color="auto" w:fill="EEF1F7"/>
            <w:tcMar>
              <w:top w:w="40" w:type="dxa"/>
              <w:left w:w="90" w:type="dxa"/>
              <w:bottom w:w="40" w:type="dxa"/>
              <w:right w:w="90" w:type="dxa"/>
            </w:tcMar>
          </w:tcPr>
          <w:p w14:paraId="6BE0ABBB">
            <w:pPr>
              <w:spacing w:before="20" w:after="20" w:line="252" w:lineRule="auto"/>
              <w:jc w:val="left"/>
            </w:pPr>
            <w:r>
              <w:rPr>
                <w:rFonts w:ascii="Calibri" w:hAnsi="Calibri" w:eastAsia="Calibri" w:cs="Calibri"/>
                <w:b w:val="0"/>
                <w:bCs w:val="0"/>
                <w:color w:val="000000"/>
                <w:sz w:val="18"/>
                <w:szCs w:val="18"/>
              </w:rPr>
              <w:t>Clarified the spring-webmvc-portlet mixed-version position in Section 5.6 (retained but not on the runtime path). Editorial tightening across sections. Cross-validation source relabelled. Sign-off block aligned with the approver list.</w:t>
            </w:r>
          </w:p>
        </w:tc>
      </w:tr>
    </w:tbl>
    <w:p w14:paraId="379CEFA3">
      <w:pPr>
        <w:spacing w:after="120"/>
      </w:pPr>
    </w:p>
    <w:p w14:paraId="517E6856">
      <w:pPr>
        <w:pStyle w:val="3"/>
        <w:spacing w:before="180" w:after="90"/>
      </w:pPr>
      <w:r>
        <w:rPr>
          <w:rFonts w:ascii="Calibri" w:hAnsi="Calibri" w:eastAsia="Calibri" w:cs="Calibri"/>
          <w:b/>
          <w:bCs/>
          <w:color w:val="1F3864"/>
          <w:sz w:val="22"/>
          <w:szCs w:val="22"/>
        </w:rPr>
        <w:t>Prepared By</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400"/>
        <w:gridCol w:w="3000"/>
        <w:gridCol w:w="2620"/>
      </w:tblGrid>
      <w:tr w14:paraId="38840453">
        <w:trPr>
          <w:tblHeader/>
        </w:trPr>
        <w:tc>
          <w:tcPr>
            <w:tcW w:w="3400" w:type="dxa"/>
            <w:shd w:val="clear" w:color="auto" w:fill="1F3864"/>
            <w:tcMar>
              <w:top w:w="40" w:type="dxa"/>
              <w:left w:w="90" w:type="dxa"/>
              <w:bottom w:w="40" w:type="dxa"/>
              <w:right w:w="90" w:type="dxa"/>
            </w:tcMar>
          </w:tcPr>
          <w:p w14:paraId="40A0024C">
            <w:pPr>
              <w:spacing w:before="20" w:after="20" w:line="252" w:lineRule="auto"/>
              <w:jc w:val="left"/>
            </w:pPr>
            <w:r>
              <w:rPr>
                <w:rFonts w:ascii="Calibri" w:hAnsi="Calibri" w:eastAsia="Calibri" w:cs="Calibri"/>
                <w:b/>
                <w:bCs/>
                <w:color w:val="FFFFFF"/>
                <w:sz w:val="18"/>
                <w:szCs w:val="18"/>
              </w:rPr>
              <w:t>Name</w:t>
            </w:r>
          </w:p>
        </w:tc>
        <w:tc>
          <w:tcPr>
            <w:tcW w:w="3000" w:type="dxa"/>
            <w:shd w:val="clear" w:color="auto" w:fill="1F3864"/>
            <w:tcMar>
              <w:top w:w="40" w:type="dxa"/>
              <w:left w:w="90" w:type="dxa"/>
              <w:bottom w:w="40" w:type="dxa"/>
              <w:right w:w="90" w:type="dxa"/>
            </w:tcMar>
          </w:tcPr>
          <w:p w14:paraId="19C70278">
            <w:pPr>
              <w:spacing w:before="20" w:after="20" w:line="252" w:lineRule="auto"/>
              <w:jc w:val="left"/>
            </w:pPr>
            <w:r>
              <w:rPr>
                <w:rFonts w:ascii="Calibri" w:hAnsi="Calibri" w:eastAsia="Calibri" w:cs="Calibri"/>
                <w:b/>
                <w:bCs/>
                <w:color w:val="FFFFFF"/>
                <w:sz w:val="18"/>
                <w:szCs w:val="18"/>
              </w:rPr>
              <w:t>Role</w:t>
            </w:r>
          </w:p>
        </w:tc>
        <w:tc>
          <w:tcPr>
            <w:tcW w:w="2620" w:type="dxa"/>
            <w:shd w:val="clear" w:color="auto" w:fill="1F3864"/>
            <w:tcMar>
              <w:top w:w="40" w:type="dxa"/>
              <w:left w:w="90" w:type="dxa"/>
              <w:bottom w:w="40" w:type="dxa"/>
              <w:right w:w="90" w:type="dxa"/>
            </w:tcMar>
          </w:tcPr>
          <w:p w14:paraId="73C893A6">
            <w:pPr>
              <w:spacing w:before="20" w:after="20" w:line="252" w:lineRule="auto"/>
              <w:jc w:val="left"/>
            </w:pPr>
            <w:r>
              <w:rPr>
                <w:rFonts w:ascii="Calibri" w:hAnsi="Calibri" w:eastAsia="Calibri" w:cs="Calibri"/>
                <w:b/>
                <w:bCs/>
                <w:color w:val="FFFFFF"/>
                <w:sz w:val="18"/>
                <w:szCs w:val="18"/>
              </w:rPr>
              <w:t>Organisation</w:t>
            </w:r>
          </w:p>
        </w:tc>
      </w:tr>
      <w:tr w14:paraId="0EAB8382">
        <w:tc>
          <w:tcPr>
            <w:tcW w:w="3400" w:type="dxa"/>
            <w:shd w:val="clear" w:color="auto" w:fill="FFFFFF"/>
            <w:tcMar>
              <w:top w:w="40" w:type="dxa"/>
              <w:left w:w="90" w:type="dxa"/>
              <w:bottom w:w="40" w:type="dxa"/>
              <w:right w:w="90" w:type="dxa"/>
            </w:tcMar>
          </w:tcPr>
          <w:p w14:paraId="3B394529">
            <w:pPr>
              <w:spacing w:before="20" w:after="20" w:line="252" w:lineRule="auto"/>
              <w:jc w:val="left"/>
            </w:pPr>
            <w:r>
              <w:rPr>
                <w:rFonts w:ascii="Calibri" w:hAnsi="Calibri" w:eastAsia="Calibri" w:cs="Calibri"/>
                <w:b w:val="0"/>
                <w:bCs w:val="0"/>
                <w:color w:val="000000"/>
                <w:sz w:val="18"/>
                <w:szCs w:val="18"/>
              </w:rPr>
              <w:t>Sai Pavan Jaldu</w:t>
            </w:r>
          </w:p>
        </w:tc>
        <w:tc>
          <w:tcPr>
            <w:tcW w:w="3000" w:type="dxa"/>
            <w:shd w:val="clear" w:color="auto" w:fill="FFFFFF"/>
            <w:tcMar>
              <w:top w:w="40" w:type="dxa"/>
              <w:left w:w="90" w:type="dxa"/>
              <w:bottom w:w="40" w:type="dxa"/>
              <w:right w:w="90" w:type="dxa"/>
            </w:tcMar>
          </w:tcPr>
          <w:p w14:paraId="62C4D73C">
            <w:pPr>
              <w:spacing w:before="20" w:after="20" w:line="252" w:lineRule="auto"/>
              <w:jc w:val="left"/>
            </w:pPr>
            <w:r>
              <w:rPr>
                <w:rFonts w:ascii="Calibri" w:hAnsi="Calibri" w:eastAsia="Calibri" w:cs="Calibri"/>
                <w:b w:val="0"/>
                <w:bCs w:val="0"/>
                <w:color w:val="000000"/>
                <w:sz w:val="18"/>
                <w:szCs w:val="18"/>
              </w:rPr>
              <w:t>Technical Consultant</w:t>
            </w:r>
          </w:p>
        </w:tc>
        <w:tc>
          <w:tcPr>
            <w:tcW w:w="2620" w:type="dxa"/>
            <w:shd w:val="clear" w:color="auto" w:fill="FFFFFF"/>
            <w:tcMar>
              <w:top w:w="40" w:type="dxa"/>
              <w:left w:w="90" w:type="dxa"/>
              <w:bottom w:w="40" w:type="dxa"/>
              <w:right w:w="90" w:type="dxa"/>
            </w:tcMar>
          </w:tcPr>
          <w:p w14:paraId="2218E887">
            <w:pPr>
              <w:spacing w:before="20" w:after="20" w:line="252" w:lineRule="auto"/>
              <w:jc w:val="left"/>
            </w:pPr>
            <w:r>
              <w:rPr>
                <w:rFonts w:ascii="Calibri" w:hAnsi="Calibri" w:eastAsia="Calibri" w:cs="Calibri"/>
                <w:b w:val="0"/>
                <w:bCs w:val="0"/>
                <w:color w:val="000000"/>
                <w:sz w:val="18"/>
                <w:szCs w:val="18"/>
              </w:rPr>
              <w:t>Wipro Consulting</w:t>
            </w:r>
          </w:p>
        </w:tc>
      </w:tr>
      <w:tr w14:paraId="2E1F668F">
        <w:tc>
          <w:tcPr>
            <w:tcW w:w="3400" w:type="dxa"/>
            <w:shd w:val="clear" w:color="auto" w:fill="EEF1F7"/>
            <w:tcMar>
              <w:top w:w="40" w:type="dxa"/>
              <w:left w:w="90" w:type="dxa"/>
              <w:bottom w:w="40" w:type="dxa"/>
              <w:right w:w="90" w:type="dxa"/>
            </w:tcMar>
          </w:tcPr>
          <w:p w14:paraId="25EE837D">
            <w:pPr>
              <w:spacing w:before="20" w:after="20" w:line="252" w:lineRule="auto"/>
              <w:jc w:val="left"/>
            </w:pPr>
            <w:r>
              <w:rPr>
                <w:rFonts w:ascii="Calibri" w:hAnsi="Calibri" w:eastAsia="Calibri" w:cs="Calibri"/>
                <w:b w:val="0"/>
                <w:bCs w:val="0"/>
                <w:color w:val="000000"/>
                <w:sz w:val="18"/>
                <w:szCs w:val="18"/>
              </w:rPr>
              <w:t xml:space="preserve">Akshith </w:t>
            </w:r>
          </w:p>
        </w:tc>
        <w:tc>
          <w:tcPr>
            <w:tcW w:w="3000" w:type="dxa"/>
            <w:shd w:val="clear" w:color="auto" w:fill="EEF1F7"/>
            <w:tcMar>
              <w:top w:w="40" w:type="dxa"/>
              <w:left w:w="90" w:type="dxa"/>
              <w:bottom w:w="40" w:type="dxa"/>
              <w:right w:w="90" w:type="dxa"/>
            </w:tcMar>
          </w:tcPr>
          <w:p w14:paraId="7A478790">
            <w:pPr>
              <w:spacing w:before="20" w:after="20" w:line="252" w:lineRule="auto"/>
              <w:jc w:val="left"/>
            </w:pPr>
            <w:r>
              <w:rPr>
                <w:rFonts w:ascii="Calibri" w:hAnsi="Calibri" w:eastAsia="Calibri" w:cs="Calibri"/>
                <w:b w:val="0"/>
                <w:bCs w:val="0"/>
                <w:color w:val="000000"/>
                <w:sz w:val="18"/>
                <w:szCs w:val="18"/>
              </w:rPr>
              <w:t>SG Delivery Lead</w:t>
            </w:r>
          </w:p>
        </w:tc>
        <w:tc>
          <w:tcPr>
            <w:tcW w:w="2620" w:type="dxa"/>
            <w:shd w:val="clear" w:color="auto" w:fill="EEF1F7"/>
            <w:tcMar>
              <w:top w:w="40" w:type="dxa"/>
              <w:left w:w="90" w:type="dxa"/>
              <w:bottom w:w="40" w:type="dxa"/>
              <w:right w:w="90" w:type="dxa"/>
            </w:tcMar>
          </w:tcPr>
          <w:p w14:paraId="124ACF15">
            <w:pPr>
              <w:spacing w:before="20" w:after="20" w:line="252" w:lineRule="auto"/>
              <w:jc w:val="left"/>
            </w:pPr>
            <w:r>
              <w:rPr>
                <w:rFonts w:ascii="Calibri" w:hAnsi="Calibri" w:eastAsia="Calibri" w:cs="Calibri"/>
                <w:b w:val="0"/>
                <w:bCs w:val="0"/>
                <w:color w:val="000000"/>
                <w:sz w:val="18"/>
                <w:szCs w:val="18"/>
              </w:rPr>
              <w:t>Wipro Consulting</w:t>
            </w:r>
          </w:p>
        </w:tc>
      </w:tr>
      <w:tr w14:paraId="039F0CEE">
        <w:tc>
          <w:tcPr>
            <w:tcW w:w="3400" w:type="dxa"/>
            <w:shd w:val="clear" w:color="auto" w:fill="FFFFFF"/>
            <w:tcMar>
              <w:top w:w="40" w:type="dxa"/>
              <w:left w:w="90" w:type="dxa"/>
              <w:bottom w:w="40" w:type="dxa"/>
              <w:right w:w="90" w:type="dxa"/>
            </w:tcMar>
          </w:tcPr>
          <w:p w14:paraId="7EEEA809">
            <w:pPr>
              <w:spacing w:before="20" w:after="20" w:line="252" w:lineRule="auto"/>
              <w:jc w:val="left"/>
            </w:pPr>
            <w:r>
              <w:rPr>
                <w:rFonts w:ascii="Calibri" w:hAnsi="Calibri" w:eastAsia="Calibri" w:cs="Calibri"/>
                <w:b w:val="0"/>
                <w:bCs w:val="0"/>
                <w:color w:val="000000"/>
                <w:sz w:val="18"/>
                <w:szCs w:val="18"/>
              </w:rPr>
              <w:t>Archana Rajendiran</w:t>
            </w:r>
          </w:p>
        </w:tc>
        <w:tc>
          <w:tcPr>
            <w:tcW w:w="3000" w:type="dxa"/>
            <w:shd w:val="clear" w:color="auto" w:fill="FFFFFF"/>
            <w:tcMar>
              <w:top w:w="40" w:type="dxa"/>
              <w:left w:w="90" w:type="dxa"/>
              <w:bottom w:w="40" w:type="dxa"/>
              <w:right w:w="90" w:type="dxa"/>
            </w:tcMar>
          </w:tcPr>
          <w:p w14:paraId="66C76EEC">
            <w:pPr>
              <w:spacing w:before="20" w:after="20" w:line="252" w:lineRule="auto"/>
              <w:jc w:val="left"/>
            </w:pPr>
            <w:r>
              <w:rPr>
                <w:rFonts w:ascii="Calibri" w:hAnsi="Calibri" w:eastAsia="Calibri" w:cs="Calibri"/>
                <w:b w:val="0"/>
                <w:bCs w:val="0"/>
                <w:color w:val="000000"/>
                <w:sz w:val="18"/>
                <w:szCs w:val="18"/>
              </w:rPr>
              <w:t>Solution Architect</w:t>
            </w:r>
          </w:p>
        </w:tc>
        <w:tc>
          <w:tcPr>
            <w:tcW w:w="2620" w:type="dxa"/>
            <w:shd w:val="clear" w:color="auto" w:fill="FFFFFF"/>
            <w:tcMar>
              <w:top w:w="40" w:type="dxa"/>
              <w:left w:w="90" w:type="dxa"/>
              <w:bottom w:w="40" w:type="dxa"/>
              <w:right w:w="90" w:type="dxa"/>
            </w:tcMar>
          </w:tcPr>
          <w:p w14:paraId="0A11EBF8">
            <w:pPr>
              <w:spacing w:before="20" w:after="20" w:line="252" w:lineRule="auto"/>
              <w:jc w:val="left"/>
            </w:pPr>
            <w:r>
              <w:rPr>
                <w:rFonts w:ascii="Calibri" w:hAnsi="Calibri" w:eastAsia="Calibri" w:cs="Calibri"/>
                <w:b w:val="0"/>
                <w:bCs w:val="0"/>
                <w:color w:val="000000"/>
                <w:sz w:val="18"/>
                <w:szCs w:val="18"/>
              </w:rPr>
              <w:t>Wipro Consulting</w:t>
            </w:r>
          </w:p>
        </w:tc>
      </w:tr>
    </w:tbl>
    <w:p w14:paraId="660FE96D">
      <w:pPr>
        <w:spacing w:after="120"/>
      </w:pPr>
    </w:p>
    <w:p w14:paraId="4BE3D8B6">
      <w:pPr>
        <w:pStyle w:val="3"/>
        <w:spacing w:before="180" w:after="90"/>
      </w:pPr>
      <w:r>
        <w:rPr>
          <w:rFonts w:ascii="Calibri" w:hAnsi="Calibri" w:eastAsia="Calibri" w:cs="Calibri"/>
          <w:b/>
          <w:bCs/>
          <w:color w:val="1F3864"/>
          <w:sz w:val="22"/>
          <w:szCs w:val="22"/>
        </w:rPr>
        <w:t>Reviewed and Approved By</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400"/>
        <w:gridCol w:w="3000"/>
        <w:gridCol w:w="2620"/>
      </w:tblGrid>
      <w:tr w14:paraId="154D0E43">
        <w:trPr>
          <w:tblHeader/>
        </w:trPr>
        <w:tc>
          <w:tcPr>
            <w:tcW w:w="3400" w:type="dxa"/>
            <w:shd w:val="clear" w:color="auto" w:fill="1F3864"/>
            <w:tcMar>
              <w:top w:w="40" w:type="dxa"/>
              <w:left w:w="90" w:type="dxa"/>
              <w:bottom w:w="40" w:type="dxa"/>
              <w:right w:w="90" w:type="dxa"/>
            </w:tcMar>
          </w:tcPr>
          <w:p w14:paraId="04DE615F">
            <w:pPr>
              <w:spacing w:before="20" w:after="20" w:line="252" w:lineRule="auto"/>
              <w:jc w:val="left"/>
            </w:pPr>
            <w:r>
              <w:rPr>
                <w:rFonts w:ascii="Calibri" w:hAnsi="Calibri" w:eastAsia="Calibri" w:cs="Calibri"/>
                <w:b/>
                <w:bCs/>
                <w:color w:val="FFFFFF"/>
                <w:sz w:val="18"/>
                <w:szCs w:val="18"/>
              </w:rPr>
              <w:t>Name</w:t>
            </w:r>
          </w:p>
        </w:tc>
        <w:tc>
          <w:tcPr>
            <w:tcW w:w="3000" w:type="dxa"/>
            <w:shd w:val="clear" w:color="auto" w:fill="1F3864"/>
            <w:tcMar>
              <w:top w:w="40" w:type="dxa"/>
              <w:left w:w="90" w:type="dxa"/>
              <w:bottom w:w="40" w:type="dxa"/>
              <w:right w:w="90" w:type="dxa"/>
            </w:tcMar>
          </w:tcPr>
          <w:p w14:paraId="256B446E">
            <w:pPr>
              <w:spacing w:before="20" w:after="20" w:line="252" w:lineRule="auto"/>
              <w:jc w:val="left"/>
            </w:pPr>
            <w:r>
              <w:rPr>
                <w:rFonts w:ascii="Calibri" w:hAnsi="Calibri" w:eastAsia="Calibri" w:cs="Calibri"/>
                <w:b/>
                <w:bCs/>
                <w:color w:val="FFFFFF"/>
                <w:sz w:val="18"/>
                <w:szCs w:val="18"/>
              </w:rPr>
              <w:t>Role</w:t>
            </w:r>
          </w:p>
        </w:tc>
        <w:tc>
          <w:tcPr>
            <w:tcW w:w="2620" w:type="dxa"/>
            <w:shd w:val="clear" w:color="auto" w:fill="1F3864"/>
            <w:tcMar>
              <w:top w:w="40" w:type="dxa"/>
              <w:left w:w="90" w:type="dxa"/>
              <w:bottom w:w="40" w:type="dxa"/>
              <w:right w:w="90" w:type="dxa"/>
            </w:tcMar>
          </w:tcPr>
          <w:p w14:paraId="460207E3">
            <w:pPr>
              <w:spacing w:before="20" w:after="20" w:line="252" w:lineRule="auto"/>
              <w:jc w:val="left"/>
            </w:pPr>
            <w:r>
              <w:rPr>
                <w:rFonts w:ascii="Calibri" w:hAnsi="Calibri" w:eastAsia="Calibri" w:cs="Calibri"/>
                <w:b/>
                <w:bCs/>
                <w:color w:val="FFFFFF"/>
                <w:sz w:val="18"/>
                <w:szCs w:val="18"/>
              </w:rPr>
              <w:t>Organisation</w:t>
            </w:r>
          </w:p>
        </w:tc>
      </w:tr>
      <w:tr w14:paraId="78ED03F0">
        <w:tc>
          <w:tcPr>
            <w:tcW w:w="3400" w:type="dxa"/>
            <w:shd w:val="clear" w:color="auto" w:fill="FFFFFF"/>
            <w:tcMar>
              <w:top w:w="40" w:type="dxa"/>
              <w:left w:w="90" w:type="dxa"/>
              <w:bottom w:w="40" w:type="dxa"/>
              <w:right w:w="90" w:type="dxa"/>
            </w:tcMar>
          </w:tcPr>
          <w:p w14:paraId="34CFD19A">
            <w:pPr>
              <w:spacing w:before="20" w:after="20" w:line="252" w:lineRule="auto"/>
              <w:jc w:val="left"/>
            </w:pPr>
            <w:r>
              <w:rPr>
                <w:rFonts w:ascii="Calibri" w:hAnsi="Calibri" w:eastAsia="Calibri" w:cs="Calibri"/>
                <w:b w:val="0"/>
                <w:bCs w:val="0"/>
                <w:color w:val="000000"/>
                <w:sz w:val="18"/>
                <w:szCs w:val="18"/>
              </w:rPr>
              <w:t>Gwee Bor Ching</w:t>
            </w:r>
          </w:p>
        </w:tc>
        <w:tc>
          <w:tcPr>
            <w:tcW w:w="3000" w:type="dxa"/>
            <w:shd w:val="clear" w:color="auto" w:fill="FFFFFF"/>
            <w:tcMar>
              <w:top w:w="40" w:type="dxa"/>
              <w:left w:w="90" w:type="dxa"/>
              <w:bottom w:w="40" w:type="dxa"/>
              <w:right w:w="90" w:type="dxa"/>
            </w:tcMar>
          </w:tcPr>
          <w:p w14:paraId="3ECC6F85">
            <w:pPr>
              <w:spacing w:before="20" w:after="20" w:line="252" w:lineRule="auto"/>
              <w:jc w:val="left"/>
            </w:pPr>
            <w:r>
              <w:rPr>
                <w:rFonts w:ascii="Calibri" w:hAnsi="Calibri" w:eastAsia="Calibri" w:cs="Calibri"/>
                <w:b w:val="0"/>
                <w:bCs w:val="0"/>
                <w:color w:val="000000"/>
                <w:sz w:val="18"/>
                <w:szCs w:val="18"/>
              </w:rPr>
              <w:t>SVP — GEB Platform</w:t>
            </w:r>
          </w:p>
        </w:tc>
        <w:tc>
          <w:tcPr>
            <w:tcW w:w="2620" w:type="dxa"/>
            <w:shd w:val="clear" w:color="auto" w:fill="FFFFFF"/>
            <w:tcMar>
              <w:top w:w="40" w:type="dxa"/>
              <w:left w:w="90" w:type="dxa"/>
              <w:bottom w:w="40" w:type="dxa"/>
              <w:right w:w="90" w:type="dxa"/>
            </w:tcMar>
          </w:tcPr>
          <w:p w14:paraId="03DCF7D0">
            <w:pPr>
              <w:spacing w:before="20" w:after="20" w:line="252" w:lineRule="auto"/>
              <w:jc w:val="left"/>
            </w:pPr>
            <w:r>
              <w:rPr>
                <w:rFonts w:ascii="Calibri" w:hAnsi="Calibri" w:eastAsia="Calibri" w:cs="Calibri"/>
                <w:b w:val="0"/>
                <w:bCs w:val="0"/>
                <w:color w:val="000000"/>
                <w:sz w:val="18"/>
                <w:szCs w:val="18"/>
              </w:rPr>
              <w:t>UOB Bank</w:t>
            </w:r>
          </w:p>
        </w:tc>
      </w:tr>
      <w:tr w14:paraId="7E6B83FD">
        <w:tc>
          <w:tcPr>
            <w:tcW w:w="3400" w:type="dxa"/>
            <w:shd w:val="clear" w:color="auto" w:fill="EEF1F7"/>
            <w:tcMar>
              <w:top w:w="40" w:type="dxa"/>
              <w:left w:w="90" w:type="dxa"/>
              <w:bottom w:w="40" w:type="dxa"/>
              <w:right w:w="90" w:type="dxa"/>
            </w:tcMar>
          </w:tcPr>
          <w:p w14:paraId="2C286587">
            <w:pPr>
              <w:spacing w:before="20" w:after="20" w:line="252" w:lineRule="auto"/>
              <w:jc w:val="left"/>
            </w:pPr>
            <w:r>
              <w:rPr>
                <w:rFonts w:ascii="Calibri" w:hAnsi="Calibri" w:eastAsia="Calibri" w:cs="Calibri"/>
                <w:b w:val="0"/>
                <w:bCs w:val="0"/>
                <w:color w:val="000000"/>
                <w:sz w:val="18"/>
                <w:szCs w:val="18"/>
              </w:rPr>
              <w:t>Veeramani Surekha</w:t>
            </w:r>
          </w:p>
        </w:tc>
        <w:tc>
          <w:tcPr>
            <w:tcW w:w="3000" w:type="dxa"/>
            <w:shd w:val="clear" w:color="auto" w:fill="EEF1F7"/>
            <w:tcMar>
              <w:top w:w="40" w:type="dxa"/>
              <w:left w:w="90" w:type="dxa"/>
              <w:bottom w:w="40" w:type="dxa"/>
              <w:right w:w="90" w:type="dxa"/>
            </w:tcMar>
          </w:tcPr>
          <w:p w14:paraId="4A40E710">
            <w:pPr>
              <w:spacing w:before="20" w:after="20" w:line="252" w:lineRule="auto"/>
              <w:jc w:val="left"/>
            </w:pPr>
            <w:r>
              <w:rPr>
                <w:rFonts w:ascii="Calibri" w:hAnsi="Calibri" w:eastAsia="Calibri" w:cs="Calibri"/>
                <w:b w:val="0"/>
                <w:bCs w:val="0"/>
                <w:color w:val="000000"/>
                <w:sz w:val="18"/>
                <w:szCs w:val="18"/>
              </w:rPr>
              <w:t>VP — GEB Delivery</w:t>
            </w:r>
          </w:p>
        </w:tc>
        <w:tc>
          <w:tcPr>
            <w:tcW w:w="2620" w:type="dxa"/>
            <w:shd w:val="clear" w:color="auto" w:fill="EEF1F7"/>
            <w:tcMar>
              <w:top w:w="40" w:type="dxa"/>
              <w:left w:w="90" w:type="dxa"/>
              <w:bottom w:w="40" w:type="dxa"/>
              <w:right w:w="90" w:type="dxa"/>
            </w:tcMar>
          </w:tcPr>
          <w:p w14:paraId="4222A843">
            <w:pPr>
              <w:spacing w:before="20" w:after="20" w:line="252" w:lineRule="auto"/>
              <w:jc w:val="left"/>
            </w:pPr>
            <w:r>
              <w:rPr>
                <w:rFonts w:ascii="Calibri" w:hAnsi="Calibri" w:eastAsia="Calibri" w:cs="Calibri"/>
                <w:b w:val="0"/>
                <w:bCs w:val="0"/>
                <w:color w:val="000000"/>
                <w:sz w:val="18"/>
                <w:szCs w:val="18"/>
              </w:rPr>
              <w:t>UOB Bank</w:t>
            </w:r>
          </w:p>
        </w:tc>
      </w:tr>
      <w:tr w14:paraId="6AB164B8">
        <w:tc>
          <w:tcPr>
            <w:tcW w:w="3400" w:type="dxa"/>
            <w:shd w:val="clear" w:color="auto" w:fill="FFFFFF"/>
            <w:tcMar>
              <w:top w:w="40" w:type="dxa"/>
              <w:left w:w="90" w:type="dxa"/>
              <w:bottom w:w="40" w:type="dxa"/>
              <w:right w:w="90" w:type="dxa"/>
            </w:tcMar>
          </w:tcPr>
          <w:p w14:paraId="5E21B591">
            <w:pPr>
              <w:spacing w:before="20" w:after="20" w:line="252" w:lineRule="auto"/>
              <w:jc w:val="left"/>
            </w:pPr>
            <w:r>
              <w:rPr>
                <w:rFonts w:ascii="Calibri" w:hAnsi="Calibri" w:eastAsia="Calibri" w:cs="Calibri"/>
                <w:b w:val="0"/>
                <w:bCs w:val="0"/>
                <w:color w:val="000000"/>
                <w:sz w:val="18"/>
                <w:szCs w:val="18"/>
              </w:rPr>
              <w:t>Govindarajan Subburayan</w:t>
            </w:r>
          </w:p>
        </w:tc>
        <w:tc>
          <w:tcPr>
            <w:tcW w:w="3000" w:type="dxa"/>
            <w:shd w:val="clear" w:color="auto" w:fill="FFFFFF"/>
            <w:tcMar>
              <w:top w:w="40" w:type="dxa"/>
              <w:left w:w="90" w:type="dxa"/>
              <w:bottom w:w="40" w:type="dxa"/>
              <w:right w:w="90" w:type="dxa"/>
            </w:tcMar>
          </w:tcPr>
          <w:p w14:paraId="4CD0F75F">
            <w:pPr>
              <w:spacing w:before="20" w:after="20" w:line="252" w:lineRule="auto"/>
              <w:jc w:val="left"/>
            </w:pPr>
            <w:r>
              <w:rPr>
                <w:rFonts w:ascii="Calibri" w:hAnsi="Calibri" w:eastAsia="Calibri" w:cs="Calibri"/>
                <w:b w:val="0"/>
                <w:bCs w:val="0"/>
                <w:color w:val="000000"/>
                <w:sz w:val="18"/>
                <w:szCs w:val="18"/>
              </w:rPr>
              <w:t>Bank Technical Lead</w:t>
            </w:r>
          </w:p>
        </w:tc>
        <w:tc>
          <w:tcPr>
            <w:tcW w:w="2620" w:type="dxa"/>
            <w:shd w:val="clear" w:color="auto" w:fill="FFFFFF"/>
            <w:tcMar>
              <w:top w:w="40" w:type="dxa"/>
              <w:left w:w="90" w:type="dxa"/>
              <w:bottom w:w="40" w:type="dxa"/>
              <w:right w:w="90" w:type="dxa"/>
            </w:tcMar>
          </w:tcPr>
          <w:p w14:paraId="1AB65CFF">
            <w:pPr>
              <w:spacing w:before="20" w:after="20" w:line="252" w:lineRule="auto"/>
              <w:jc w:val="left"/>
            </w:pPr>
            <w:r>
              <w:rPr>
                <w:rFonts w:ascii="Calibri" w:hAnsi="Calibri" w:eastAsia="Calibri" w:cs="Calibri"/>
                <w:b w:val="0"/>
                <w:bCs w:val="0"/>
                <w:color w:val="000000"/>
                <w:sz w:val="18"/>
                <w:szCs w:val="18"/>
              </w:rPr>
              <w:t>UOB Bank</w:t>
            </w:r>
          </w:p>
        </w:tc>
      </w:tr>
      <w:tr w14:paraId="115CE21C">
        <w:tc>
          <w:tcPr>
            <w:tcW w:w="3400" w:type="dxa"/>
            <w:shd w:val="clear" w:color="auto" w:fill="EEF1F7"/>
            <w:tcMar>
              <w:top w:w="40" w:type="dxa"/>
              <w:left w:w="90" w:type="dxa"/>
              <w:bottom w:w="40" w:type="dxa"/>
              <w:right w:w="90" w:type="dxa"/>
            </w:tcMar>
          </w:tcPr>
          <w:p w14:paraId="7860DF3F">
            <w:pPr>
              <w:spacing w:before="20" w:after="20" w:line="252" w:lineRule="auto"/>
              <w:jc w:val="left"/>
            </w:pPr>
            <w:r>
              <w:rPr>
                <w:rFonts w:ascii="Calibri" w:hAnsi="Calibri" w:eastAsia="Calibri" w:cs="Calibri"/>
                <w:b w:val="0"/>
                <w:bCs w:val="0"/>
                <w:color w:val="000000"/>
                <w:sz w:val="18"/>
                <w:szCs w:val="18"/>
              </w:rPr>
              <w:t>SG Country SPOC</w:t>
            </w:r>
          </w:p>
        </w:tc>
        <w:tc>
          <w:tcPr>
            <w:tcW w:w="3000" w:type="dxa"/>
            <w:shd w:val="clear" w:color="auto" w:fill="EEF1F7"/>
            <w:tcMar>
              <w:top w:w="40" w:type="dxa"/>
              <w:left w:w="90" w:type="dxa"/>
              <w:bottom w:w="40" w:type="dxa"/>
              <w:right w:w="90" w:type="dxa"/>
            </w:tcMar>
          </w:tcPr>
          <w:p w14:paraId="421EF492">
            <w:pPr>
              <w:spacing w:before="20" w:after="20" w:line="252" w:lineRule="auto"/>
              <w:jc w:val="left"/>
            </w:pPr>
            <w:r>
              <w:rPr>
                <w:rFonts w:ascii="Calibri" w:hAnsi="Calibri" w:eastAsia="Calibri" w:cs="Calibri"/>
                <w:b w:val="0"/>
                <w:bCs w:val="0"/>
                <w:color w:val="000000"/>
                <w:sz w:val="18"/>
                <w:szCs w:val="18"/>
              </w:rPr>
              <w:t>Singapore Country Delivery Owner</w:t>
            </w:r>
          </w:p>
        </w:tc>
        <w:tc>
          <w:tcPr>
            <w:tcW w:w="2620" w:type="dxa"/>
            <w:shd w:val="clear" w:color="auto" w:fill="EEF1F7"/>
            <w:tcMar>
              <w:top w:w="40" w:type="dxa"/>
              <w:left w:w="90" w:type="dxa"/>
              <w:bottom w:w="40" w:type="dxa"/>
              <w:right w:w="90" w:type="dxa"/>
            </w:tcMar>
          </w:tcPr>
          <w:p w14:paraId="3249254E">
            <w:pPr>
              <w:spacing w:before="20" w:after="20" w:line="252" w:lineRule="auto"/>
              <w:jc w:val="left"/>
            </w:pPr>
            <w:r>
              <w:rPr>
                <w:rFonts w:ascii="Calibri" w:hAnsi="Calibri" w:eastAsia="Calibri" w:cs="Calibri"/>
                <w:b w:val="0"/>
                <w:bCs w:val="0"/>
                <w:color w:val="000000"/>
                <w:sz w:val="18"/>
                <w:szCs w:val="18"/>
              </w:rPr>
              <w:t>UOB Bank</w:t>
            </w:r>
          </w:p>
        </w:tc>
      </w:tr>
      <w:tr w14:paraId="6F21111B">
        <w:tc>
          <w:tcPr>
            <w:tcW w:w="3400" w:type="dxa"/>
            <w:shd w:val="clear" w:color="auto" w:fill="FFFFFF"/>
            <w:tcMar>
              <w:top w:w="40" w:type="dxa"/>
              <w:left w:w="90" w:type="dxa"/>
              <w:bottom w:w="40" w:type="dxa"/>
              <w:right w:w="90" w:type="dxa"/>
            </w:tcMar>
          </w:tcPr>
          <w:p w14:paraId="27DE4D4B">
            <w:pPr>
              <w:spacing w:before="20" w:after="20" w:line="252" w:lineRule="auto"/>
              <w:jc w:val="left"/>
            </w:pPr>
            <w:r>
              <w:rPr>
                <w:rFonts w:ascii="Calibri" w:hAnsi="Calibri" w:eastAsia="Calibri" w:cs="Calibri"/>
                <w:b w:val="0"/>
                <w:bCs w:val="0"/>
                <w:color w:val="000000"/>
                <w:sz w:val="18"/>
                <w:szCs w:val="18"/>
              </w:rPr>
              <w:t>Mohan Panchagnula</w:t>
            </w:r>
          </w:p>
        </w:tc>
        <w:tc>
          <w:tcPr>
            <w:tcW w:w="3000" w:type="dxa"/>
            <w:shd w:val="clear" w:color="auto" w:fill="FFFFFF"/>
            <w:tcMar>
              <w:top w:w="40" w:type="dxa"/>
              <w:left w:w="90" w:type="dxa"/>
              <w:bottom w:w="40" w:type="dxa"/>
              <w:right w:w="90" w:type="dxa"/>
            </w:tcMar>
          </w:tcPr>
          <w:p w14:paraId="6E348E36">
            <w:pPr>
              <w:spacing w:before="20" w:after="20" w:line="252" w:lineRule="auto"/>
              <w:jc w:val="left"/>
            </w:pPr>
            <w:r>
              <w:rPr>
                <w:rFonts w:ascii="Calibri" w:hAnsi="Calibri" w:eastAsia="Calibri" w:cs="Calibri"/>
                <w:b w:val="0"/>
                <w:bCs w:val="0"/>
                <w:color w:val="000000"/>
                <w:sz w:val="18"/>
                <w:szCs w:val="18"/>
              </w:rPr>
              <w:t>Delivery Lead</w:t>
            </w:r>
          </w:p>
        </w:tc>
        <w:tc>
          <w:tcPr>
            <w:tcW w:w="2620" w:type="dxa"/>
            <w:shd w:val="clear" w:color="auto" w:fill="FFFFFF"/>
            <w:tcMar>
              <w:top w:w="40" w:type="dxa"/>
              <w:left w:w="90" w:type="dxa"/>
              <w:bottom w:w="40" w:type="dxa"/>
              <w:right w:w="90" w:type="dxa"/>
            </w:tcMar>
          </w:tcPr>
          <w:p w14:paraId="0B6DE92B">
            <w:pPr>
              <w:spacing w:before="20" w:after="20" w:line="252" w:lineRule="auto"/>
              <w:jc w:val="left"/>
            </w:pPr>
            <w:r>
              <w:rPr>
                <w:rFonts w:ascii="Calibri" w:hAnsi="Calibri" w:eastAsia="Calibri" w:cs="Calibri"/>
                <w:b w:val="0"/>
                <w:bCs w:val="0"/>
                <w:color w:val="000000"/>
                <w:sz w:val="18"/>
                <w:szCs w:val="18"/>
              </w:rPr>
              <w:t>Wipro Consulting</w:t>
            </w:r>
          </w:p>
        </w:tc>
      </w:tr>
    </w:tbl>
    <w:p w14:paraId="1B56B6CF">
      <w:pPr>
        <w:pageBreakBefore/>
      </w:pPr>
    </w:p>
    <w:p w14:paraId="1CE1C165">
      <w:pPr>
        <w:pStyle w:val="2"/>
        <w:spacing w:before="260" w:after="120"/>
      </w:pPr>
      <w:r>
        <w:rPr>
          <w:rFonts w:ascii="Calibri" w:hAnsi="Calibri" w:eastAsia="Calibri" w:cs="Calibri"/>
          <w:b/>
          <w:bCs/>
          <w:color w:val="1F3864"/>
          <w:sz w:val="26"/>
          <w:szCs w:val="26"/>
        </w:rPr>
        <w:t>1.  Introduction</w:t>
      </w:r>
    </w:p>
    <w:p w14:paraId="3C576A16">
      <w:pPr>
        <w:pStyle w:val="3"/>
        <w:spacing w:before="180" w:after="90"/>
      </w:pPr>
      <w:r>
        <w:rPr>
          <w:rFonts w:ascii="Calibri" w:hAnsi="Calibri" w:eastAsia="Calibri" w:cs="Calibri"/>
          <w:b/>
          <w:bCs/>
          <w:color w:val="1F3864"/>
          <w:sz w:val="22"/>
          <w:szCs w:val="22"/>
        </w:rPr>
        <w:t>1.1  Purpose</w:t>
      </w:r>
    </w:p>
    <w:p w14:paraId="4F10BDB4">
      <w:pPr>
        <w:spacing w:after="120" w:line="264" w:lineRule="auto"/>
        <w:jc w:val="both"/>
      </w:pPr>
      <w:r>
        <w:rPr>
          <w:rFonts w:ascii="Calibri" w:hAnsi="Calibri" w:eastAsia="Calibri" w:cs="Calibri"/>
          <w:b w:val="0"/>
          <w:bCs w:val="0"/>
          <w:i w:val="0"/>
          <w:iCs w:val="0"/>
          <w:color w:val="000000"/>
          <w:sz w:val="20"/>
          <w:szCs w:val="20"/>
        </w:rPr>
        <w:t>This document is the solution baseline for the CVE remediation on the GEB Portal application for the Singapore (SG) market, August 2026 release. It sets out what is being changed and why, the residual-risk position on items that cannot be fully closed on the current stack, and the split of testing responsibility between Wipro and the UOB Singapore team. It is intended as the single reference point for both organisations through build, test, release and post-implementation review.</w:t>
      </w:r>
    </w:p>
    <w:p w14:paraId="2112F777">
      <w:pPr>
        <w:pStyle w:val="3"/>
        <w:spacing w:before="180" w:after="90"/>
      </w:pPr>
      <w:r>
        <w:rPr>
          <w:rFonts w:ascii="Calibri" w:hAnsi="Calibri" w:eastAsia="Calibri" w:cs="Calibri"/>
          <w:b/>
          <w:bCs/>
          <w:color w:val="1F3864"/>
          <w:sz w:val="22"/>
          <w:szCs w:val="22"/>
        </w:rPr>
        <w:t>1.2  Background</w:t>
      </w:r>
    </w:p>
    <w:p w14:paraId="375603AE">
      <w:pPr>
        <w:spacing w:after="120" w:line="264" w:lineRule="auto"/>
        <w:jc w:val="both"/>
      </w:pPr>
      <w:r>
        <w:rPr>
          <w:rFonts w:ascii="Calibri" w:hAnsi="Calibri" w:eastAsia="Calibri" w:cs="Calibri"/>
          <w:b w:val="0"/>
          <w:bCs w:val="0"/>
          <w:i w:val="0"/>
          <w:iCs w:val="0"/>
          <w:color w:val="000000"/>
          <w:sz w:val="20"/>
          <w:szCs w:val="20"/>
        </w:rPr>
        <w:t>UOB uses Veracode as the Software Composition Analysis (SCA) tool for GEB. The Veracode scan of 5 May 2026 flagged a set of open-source Java libraries with CVSS ≥ 7.0 (High and Critical) on the GEB Portal codebase, and the bank has mandated remediation across all markets. A parallel assessment shared by the bank — referred to in this document as the bank-provided cross-validation input — was used to cross-check target versions and the exploitability analysis.</w:t>
      </w:r>
    </w:p>
    <w:p w14:paraId="0D22A046">
      <w:pPr>
        <w:spacing w:after="120" w:line="264" w:lineRule="auto"/>
        <w:jc w:val="both"/>
      </w:pPr>
      <w:r>
        <w:rPr>
          <w:rFonts w:ascii="Calibri" w:hAnsi="Calibri" w:eastAsia="Calibri" w:cs="Calibri"/>
          <w:b w:val="0"/>
          <w:bCs w:val="0"/>
          <w:i w:val="0"/>
          <w:iCs w:val="0"/>
          <w:color w:val="000000"/>
          <w:sz w:val="20"/>
          <w:szCs w:val="20"/>
        </w:rPr>
        <w:t>SG carries the older library baseline within the current release scope: the Portal application is on Spring 4.2.9 and log4j 1.2.17, both moved forward in this release. Reference markets that already run higher library versions are used as the retrofit source wherever the reference version closes the flagged CVEs; where reference versions still carry residual CVEs, SG is aligned to the higher target version rather than the reference baseline.</w:t>
      </w:r>
    </w:p>
    <w:p w14:paraId="5E418FF4">
      <w:pPr>
        <w:pageBreakBefore/>
      </w:pPr>
    </w:p>
    <w:p w14:paraId="2E234B53">
      <w:pPr>
        <w:pStyle w:val="2"/>
        <w:spacing w:before="260" w:after="120"/>
      </w:pPr>
      <w:r>
        <w:rPr>
          <w:rFonts w:ascii="Calibri" w:hAnsi="Calibri" w:eastAsia="Calibri" w:cs="Calibri"/>
          <w:b/>
          <w:bCs/>
          <w:color w:val="1F3864"/>
          <w:sz w:val="26"/>
          <w:szCs w:val="26"/>
        </w:rPr>
        <w:t>2.  Scope</w:t>
      </w:r>
    </w:p>
    <w:p w14:paraId="73A256D6">
      <w:pPr>
        <w:pStyle w:val="3"/>
        <w:spacing w:before="180" w:after="90"/>
      </w:pPr>
      <w:r>
        <w:rPr>
          <w:rFonts w:ascii="Calibri" w:hAnsi="Calibri" w:eastAsia="Calibri" w:cs="Calibri"/>
          <w:b/>
          <w:bCs/>
          <w:color w:val="1F3864"/>
          <w:sz w:val="22"/>
          <w:szCs w:val="22"/>
        </w:rPr>
        <w:t>2.1  Application and Country</w:t>
      </w:r>
    </w:p>
    <w:p w14:paraId="51D92752">
      <w:pPr>
        <w:spacing w:after="120" w:line="264" w:lineRule="auto"/>
        <w:jc w:val="both"/>
      </w:pPr>
      <w:r>
        <w:rPr>
          <w:rFonts w:ascii="Calibri" w:hAnsi="Calibri" w:eastAsia="Calibri" w:cs="Calibri"/>
          <w:b w:val="0"/>
          <w:bCs w:val="0"/>
          <w:i w:val="0"/>
          <w:iCs w:val="0"/>
          <w:color w:val="000000"/>
          <w:sz w:val="20"/>
          <w:szCs w:val="20"/>
        </w:rPr>
        <w:t>Scope is limited to the GEB Portal application deployed for the Singapore market. SG Batch scope is a separate work stream and is not covered here.</w:t>
      </w:r>
    </w:p>
    <w:p w14:paraId="0FD39B37">
      <w:pPr>
        <w:pStyle w:val="3"/>
        <w:spacing w:before="180" w:after="90"/>
      </w:pPr>
      <w:r>
        <w:rPr>
          <w:rFonts w:ascii="Calibri" w:hAnsi="Calibri" w:eastAsia="Calibri" w:cs="Calibri"/>
          <w:b/>
          <w:bCs/>
          <w:color w:val="1F3864"/>
          <w:sz w:val="22"/>
          <w:szCs w:val="22"/>
        </w:rPr>
        <w:t>2.2  Structure of the Change</w:t>
      </w:r>
    </w:p>
    <w:p w14:paraId="012D1A68">
      <w:pPr>
        <w:spacing w:after="120" w:line="264" w:lineRule="auto"/>
        <w:jc w:val="both"/>
      </w:pPr>
      <w:r>
        <w:rPr>
          <w:rFonts w:ascii="Calibri" w:hAnsi="Calibri" w:eastAsia="Calibri" w:cs="Calibri"/>
          <w:b w:val="0"/>
          <w:bCs w:val="0"/>
          <w:i w:val="0"/>
          <w:iCs w:val="0"/>
          <w:color w:val="000000"/>
          <w:sz w:val="20"/>
          <w:szCs w:val="20"/>
        </w:rPr>
        <w:t>The change footprint comprises two distinct sets: libraries directly flagged by the Veracode scan and actioned in this cycle (the actual scope), and companion dependencies that move alongside them to complete the delivery. These are presented separately for clarity.</w:t>
      </w:r>
    </w:p>
    <w:p w14:paraId="6D1B9854">
      <w:pPr>
        <w:pStyle w:val="4"/>
        <w:spacing w:before="140" w:after="80"/>
      </w:pPr>
      <w:r>
        <w:rPr>
          <w:rFonts w:ascii="Calibri" w:hAnsi="Calibri" w:eastAsia="Calibri" w:cs="Calibri"/>
          <w:b/>
          <w:bCs/>
          <w:color w:val="595959"/>
          <w:sz w:val="20"/>
          <w:szCs w:val="20"/>
        </w:rPr>
        <w:t>2.2.1  Actual Libraries in Scope</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100"/>
        <w:gridCol w:w="900"/>
        <w:gridCol w:w="5020"/>
      </w:tblGrid>
      <w:tr w14:paraId="742DF9A0">
        <w:trPr>
          <w:tblHeader/>
        </w:trPr>
        <w:tc>
          <w:tcPr>
            <w:tcW w:w="3100" w:type="dxa"/>
            <w:shd w:val="clear" w:color="auto" w:fill="1F3864"/>
            <w:tcMar>
              <w:top w:w="40" w:type="dxa"/>
              <w:left w:w="90" w:type="dxa"/>
              <w:bottom w:w="40" w:type="dxa"/>
              <w:right w:w="90" w:type="dxa"/>
            </w:tcMar>
          </w:tcPr>
          <w:p w14:paraId="7F937A95">
            <w:pPr>
              <w:spacing w:before="20" w:after="20" w:line="252" w:lineRule="auto"/>
              <w:jc w:val="left"/>
            </w:pPr>
            <w:r>
              <w:rPr>
                <w:rFonts w:ascii="Calibri" w:hAnsi="Calibri" w:eastAsia="Calibri" w:cs="Calibri"/>
                <w:b/>
                <w:bCs/>
                <w:color w:val="FFFFFF"/>
                <w:sz w:val="18"/>
                <w:szCs w:val="18"/>
              </w:rPr>
              <w:t>Category</w:t>
            </w:r>
          </w:p>
        </w:tc>
        <w:tc>
          <w:tcPr>
            <w:tcW w:w="900" w:type="dxa"/>
            <w:shd w:val="clear" w:color="auto" w:fill="1F3864"/>
            <w:tcMar>
              <w:top w:w="40" w:type="dxa"/>
              <w:left w:w="90" w:type="dxa"/>
              <w:bottom w:w="40" w:type="dxa"/>
              <w:right w:w="90" w:type="dxa"/>
            </w:tcMar>
          </w:tcPr>
          <w:p w14:paraId="721F7DB5">
            <w:pPr>
              <w:spacing w:before="20" w:after="20" w:line="252" w:lineRule="auto"/>
              <w:jc w:val="left"/>
            </w:pPr>
            <w:r>
              <w:rPr>
                <w:rFonts w:ascii="Calibri" w:hAnsi="Calibri" w:eastAsia="Calibri" w:cs="Calibri"/>
                <w:b/>
                <w:bCs/>
                <w:color w:val="FFFFFF"/>
                <w:sz w:val="18"/>
                <w:szCs w:val="18"/>
              </w:rPr>
              <w:t>Count</w:t>
            </w:r>
          </w:p>
        </w:tc>
        <w:tc>
          <w:tcPr>
            <w:tcW w:w="5020" w:type="dxa"/>
            <w:shd w:val="clear" w:color="auto" w:fill="1F3864"/>
            <w:tcMar>
              <w:top w:w="40" w:type="dxa"/>
              <w:left w:w="90" w:type="dxa"/>
              <w:bottom w:w="40" w:type="dxa"/>
              <w:right w:w="90" w:type="dxa"/>
            </w:tcMar>
          </w:tcPr>
          <w:p w14:paraId="1C598DB3">
            <w:pPr>
              <w:spacing w:before="20" w:after="20" w:line="252" w:lineRule="auto"/>
              <w:jc w:val="left"/>
            </w:pPr>
            <w:r>
              <w:rPr>
                <w:rFonts w:ascii="Calibri" w:hAnsi="Calibri" w:eastAsia="Calibri" w:cs="Calibri"/>
                <w:b/>
                <w:bCs/>
                <w:color w:val="FFFFFF"/>
                <w:sz w:val="18"/>
                <w:szCs w:val="18"/>
              </w:rPr>
              <w:t>Description</w:t>
            </w:r>
          </w:p>
        </w:tc>
      </w:tr>
      <w:tr w14:paraId="4C0DFC67">
        <w:tc>
          <w:tcPr>
            <w:tcW w:w="3100" w:type="dxa"/>
            <w:shd w:val="clear" w:color="auto" w:fill="FFFFFF"/>
            <w:tcMar>
              <w:top w:w="40" w:type="dxa"/>
              <w:left w:w="90" w:type="dxa"/>
              <w:bottom w:w="40" w:type="dxa"/>
              <w:right w:w="90" w:type="dxa"/>
            </w:tcMar>
          </w:tcPr>
          <w:p w14:paraId="7F9B8CAF">
            <w:pPr>
              <w:spacing w:before="20" w:after="20" w:line="252" w:lineRule="auto"/>
              <w:jc w:val="left"/>
            </w:pPr>
            <w:r>
              <w:rPr>
                <w:rFonts w:ascii="Calibri" w:hAnsi="Calibri" w:eastAsia="Calibri" w:cs="Calibri"/>
                <w:b/>
                <w:bCs/>
                <w:color w:val="000000"/>
                <w:sz w:val="18"/>
                <w:szCs w:val="18"/>
              </w:rPr>
              <w:t>Decommission</w:t>
            </w:r>
          </w:p>
        </w:tc>
        <w:tc>
          <w:tcPr>
            <w:tcW w:w="900" w:type="dxa"/>
            <w:shd w:val="clear" w:color="auto" w:fill="FFFFFF"/>
            <w:tcMar>
              <w:top w:w="40" w:type="dxa"/>
              <w:left w:w="90" w:type="dxa"/>
              <w:bottom w:w="40" w:type="dxa"/>
              <w:right w:w="90" w:type="dxa"/>
            </w:tcMar>
          </w:tcPr>
          <w:p w14:paraId="6AB95993">
            <w:pPr>
              <w:spacing w:before="20" w:after="20" w:line="252" w:lineRule="auto"/>
              <w:jc w:val="left"/>
            </w:pPr>
            <w:r>
              <w:rPr>
                <w:rFonts w:ascii="Calibri" w:hAnsi="Calibri" w:eastAsia="Calibri" w:cs="Calibri"/>
                <w:b w:val="0"/>
                <w:bCs w:val="0"/>
                <w:color w:val="000000"/>
                <w:sz w:val="18"/>
                <w:szCs w:val="18"/>
              </w:rPr>
              <w:t>2</w:t>
            </w:r>
          </w:p>
        </w:tc>
        <w:tc>
          <w:tcPr>
            <w:tcW w:w="5020" w:type="dxa"/>
            <w:shd w:val="clear" w:color="auto" w:fill="FFFFFF"/>
            <w:tcMar>
              <w:top w:w="40" w:type="dxa"/>
              <w:left w:w="90" w:type="dxa"/>
              <w:bottom w:w="40" w:type="dxa"/>
              <w:right w:w="90" w:type="dxa"/>
            </w:tcMar>
          </w:tcPr>
          <w:p w14:paraId="536463B2">
            <w:pPr>
              <w:spacing w:before="20" w:after="20" w:line="252" w:lineRule="auto"/>
              <w:jc w:val="left"/>
            </w:pPr>
            <w:r>
              <w:rPr>
                <w:rFonts w:ascii="Calibri" w:hAnsi="Calibri" w:eastAsia="Calibri" w:cs="Calibri"/>
                <w:b w:val="0"/>
                <w:bCs w:val="0"/>
                <w:color w:val="000000"/>
                <w:sz w:val="18"/>
                <w:szCs w:val="18"/>
              </w:rPr>
              <w:t>activemq-core (verified not in use) and activemq-jaas (not in EAR).</w:t>
            </w:r>
          </w:p>
        </w:tc>
      </w:tr>
      <w:tr w14:paraId="5E7AEDD9">
        <w:tc>
          <w:tcPr>
            <w:tcW w:w="3100" w:type="dxa"/>
            <w:shd w:val="clear" w:color="auto" w:fill="EEF1F7"/>
            <w:tcMar>
              <w:top w:w="40" w:type="dxa"/>
              <w:left w:w="90" w:type="dxa"/>
              <w:bottom w:w="40" w:type="dxa"/>
              <w:right w:w="90" w:type="dxa"/>
            </w:tcMar>
          </w:tcPr>
          <w:p w14:paraId="0B585B5A">
            <w:pPr>
              <w:spacing w:before="20" w:after="20" w:line="252" w:lineRule="auto"/>
              <w:jc w:val="left"/>
            </w:pPr>
            <w:r>
              <w:rPr>
                <w:rFonts w:ascii="Calibri" w:hAnsi="Calibri" w:eastAsia="Calibri" w:cs="Calibri"/>
                <w:b/>
                <w:bCs/>
                <w:color w:val="000000"/>
                <w:sz w:val="18"/>
                <w:szCs w:val="18"/>
              </w:rPr>
              <w:t>Direct retrofit from reference market</w:t>
            </w:r>
          </w:p>
        </w:tc>
        <w:tc>
          <w:tcPr>
            <w:tcW w:w="900" w:type="dxa"/>
            <w:shd w:val="clear" w:color="auto" w:fill="EEF1F7"/>
            <w:tcMar>
              <w:top w:w="40" w:type="dxa"/>
              <w:left w:w="90" w:type="dxa"/>
              <w:bottom w:w="40" w:type="dxa"/>
              <w:right w:w="90" w:type="dxa"/>
            </w:tcMar>
          </w:tcPr>
          <w:p w14:paraId="4CF3DAAD">
            <w:pPr>
              <w:spacing w:before="20" w:after="20" w:line="252" w:lineRule="auto"/>
              <w:jc w:val="left"/>
            </w:pPr>
            <w:r>
              <w:rPr>
                <w:rFonts w:ascii="Calibri" w:hAnsi="Calibri" w:eastAsia="Calibri" w:cs="Calibri"/>
                <w:b w:val="0"/>
                <w:bCs w:val="0"/>
                <w:color w:val="000000"/>
                <w:sz w:val="18"/>
                <w:szCs w:val="18"/>
              </w:rPr>
              <w:t>9</w:t>
            </w:r>
            <w:bookmarkStart w:id="0" w:name="_GoBack"/>
            <w:bookmarkEnd w:id="0"/>
          </w:p>
        </w:tc>
        <w:tc>
          <w:tcPr>
            <w:tcW w:w="5020" w:type="dxa"/>
            <w:shd w:val="clear" w:color="auto" w:fill="EEF1F7"/>
            <w:tcMar>
              <w:top w:w="40" w:type="dxa"/>
              <w:left w:w="90" w:type="dxa"/>
              <w:bottom w:w="40" w:type="dxa"/>
              <w:right w:w="90" w:type="dxa"/>
            </w:tcMar>
          </w:tcPr>
          <w:p w14:paraId="6F1C0A2A">
            <w:pPr>
              <w:spacing w:before="20" w:after="20" w:line="252" w:lineRule="auto"/>
              <w:jc w:val="left"/>
            </w:pPr>
            <w:r>
              <w:rPr>
                <w:rFonts w:ascii="Calibri" w:hAnsi="Calibri" w:eastAsia="Calibri" w:cs="Calibri"/>
                <w:b w:val="0"/>
                <w:bCs w:val="0"/>
                <w:color w:val="000000"/>
                <w:sz w:val="18"/>
                <w:szCs w:val="18"/>
              </w:rPr>
              <w:t>jackson-databind, jackson-core, guava, gson, xalan, jsoup, xmlbeans, commons-beanutils, batik-all. Drop-in JAR replacements from the reference market baseline.</w:t>
            </w:r>
          </w:p>
        </w:tc>
      </w:tr>
      <w:tr w14:paraId="4A5C4E06">
        <w:tc>
          <w:tcPr>
            <w:tcW w:w="3100" w:type="dxa"/>
            <w:shd w:val="clear" w:color="auto" w:fill="FFFFFF"/>
            <w:tcMar>
              <w:top w:w="40" w:type="dxa"/>
              <w:left w:w="90" w:type="dxa"/>
              <w:bottom w:w="40" w:type="dxa"/>
              <w:right w:w="90" w:type="dxa"/>
            </w:tcMar>
          </w:tcPr>
          <w:p w14:paraId="535A7748">
            <w:pPr>
              <w:spacing w:before="20" w:after="20" w:line="252" w:lineRule="auto"/>
              <w:jc w:val="left"/>
            </w:pPr>
            <w:r>
              <w:rPr>
                <w:rFonts w:ascii="Calibri" w:hAnsi="Calibri" w:eastAsia="Calibri" w:cs="Calibri"/>
                <w:b/>
                <w:bCs/>
                <w:color w:val="000000"/>
                <w:sz w:val="18"/>
                <w:szCs w:val="18"/>
              </w:rPr>
              <w:t>Standalone upgrade with dependency change</w:t>
            </w:r>
          </w:p>
        </w:tc>
        <w:tc>
          <w:tcPr>
            <w:tcW w:w="900" w:type="dxa"/>
            <w:shd w:val="clear" w:color="auto" w:fill="FFFFFF"/>
            <w:tcMar>
              <w:top w:w="40" w:type="dxa"/>
              <w:left w:w="90" w:type="dxa"/>
              <w:bottom w:w="40" w:type="dxa"/>
              <w:right w:w="90" w:type="dxa"/>
            </w:tcMar>
          </w:tcPr>
          <w:p w14:paraId="6E27A20F">
            <w:pPr>
              <w:spacing w:before="20" w:after="20" w:line="252" w:lineRule="auto"/>
              <w:jc w:val="left"/>
            </w:pPr>
            <w:r>
              <w:rPr>
                <w:rFonts w:ascii="Calibri" w:hAnsi="Calibri" w:eastAsia="Calibri" w:cs="Calibri"/>
                <w:b w:val="0"/>
                <w:bCs w:val="0"/>
                <w:color w:val="000000"/>
                <w:sz w:val="18"/>
                <w:szCs w:val="18"/>
              </w:rPr>
              <w:t>3</w:t>
            </w:r>
          </w:p>
        </w:tc>
        <w:tc>
          <w:tcPr>
            <w:tcW w:w="5020" w:type="dxa"/>
            <w:shd w:val="clear" w:color="auto" w:fill="FFFFFF"/>
            <w:tcMar>
              <w:top w:w="40" w:type="dxa"/>
              <w:left w:w="90" w:type="dxa"/>
              <w:bottom w:w="40" w:type="dxa"/>
              <w:right w:w="90" w:type="dxa"/>
            </w:tcMar>
          </w:tcPr>
          <w:p w14:paraId="3081ABAD">
            <w:pPr>
              <w:spacing w:before="20" w:after="20" w:line="252" w:lineRule="auto"/>
              <w:jc w:val="left"/>
            </w:pPr>
            <w:r>
              <w:rPr>
                <w:rFonts w:ascii="Calibri" w:hAnsi="Calibri" w:eastAsia="Calibri" w:cs="Calibri"/>
                <w:b w:val="0"/>
                <w:bCs w:val="0"/>
                <w:color w:val="000000"/>
                <w:sz w:val="18"/>
                <w:szCs w:val="18"/>
              </w:rPr>
              <w:t>commons-fileupload, nimbus-jose-jwt and log4j. Each brings its own companion dependency set.</w:t>
            </w:r>
          </w:p>
        </w:tc>
      </w:tr>
      <w:tr w14:paraId="0908044F">
        <w:tc>
          <w:tcPr>
            <w:tcW w:w="3100" w:type="dxa"/>
            <w:shd w:val="clear" w:color="auto" w:fill="EEF1F7"/>
            <w:tcMar>
              <w:top w:w="40" w:type="dxa"/>
              <w:left w:w="90" w:type="dxa"/>
              <w:bottom w:w="40" w:type="dxa"/>
              <w:right w:w="90" w:type="dxa"/>
            </w:tcMar>
          </w:tcPr>
          <w:p w14:paraId="3F5AB66D">
            <w:pPr>
              <w:spacing w:before="20" w:after="20" w:line="252" w:lineRule="auto"/>
              <w:jc w:val="left"/>
            </w:pPr>
            <w:r>
              <w:rPr>
                <w:rFonts w:ascii="Calibri" w:hAnsi="Calibri" w:eastAsia="Calibri" w:cs="Calibri"/>
                <w:b/>
                <w:bCs/>
                <w:color w:val="000000"/>
                <w:sz w:val="18"/>
                <w:szCs w:val="18"/>
              </w:rPr>
              <w:t>Spring family — primary artefacts</w:t>
            </w:r>
          </w:p>
        </w:tc>
        <w:tc>
          <w:tcPr>
            <w:tcW w:w="900" w:type="dxa"/>
            <w:shd w:val="clear" w:color="auto" w:fill="EEF1F7"/>
            <w:tcMar>
              <w:top w:w="40" w:type="dxa"/>
              <w:left w:w="90" w:type="dxa"/>
              <w:bottom w:w="40" w:type="dxa"/>
              <w:right w:w="90" w:type="dxa"/>
            </w:tcMar>
          </w:tcPr>
          <w:p w14:paraId="65A11081">
            <w:pPr>
              <w:spacing w:before="20" w:after="20" w:line="252" w:lineRule="auto"/>
              <w:jc w:val="left"/>
            </w:pPr>
            <w:r>
              <w:rPr>
                <w:rFonts w:ascii="Calibri" w:hAnsi="Calibri" w:eastAsia="Calibri" w:cs="Calibri"/>
                <w:b w:val="0"/>
                <w:bCs w:val="0"/>
                <w:color w:val="000000"/>
                <w:sz w:val="18"/>
                <w:szCs w:val="18"/>
              </w:rPr>
              <w:t>4</w:t>
            </w:r>
          </w:p>
        </w:tc>
        <w:tc>
          <w:tcPr>
            <w:tcW w:w="5020" w:type="dxa"/>
            <w:shd w:val="clear" w:color="auto" w:fill="EEF1F7"/>
            <w:tcMar>
              <w:top w:w="40" w:type="dxa"/>
              <w:left w:w="90" w:type="dxa"/>
              <w:bottom w:w="40" w:type="dxa"/>
              <w:right w:w="90" w:type="dxa"/>
            </w:tcMar>
          </w:tcPr>
          <w:p w14:paraId="1F17BA7F">
            <w:pPr>
              <w:spacing w:before="20" w:after="20" w:line="252" w:lineRule="auto"/>
              <w:jc w:val="left"/>
            </w:pPr>
            <w:r>
              <w:rPr>
                <w:rFonts w:ascii="Calibri" w:hAnsi="Calibri" w:eastAsia="Calibri" w:cs="Calibri"/>
                <w:b w:val="0"/>
                <w:bCs w:val="0"/>
                <w:color w:val="000000"/>
                <w:sz w:val="18"/>
                <w:szCs w:val="18"/>
              </w:rPr>
              <w:t>spring-webmvc, spring-beans, spring-web, spring-core — moving 4.2.9 → 5.3.34 together.</w:t>
            </w:r>
          </w:p>
        </w:tc>
      </w:tr>
      <w:tr w14:paraId="2148E84D">
        <w:tc>
          <w:tcPr>
            <w:tcW w:w="3100" w:type="dxa"/>
            <w:shd w:val="clear" w:color="auto" w:fill="FFFFFF"/>
            <w:tcMar>
              <w:top w:w="40" w:type="dxa"/>
              <w:left w:w="90" w:type="dxa"/>
              <w:bottom w:w="40" w:type="dxa"/>
              <w:right w:w="90" w:type="dxa"/>
            </w:tcMar>
          </w:tcPr>
          <w:p w14:paraId="0F945D3F">
            <w:pPr>
              <w:spacing w:before="20" w:after="20" w:line="252" w:lineRule="auto"/>
              <w:jc w:val="left"/>
            </w:pPr>
            <w:r>
              <w:rPr>
                <w:rFonts w:ascii="Calibri" w:hAnsi="Calibri" w:eastAsia="Calibri" w:cs="Calibri"/>
                <w:b/>
                <w:bCs/>
                <w:color w:val="000000"/>
                <w:sz w:val="18"/>
                <w:szCs w:val="18"/>
              </w:rPr>
              <w:t>spring-webmvc-portlet — separate line</w:t>
            </w:r>
          </w:p>
        </w:tc>
        <w:tc>
          <w:tcPr>
            <w:tcW w:w="900" w:type="dxa"/>
            <w:shd w:val="clear" w:color="auto" w:fill="FFFFFF"/>
            <w:tcMar>
              <w:top w:w="40" w:type="dxa"/>
              <w:left w:w="90" w:type="dxa"/>
              <w:bottom w:w="40" w:type="dxa"/>
              <w:right w:w="90" w:type="dxa"/>
            </w:tcMar>
          </w:tcPr>
          <w:p w14:paraId="74034621">
            <w:pPr>
              <w:spacing w:before="20" w:after="20" w:line="252" w:lineRule="auto"/>
              <w:jc w:val="left"/>
            </w:pPr>
            <w:r>
              <w:rPr>
                <w:rFonts w:ascii="Calibri" w:hAnsi="Calibri" w:eastAsia="Calibri" w:cs="Calibri"/>
                <w:b w:val="0"/>
                <w:bCs w:val="0"/>
                <w:color w:val="000000"/>
                <w:sz w:val="18"/>
                <w:szCs w:val="18"/>
              </w:rPr>
              <w:t>1</w:t>
            </w:r>
          </w:p>
        </w:tc>
        <w:tc>
          <w:tcPr>
            <w:tcW w:w="5020" w:type="dxa"/>
            <w:shd w:val="clear" w:color="auto" w:fill="FFFFFF"/>
            <w:tcMar>
              <w:top w:w="40" w:type="dxa"/>
              <w:left w:w="90" w:type="dxa"/>
              <w:bottom w:w="40" w:type="dxa"/>
              <w:right w:w="90" w:type="dxa"/>
            </w:tcMar>
          </w:tcPr>
          <w:p w14:paraId="1C1FC5FA">
            <w:pPr>
              <w:spacing w:before="20" w:after="20" w:line="252" w:lineRule="auto"/>
              <w:jc w:val="left"/>
            </w:pPr>
            <w:r>
              <w:rPr>
                <w:rFonts w:ascii="Calibri" w:hAnsi="Calibri" w:eastAsia="Calibri" w:cs="Calibri"/>
                <w:b w:val="0"/>
                <w:bCs w:val="0"/>
                <w:color w:val="000000"/>
                <w:sz w:val="18"/>
                <w:szCs w:val="18"/>
              </w:rPr>
              <w:t>spring-webmvc-portlet 4.2.9 → 4.3.30.RELEASE (last available version of the portlet module).</w:t>
            </w:r>
          </w:p>
        </w:tc>
      </w:tr>
      <w:tr w14:paraId="48E7C5B6">
        <w:tc>
          <w:tcPr>
            <w:tcW w:w="3100" w:type="dxa"/>
            <w:shd w:val="clear" w:color="auto" w:fill="EEF1F7"/>
            <w:tcMar>
              <w:top w:w="40" w:type="dxa"/>
              <w:left w:w="90" w:type="dxa"/>
              <w:bottom w:w="40" w:type="dxa"/>
              <w:right w:w="90" w:type="dxa"/>
            </w:tcMar>
          </w:tcPr>
          <w:p w14:paraId="25E4B1F3">
            <w:pPr>
              <w:spacing w:before="20" w:after="20" w:line="252" w:lineRule="auto"/>
              <w:jc w:val="left"/>
            </w:pPr>
            <w:r>
              <w:rPr>
                <w:rFonts w:ascii="Calibri" w:hAnsi="Calibri" w:eastAsia="Calibri" w:cs="Calibri"/>
                <w:b/>
                <w:bCs/>
                <w:color w:val="000000"/>
                <w:sz w:val="18"/>
                <w:szCs w:val="18"/>
              </w:rPr>
              <w:t>Residual — held on current stack</w:t>
            </w:r>
          </w:p>
        </w:tc>
        <w:tc>
          <w:tcPr>
            <w:tcW w:w="900" w:type="dxa"/>
            <w:shd w:val="clear" w:color="auto" w:fill="EEF1F7"/>
            <w:tcMar>
              <w:top w:w="40" w:type="dxa"/>
              <w:left w:w="90" w:type="dxa"/>
              <w:bottom w:w="40" w:type="dxa"/>
              <w:right w:w="90" w:type="dxa"/>
            </w:tcMar>
          </w:tcPr>
          <w:p w14:paraId="61F1B86B">
            <w:pPr>
              <w:spacing w:before="20" w:after="20" w:line="252" w:lineRule="auto"/>
              <w:jc w:val="left"/>
            </w:pPr>
            <w:r>
              <w:rPr>
                <w:rFonts w:ascii="Calibri" w:hAnsi="Calibri" w:eastAsia="Calibri" w:cs="Calibri"/>
                <w:b w:val="0"/>
                <w:bCs w:val="0"/>
                <w:color w:val="000000"/>
                <w:sz w:val="18"/>
                <w:szCs w:val="18"/>
              </w:rPr>
              <w:t>1</w:t>
            </w:r>
          </w:p>
        </w:tc>
        <w:tc>
          <w:tcPr>
            <w:tcW w:w="5020" w:type="dxa"/>
            <w:shd w:val="clear" w:color="auto" w:fill="EEF1F7"/>
            <w:tcMar>
              <w:top w:w="40" w:type="dxa"/>
              <w:left w:w="90" w:type="dxa"/>
              <w:bottom w:w="40" w:type="dxa"/>
              <w:right w:w="90" w:type="dxa"/>
            </w:tcMar>
          </w:tcPr>
          <w:p w14:paraId="69D29C55">
            <w:pPr>
              <w:spacing w:before="20" w:after="20" w:line="252" w:lineRule="auto"/>
              <w:jc w:val="left"/>
            </w:pPr>
            <w:r>
              <w:rPr>
                <w:rFonts w:ascii="Calibri" w:hAnsi="Calibri" w:eastAsia="Calibri" w:cs="Calibri"/>
                <w:b w:val="0"/>
                <w:bCs w:val="0"/>
                <w:color w:val="000000"/>
                <w:sz w:val="18"/>
                <w:szCs w:val="18"/>
              </w:rPr>
              <w:t>velocity 1.7 — no upgrade path viable on current stack; exploitability defended (Section 8).</w:t>
            </w:r>
          </w:p>
        </w:tc>
      </w:tr>
      <w:tr w14:paraId="6B5B33CD">
        <w:tc>
          <w:tcPr>
            <w:tcW w:w="3100" w:type="dxa"/>
            <w:shd w:val="clear" w:color="auto" w:fill="FFFFFF"/>
            <w:tcMar>
              <w:top w:w="40" w:type="dxa"/>
              <w:left w:w="90" w:type="dxa"/>
              <w:bottom w:w="40" w:type="dxa"/>
              <w:right w:w="90" w:type="dxa"/>
            </w:tcMar>
          </w:tcPr>
          <w:p w14:paraId="4BF8FE11">
            <w:pPr>
              <w:spacing w:before="20" w:after="20" w:line="252" w:lineRule="auto"/>
              <w:jc w:val="left"/>
            </w:pPr>
            <w:r>
              <w:rPr>
                <w:rFonts w:ascii="Calibri" w:hAnsi="Calibri" w:eastAsia="Calibri" w:cs="Calibri"/>
                <w:b/>
                <w:bCs/>
                <w:color w:val="000000"/>
                <w:sz w:val="18"/>
                <w:szCs w:val="18"/>
              </w:rPr>
              <w:t>Subtotal — actual libraries</w:t>
            </w:r>
          </w:p>
        </w:tc>
        <w:tc>
          <w:tcPr>
            <w:tcW w:w="900" w:type="dxa"/>
            <w:shd w:val="clear" w:color="auto" w:fill="FFFFFF"/>
            <w:tcMar>
              <w:top w:w="40" w:type="dxa"/>
              <w:left w:w="90" w:type="dxa"/>
              <w:bottom w:w="40" w:type="dxa"/>
              <w:right w:w="90" w:type="dxa"/>
            </w:tcMar>
          </w:tcPr>
          <w:p w14:paraId="4A7CEDD6">
            <w:pPr>
              <w:spacing w:before="20" w:after="20" w:line="252" w:lineRule="auto"/>
              <w:jc w:val="left"/>
            </w:pPr>
            <w:r>
              <w:rPr>
                <w:rFonts w:ascii="Calibri" w:hAnsi="Calibri" w:eastAsia="Calibri" w:cs="Calibri"/>
                <w:b w:val="0"/>
                <w:bCs w:val="0"/>
                <w:color w:val="000000"/>
                <w:sz w:val="18"/>
                <w:szCs w:val="18"/>
              </w:rPr>
              <w:t>20</w:t>
            </w:r>
          </w:p>
        </w:tc>
        <w:tc>
          <w:tcPr>
            <w:tcW w:w="5020" w:type="dxa"/>
            <w:shd w:val="clear" w:color="auto" w:fill="FFFFFF"/>
            <w:tcMar>
              <w:top w:w="40" w:type="dxa"/>
              <w:left w:w="90" w:type="dxa"/>
              <w:bottom w:w="40" w:type="dxa"/>
              <w:right w:w="90" w:type="dxa"/>
            </w:tcMar>
          </w:tcPr>
          <w:p w14:paraId="782B0763">
            <w:pPr>
              <w:spacing w:before="20" w:after="20" w:line="252" w:lineRule="auto"/>
              <w:jc w:val="left"/>
            </w:pPr>
          </w:p>
        </w:tc>
      </w:tr>
    </w:tbl>
    <w:p w14:paraId="38B8106D">
      <w:pPr>
        <w:spacing w:after="120"/>
      </w:pPr>
    </w:p>
    <w:p w14:paraId="1D6BB635">
      <w:pPr>
        <w:pStyle w:val="4"/>
        <w:spacing w:before="140" w:after="80"/>
      </w:pPr>
      <w:r>
        <w:rPr>
          <w:rFonts w:ascii="Calibri" w:hAnsi="Calibri" w:eastAsia="Calibri" w:cs="Calibri"/>
          <w:b/>
          <w:bCs/>
          <w:color w:val="595959"/>
          <w:sz w:val="20"/>
          <w:szCs w:val="20"/>
        </w:rPr>
        <w:t>2.2.2  Companion Dependencies Moving Alongside</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100"/>
        <w:gridCol w:w="900"/>
        <w:gridCol w:w="5020"/>
      </w:tblGrid>
      <w:tr w14:paraId="310A5985">
        <w:trPr>
          <w:tblHeader/>
        </w:trPr>
        <w:tc>
          <w:tcPr>
            <w:tcW w:w="3100" w:type="dxa"/>
            <w:shd w:val="clear" w:color="auto" w:fill="1F3864"/>
            <w:tcMar>
              <w:top w:w="40" w:type="dxa"/>
              <w:left w:w="90" w:type="dxa"/>
              <w:bottom w:w="40" w:type="dxa"/>
              <w:right w:w="90" w:type="dxa"/>
            </w:tcMar>
          </w:tcPr>
          <w:p w14:paraId="62376A3D">
            <w:pPr>
              <w:spacing w:before="20" w:after="20" w:line="252" w:lineRule="auto"/>
              <w:jc w:val="left"/>
            </w:pPr>
            <w:r>
              <w:rPr>
                <w:rFonts w:ascii="Calibri" w:hAnsi="Calibri" w:eastAsia="Calibri" w:cs="Calibri"/>
                <w:b/>
                <w:bCs/>
                <w:color w:val="FFFFFF"/>
                <w:sz w:val="18"/>
                <w:szCs w:val="18"/>
              </w:rPr>
              <w:t>Category</w:t>
            </w:r>
          </w:p>
        </w:tc>
        <w:tc>
          <w:tcPr>
            <w:tcW w:w="900" w:type="dxa"/>
            <w:shd w:val="clear" w:color="auto" w:fill="1F3864"/>
            <w:tcMar>
              <w:top w:w="40" w:type="dxa"/>
              <w:left w:w="90" w:type="dxa"/>
              <w:bottom w:w="40" w:type="dxa"/>
              <w:right w:w="90" w:type="dxa"/>
            </w:tcMar>
          </w:tcPr>
          <w:p w14:paraId="2DC0538A">
            <w:pPr>
              <w:spacing w:before="20" w:after="20" w:line="252" w:lineRule="auto"/>
              <w:jc w:val="left"/>
            </w:pPr>
            <w:r>
              <w:rPr>
                <w:rFonts w:ascii="Calibri" w:hAnsi="Calibri" w:eastAsia="Calibri" w:cs="Calibri"/>
                <w:b/>
                <w:bCs/>
                <w:color w:val="FFFFFF"/>
                <w:sz w:val="18"/>
                <w:szCs w:val="18"/>
              </w:rPr>
              <w:t>Count</w:t>
            </w:r>
          </w:p>
        </w:tc>
        <w:tc>
          <w:tcPr>
            <w:tcW w:w="5020" w:type="dxa"/>
            <w:shd w:val="clear" w:color="auto" w:fill="1F3864"/>
            <w:tcMar>
              <w:top w:w="40" w:type="dxa"/>
              <w:left w:w="90" w:type="dxa"/>
              <w:bottom w:w="40" w:type="dxa"/>
              <w:right w:w="90" w:type="dxa"/>
            </w:tcMar>
          </w:tcPr>
          <w:p w14:paraId="167FCB4F">
            <w:pPr>
              <w:spacing w:before="20" w:after="20" w:line="252" w:lineRule="auto"/>
              <w:jc w:val="left"/>
            </w:pPr>
            <w:r>
              <w:rPr>
                <w:rFonts w:ascii="Calibri" w:hAnsi="Calibri" w:eastAsia="Calibri" w:cs="Calibri"/>
                <w:b/>
                <w:bCs/>
                <w:color w:val="FFFFFF"/>
                <w:sz w:val="18"/>
                <w:szCs w:val="18"/>
              </w:rPr>
              <w:t>Description</w:t>
            </w:r>
          </w:p>
        </w:tc>
      </w:tr>
      <w:tr w14:paraId="5B26C14C">
        <w:tc>
          <w:tcPr>
            <w:tcW w:w="3100" w:type="dxa"/>
            <w:shd w:val="clear" w:color="auto" w:fill="FFFFFF"/>
            <w:tcMar>
              <w:top w:w="40" w:type="dxa"/>
              <w:left w:w="90" w:type="dxa"/>
              <w:bottom w:w="40" w:type="dxa"/>
              <w:right w:w="90" w:type="dxa"/>
            </w:tcMar>
          </w:tcPr>
          <w:p w14:paraId="3FDF512E">
            <w:pPr>
              <w:spacing w:before="20" w:after="20" w:line="252" w:lineRule="auto"/>
              <w:jc w:val="left"/>
            </w:pPr>
            <w:r>
              <w:rPr>
                <w:rFonts w:ascii="Calibri" w:hAnsi="Calibri" w:eastAsia="Calibri" w:cs="Calibri"/>
                <w:b/>
                <w:bCs/>
                <w:color w:val="000000"/>
                <w:sz w:val="18"/>
                <w:szCs w:val="18"/>
              </w:rPr>
              <w:t>Aligned with the Spring 5.3.34 baseline</w:t>
            </w:r>
          </w:p>
        </w:tc>
        <w:tc>
          <w:tcPr>
            <w:tcW w:w="900" w:type="dxa"/>
            <w:shd w:val="clear" w:color="auto" w:fill="FFFFFF"/>
            <w:tcMar>
              <w:top w:w="40" w:type="dxa"/>
              <w:left w:w="90" w:type="dxa"/>
              <w:bottom w:w="40" w:type="dxa"/>
              <w:right w:w="90" w:type="dxa"/>
            </w:tcMar>
          </w:tcPr>
          <w:p w14:paraId="7B7928F4">
            <w:pPr>
              <w:spacing w:before="20" w:after="20" w:line="252" w:lineRule="auto"/>
              <w:jc w:val="left"/>
              <w:rPr>
                <w:rFonts w:hint="default"/>
                <w:lang w:val="en-US"/>
              </w:rPr>
            </w:pPr>
            <w:r>
              <w:rPr>
                <w:rFonts w:hint="default"/>
                <w:lang w:val="en-US"/>
              </w:rPr>
              <w:t>8</w:t>
            </w:r>
          </w:p>
        </w:tc>
        <w:tc>
          <w:tcPr>
            <w:tcW w:w="5020" w:type="dxa"/>
            <w:shd w:val="clear" w:color="auto" w:fill="FFFFFF"/>
            <w:tcMar>
              <w:top w:w="40" w:type="dxa"/>
              <w:left w:w="90" w:type="dxa"/>
              <w:bottom w:w="40" w:type="dxa"/>
              <w:right w:w="90" w:type="dxa"/>
            </w:tcMar>
          </w:tcPr>
          <w:p w14:paraId="79125841">
            <w:pPr>
              <w:spacing w:before="20" w:after="20" w:line="252" w:lineRule="auto"/>
              <w:jc w:val="left"/>
            </w:pPr>
            <w:r>
              <w:rPr>
                <w:rFonts w:ascii="Calibri" w:hAnsi="Calibri" w:eastAsia="Calibri" w:cs="Calibri"/>
                <w:b w:val="0"/>
                <w:bCs w:val="0"/>
                <w:color w:val="000000"/>
                <w:sz w:val="18"/>
                <w:szCs w:val="18"/>
              </w:rPr>
              <w:t>Spring internal libraries (aop, aspects, context, expression, tx, oxm, jcl) plus AspectJ (aspectjrt, aspectjtools). spring-jcl is newly introduced for SG.</w:t>
            </w:r>
          </w:p>
        </w:tc>
      </w:tr>
      <w:tr w14:paraId="242B06CE">
        <w:tc>
          <w:tcPr>
            <w:tcW w:w="3100" w:type="dxa"/>
            <w:shd w:val="clear" w:color="auto" w:fill="EEF1F7"/>
            <w:tcMar>
              <w:top w:w="40" w:type="dxa"/>
              <w:left w:w="90" w:type="dxa"/>
              <w:bottom w:w="40" w:type="dxa"/>
              <w:right w:w="90" w:type="dxa"/>
            </w:tcMar>
          </w:tcPr>
          <w:p w14:paraId="3AA4A706">
            <w:pPr>
              <w:spacing w:before="20" w:after="20" w:line="252" w:lineRule="auto"/>
              <w:jc w:val="left"/>
            </w:pPr>
            <w:r>
              <w:rPr>
                <w:rFonts w:ascii="Calibri" w:hAnsi="Calibri" w:eastAsia="Calibri" w:cs="Calibri"/>
                <w:b/>
                <w:bCs/>
                <w:color w:val="000000"/>
                <w:sz w:val="18"/>
                <w:szCs w:val="18"/>
              </w:rPr>
              <w:t>Companions of log4j-core 2.19.0</w:t>
            </w:r>
          </w:p>
        </w:tc>
        <w:tc>
          <w:tcPr>
            <w:tcW w:w="900" w:type="dxa"/>
            <w:shd w:val="clear" w:color="auto" w:fill="EEF1F7"/>
            <w:tcMar>
              <w:top w:w="40" w:type="dxa"/>
              <w:left w:w="90" w:type="dxa"/>
              <w:bottom w:w="40" w:type="dxa"/>
              <w:right w:w="90" w:type="dxa"/>
            </w:tcMar>
          </w:tcPr>
          <w:p w14:paraId="1C8CA8FE">
            <w:pPr>
              <w:spacing w:before="20" w:after="20" w:line="252" w:lineRule="auto"/>
              <w:jc w:val="left"/>
            </w:pPr>
            <w:r>
              <w:rPr>
                <w:rFonts w:ascii="Calibri" w:hAnsi="Calibri" w:eastAsia="Calibri" w:cs="Calibri"/>
                <w:b w:val="0"/>
                <w:bCs w:val="0"/>
                <w:color w:val="000000"/>
                <w:sz w:val="18"/>
                <w:szCs w:val="18"/>
              </w:rPr>
              <w:t>4</w:t>
            </w:r>
          </w:p>
        </w:tc>
        <w:tc>
          <w:tcPr>
            <w:tcW w:w="5020" w:type="dxa"/>
            <w:shd w:val="clear" w:color="auto" w:fill="EEF1F7"/>
            <w:tcMar>
              <w:top w:w="40" w:type="dxa"/>
              <w:left w:w="90" w:type="dxa"/>
              <w:bottom w:w="40" w:type="dxa"/>
              <w:right w:w="90" w:type="dxa"/>
            </w:tcMar>
          </w:tcPr>
          <w:p w14:paraId="304D680F">
            <w:pPr>
              <w:spacing w:before="20" w:after="20" w:line="252" w:lineRule="auto"/>
              <w:jc w:val="left"/>
            </w:pPr>
            <w:r>
              <w:rPr>
                <w:rFonts w:ascii="Calibri" w:hAnsi="Calibri" w:eastAsia="Calibri" w:cs="Calibri"/>
                <w:b w:val="0"/>
                <w:bCs w:val="0"/>
                <w:color w:val="000000"/>
                <w:sz w:val="18"/>
                <w:szCs w:val="18"/>
              </w:rPr>
              <w:t>log4j-api, log4j-jcl, log4j-slf4j-impl, disruptor.</w:t>
            </w:r>
          </w:p>
        </w:tc>
      </w:tr>
      <w:tr w14:paraId="201EBCD3">
        <w:tc>
          <w:tcPr>
            <w:tcW w:w="3100" w:type="dxa"/>
            <w:shd w:val="clear" w:color="auto" w:fill="FFFFFF"/>
            <w:tcMar>
              <w:top w:w="40" w:type="dxa"/>
              <w:left w:w="90" w:type="dxa"/>
              <w:bottom w:w="40" w:type="dxa"/>
              <w:right w:w="90" w:type="dxa"/>
            </w:tcMar>
          </w:tcPr>
          <w:p w14:paraId="43C39EA3">
            <w:pPr>
              <w:spacing w:before="20" w:after="20" w:line="252" w:lineRule="auto"/>
              <w:jc w:val="left"/>
            </w:pPr>
            <w:r>
              <w:rPr>
                <w:rFonts w:ascii="Calibri" w:hAnsi="Calibri" w:eastAsia="Calibri" w:cs="Calibri"/>
                <w:b/>
                <w:bCs/>
                <w:color w:val="000000"/>
                <w:sz w:val="18"/>
                <w:szCs w:val="18"/>
              </w:rPr>
              <w:t>Companions of nimbus-jose-jwt 9.37.4</w:t>
            </w:r>
          </w:p>
        </w:tc>
        <w:tc>
          <w:tcPr>
            <w:tcW w:w="900" w:type="dxa"/>
            <w:shd w:val="clear" w:color="auto" w:fill="FFFFFF"/>
            <w:tcMar>
              <w:top w:w="40" w:type="dxa"/>
              <w:left w:w="90" w:type="dxa"/>
              <w:bottom w:w="40" w:type="dxa"/>
              <w:right w:w="90" w:type="dxa"/>
            </w:tcMar>
          </w:tcPr>
          <w:p w14:paraId="359D4B5C">
            <w:pPr>
              <w:spacing w:before="20" w:after="20" w:line="252" w:lineRule="auto"/>
              <w:jc w:val="left"/>
            </w:pPr>
            <w:r>
              <w:rPr>
                <w:rFonts w:ascii="Calibri" w:hAnsi="Calibri" w:eastAsia="Calibri" w:cs="Calibri"/>
                <w:b w:val="0"/>
                <w:bCs w:val="0"/>
                <w:color w:val="000000"/>
                <w:sz w:val="18"/>
                <w:szCs w:val="18"/>
              </w:rPr>
              <w:t>2</w:t>
            </w:r>
          </w:p>
        </w:tc>
        <w:tc>
          <w:tcPr>
            <w:tcW w:w="5020" w:type="dxa"/>
            <w:shd w:val="clear" w:color="auto" w:fill="FFFFFF"/>
            <w:tcMar>
              <w:top w:w="40" w:type="dxa"/>
              <w:left w:w="90" w:type="dxa"/>
              <w:bottom w:w="40" w:type="dxa"/>
              <w:right w:w="90" w:type="dxa"/>
            </w:tcMar>
          </w:tcPr>
          <w:p w14:paraId="1691AF24">
            <w:pPr>
              <w:spacing w:before="20" w:after="20" w:line="252" w:lineRule="auto"/>
              <w:jc w:val="left"/>
            </w:pPr>
            <w:r>
              <w:rPr>
                <w:rFonts w:ascii="Calibri" w:hAnsi="Calibri" w:eastAsia="Calibri" w:cs="Calibri"/>
                <w:b w:val="0"/>
                <w:bCs w:val="0"/>
                <w:color w:val="000000"/>
                <w:sz w:val="18"/>
                <w:szCs w:val="18"/>
              </w:rPr>
              <w:t>json-smart (upgrade 1.3.1 → 2.5.0) and accessors-smart 2.5.0 (newly introduced).</w:t>
            </w:r>
          </w:p>
        </w:tc>
      </w:tr>
      <w:tr w14:paraId="6DB9F8FA">
        <w:tc>
          <w:tcPr>
            <w:tcW w:w="3100" w:type="dxa"/>
            <w:shd w:val="clear" w:color="auto" w:fill="EEF1F7"/>
            <w:tcMar>
              <w:top w:w="40" w:type="dxa"/>
              <w:left w:w="90" w:type="dxa"/>
              <w:bottom w:w="40" w:type="dxa"/>
              <w:right w:w="90" w:type="dxa"/>
            </w:tcMar>
          </w:tcPr>
          <w:p w14:paraId="284492EA">
            <w:pPr>
              <w:spacing w:before="20" w:after="20" w:line="252" w:lineRule="auto"/>
              <w:jc w:val="left"/>
            </w:pPr>
            <w:r>
              <w:rPr>
                <w:rFonts w:ascii="Calibri" w:hAnsi="Calibri" w:eastAsia="Calibri" w:cs="Calibri"/>
                <w:b/>
                <w:bCs/>
                <w:color w:val="000000"/>
                <w:sz w:val="18"/>
                <w:szCs w:val="18"/>
              </w:rPr>
              <w:t>Companion of guava 32.0.1-jre</w:t>
            </w:r>
          </w:p>
        </w:tc>
        <w:tc>
          <w:tcPr>
            <w:tcW w:w="900" w:type="dxa"/>
            <w:shd w:val="clear" w:color="auto" w:fill="EEF1F7"/>
            <w:tcMar>
              <w:top w:w="40" w:type="dxa"/>
              <w:left w:w="90" w:type="dxa"/>
              <w:bottom w:w="40" w:type="dxa"/>
              <w:right w:w="90" w:type="dxa"/>
            </w:tcMar>
          </w:tcPr>
          <w:p w14:paraId="2E33AFBF">
            <w:pPr>
              <w:spacing w:before="20" w:after="20" w:line="252" w:lineRule="auto"/>
              <w:jc w:val="left"/>
            </w:pPr>
            <w:r>
              <w:rPr>
                <w:rFonts w:ascii="Calibri" w:hAnsi="Calibri" w:eastAsia="Calibri" w:cs="Calibri"/>
                <w:b w:val="0"/>
                <w:bCs w:val="0"/>
                <w:color w:val="000000"/>
                <w:sz w:val="18"/>
                <w:szCs w:val="18"/>
              </w:rPr>
              <w:t>1</w:t>
            </w:r>
          </w:p>
        </w:tc>
        <w:tc>
          <w:tcPr>
            <w:tcW w:w="5020" w:type="dxa"/>
            <w:shd w:val="clear" w:color="auto" w:fill="EEF1F7"/>
            <w:tcMar>
              <w:top w:w="40" w:type="dxa"/>
              <w:left w:w="90" w:type="dxa"/>
              <w:bottom w:w="40" w:type="dxa"/>
              <w:right w:w="90" w:type="dxa"/>
            </w:tcMar>
          </w:tcPr>
          <w:p w14:paraId="5381D6B4">
            <w:pPr>
              <w:spacing w:before="20" w:after="20" w:line="252" w:lineRule="auto"/>
              <w:jc w:val="left"/>
            </w:pPr>
            <w:r>
              <w:rPr>
                <w:rFonts w:ascii="Calibri" w:hAnsi="Calibri" w:eastAsia="Calibri" w:cs="Calibri"/>
                <w:b w:val="0"/>
                <w:bCs w:val="0"/>
                <w:color w:val="000000"/>
                <w:sz w:val="18"/>
                <w:szCs w:val="18"/>
              </w:rPr>
              <w:t>failureaccess 1.0.1 (newly introduced runtime helper).</w:t>
            </w:r>
          </w:p>
        </w:tc>
      </w:tr>
      <w:tr w14:paraId="7172C3E7">
        <w:tc>
          <w:tcPr>
            <w:tcW w:w="3100" w:type="dxa"/>
            <w:shd w:val="clear" w:color="auto" w:fill="FFFFFF"/>
            <w:tcMar>
              <w:top w:w="40" w:type="dxa"/>
              <w:left w:w="90" w:type="dxa"/>
              <w:bottom w:w="40" w:type="dxa"/>
              <w:right w:w="90" w:type="dxa"/>
            </w:tcMar>
          </w:tcPr>
          <w:p w14:paraId="7AA22B18">
            <w:pPr>
              <w:spacing w:before="20" w:after="20" w:line="252" w:lineRule="auto"/>
              <w:jc w:val="left"/>
            </w:pPr>
            <w:r>
              <w:rPr>
                <w:rFonts w:ascii="Calibri" w:hAnsi="Calibri" w:eastAsia="Calibri" w:cs="Calibri"/>
                <w:b/>
                <w:bCs/>
                <w:color w:val="000000"/>
                <w:sz w:val="18"/>
                <w:szCs w:val="18"/>
              </w:rPr>
              <w:t>Companion of commons-fileupload 1.6</w:t>
            </w:r>
          </w:p>
        </w:tc>
        <w:tc>
          <w:tcPr>
            <w:tcW w:w="900" w:type="dxa"/>
            <w:shd w:val="clear" w:color="auto" w:fill="FFFFFF"/>
            <w:tcMar>
              <w:top w:w="40" w:type="dxa"/>
              <w:left w:w="90" w:type="dxa"/>
              <w:bottom w:w="40" w:type="dxa"/>
              <w:right w:w="90" w:type="dxa"/>
            </w:tcMar>
          </w:tcPr>
          <w:p w14:paraId="73527AEF">
            <w:pPr>
              <w:spacing w:before="20" w:after="20" w:line="252" w:lineRule="auto"/>
              <w:jc w:val="left"/>
            </w:pPr>
            <w:r>
              <w:rPr>
                <w:rFonts w:ascii="Calibri" w:hAnsi="Calibri" w:eastAsia="Calibri" w:cs="Calibri"/>
                <w:b w:val="0"/>
                <w:bCs w:val="0"/>
                <w:color w:val="000000"/>
                <w:sz w:val="18"/>
                <w:szCs w:val="18"/>
              </w:rPr>
              <w:t>1</w:t>
            </w:r>
          </w:p>
        </w:tc>
        <w:tc>
          <w:tcPr>
            <w:tcW w:w="5020" w:type="dxa"/>
            <w:shd w:val="clear" w:color="auto" w:fill="FFFFFF"/>
            <w:tcMar>
              <w:top w:w="40" w:type="dxa"/>
              <w:left w:w="90" w:type="dxa"/>
              <w:bottom w:w="40" w:type="dxa"/>
              <w:right w:w="90" w:type="dxa"/>
            </w:tcMar>
          </w:tcPr>
          <w:p w14:paraId="2F03E28F">
            <w:pPr>
              <w:spacing w:before="20" w:after="20" w:line="252" w:lineRule="auto"/>
              <w:jc w:val="left"/>
            </w:pPr>
            <w:r>
              <w:rPr>
                <w:rFonts w:ascii="Calibri" w:hAnsi="Calibri" w:eastAsia="Calibri" w:cs="Calibri"/>
                <w:b w:val="0"/>
                <w:bCs w:val="0"/>
                <w:color w:val="000000"/>
                <w:sz w:val="18"/>
                <w:szCs w:val="18"/>
              </w:rPr>
              <w:t>commons-io 2.14.</w:t>
            </w:r>
          </w:p>
        </w:tc>
      </w:tr>
      <w:tr w14:paraId="42D63A25">
        <w:tc>
          <w:tcPr>
            <w:tcW w:w="3100" w:type="dxa"/>
            <w:shd w:val="clear" w:color="auto" w:fill="EEF1F7"/>
            <w:tcMar>
              <w:top w:w="40" w:type="dxa"/>
              <w:left w:w="90" w:type="dxa"/>
              <w:bottom w:w="40" w:type="dxa"/>
              <w:right w:w="90" w:type="dxa"/>
            </w:tcMar>
          </w:tcPr>
          <w:p w14:paraId="169D41FA">
            <w:pPr>
              <w:spacing w:before="20" w:after="20" w:line="252" w:lineRule="auto"/>
              <w:jc w:val="left"/>
            </w:pPr>
            <w:r>
              <w:rPr>
                <w:rFonts w:ascii="Calibri" w:hAnsi="Calibri" w:eastAsia="Calibri" w:cs="Calibri"/>
                <w:b/>
                <w:bCs/>
                <w:color w:val="000000"/>
                <w:sz w:val="18"/>
                <w:szCs w:val="18"/>
              </w:rPr>
              <w:t>Companion of commons-beanutils 1.9.4</w:t>
            </w:r>
          </w:p>
        </w:tc>
        <w:tc>
          <w:tcPr>
            <w:tcW w:w="900" w:type="dxa"/>
            <w:shd w:val="clear" w:color="auto" w:fill="EEF1F7"/>
            <w:tcMar>
              <w:top w:w="40" w:type="dxa"/>
              <w:left w:w="90" w:type="dxa"/>
              <w:bottom w:w="40" w:type="dxa"/>
              <w:right w:w="90" w:type="dxa"/>
            </w:tcMar>
          </w:tcPr>
          <w:p w14:paraId="56618F5D">
            <w:pPr>
              <w:spacing w:before="20" w:after="20" w:line="252" w:lineRule="auto"/>
              <w:jc w:val="left"/>
            </w:pPr>
            <w:r>
              <w:rPr>
                <w:rFonts w:ascii="Calibri" w:hAnsi="Calibri" w:eastAsia="Calibri" w:cs="Calibri"/>
                <w:b w:val="0"/>
                <w:bCs w:val="0"/>
                <w:color w:val="000000"/>
                <w:sz w:val="18"/>
                <w:szCs w:val="18"/>
              </w:rPr>
              <w:t>1</w:t>
            </w:r>
          </w:p>
        </w:tc>
        <w:tc>
          <w:tcPr>
            <w:tcW w:w="5020" w:type="dxa"/>
            <w:shd w:val="clear" w:color="auto" w:fill="EEF1F7"/>
            <w:tcMar>
              <w:top w:w="40" w:type="dxa"/>
              <w:left w:w="90" w:type="dxa"/>
              <w:bottom w:w="40" w:type="dxa"/>
              <w:right w:w="90" w:type="dxa"/>
            </w:tcMar>
          </w:tcPr>
          <w:p w14:paraId="698D38FD">
            <w:pPr>
              <w:spacing w:before="20" w:after="20" w:line="252" w:lineRule="auto"/>
              <w:jc w:val="left"/>
            </w:pPr>
            <w:r>
              <w:rPr>
                <w:rFonts w:ascii="Calibri" w:hAnsi="Calibri" w:eastAsia="Calibri" w:cs="Calibri"/>
                <w:b w:val="0"/>
                <w:bCs w:val="0"/>
                <w:color w:val="000000"/>
                <w:sz w:val="18"/>
                <w:szCs w:val="18"/>
              </w:rPr>
              <w:t>commons-logging 1.2.</w:t>
            </w:r>
          </w:p>
        </w:tc>
      </w:tr>
      <w:tr w14:paraId="56B4D85F">
        <w:tc>
          <w:tcPr>
            <w:tcW w:w="3100" w:type="dxa"/>
            <w:shd w:val="clear" w:color="auto" w:fill="FFFFFF"/>
            <w:tcMar>
              <w:top w:w="40" w:type="dxa"/>
              <w:left w:w="90" w:type="dxa"/>
              <w:bottom w:w="40" w:type="dxa"/>
              <w:right w:w="90" w:type="dxa"/>
            </w:tcMar>
          </w:tcPr>
          <w:p w14:paraId="07973379">
            <w:pPr>
              <w:spacing w:before="20" w:after="20" w:line="252" w:lineRule="auto"/>
              <w:jc w:val="left"/>
            </w:pPr>
            <w:r>
              <w:rPr>
                <w:rFonts w:ascii="Calibri" w:hAnsi="Calibri" w:eastAsia="Calibri" w:cs="Calibri"/>
                <w:b/>
                <w:bCs/>
                <w:color w:val="000000"/>
                <w:sz w:val="18"/>
                <w:szCs w:val="18"/>
              </w:rPr>
              <w:t>Subtotal — companion dependencies</w:t>
            </w:r>
          </w:p>
        </w:tc>
        <w:tc>
          <w:tcPr>
            <w:tcW w:w="900" w:type="dxa"/>
            <w:shd w:val="clear" w:color="auto" w:fill="FFFFFF"/>
            <w:tcMar>
              <w:top w:w="40" w:type="dxa"/>
              <w:left w:w="90" w:type="dxa"/>
              <w:bottom w:w="40" w:type="dxa"/>
              <w:right w:w="90" w:type="dxa"/>
            </w:tcMar>
          </w:tcPr>
          <w:p w14:paraId="1677EDC6">
            <w:pPr>
              <w:spacing w:before="20" w:after="20" w:line="252" w:lineRule="auto"/>
              <w:jc w:val="left"/>
              <w:rPr>
                <w:rFonts w:hint="default"/>
                <w:lang w:val="en-US"/>
              </w:rPr>
            </w:pPr>
            <w:r>
              <w:rPr>
                <w:rFonts w:ascii="Calibri" w:hAnsi="Calibri" w:eastAsia="Calibri" w:cs="Calibri"/>
                <w:b w:val="0"/>
                <w:bCs w:val="0"/>
                <w:color w:val="000000"/>
                <w:sz w:val="18"/>
                <w:szCs w:val="18"/>
              </w:rPr>
              <w:t>1</w:t>
            </w:r>
            <w:r>
              <w:rPr>
                <w:rFonts w:hint="default" w:cs="Calibri"/>
                <w:b w:val="0"/>
                <w:bCs w:val="0"/>
                <w:color w:val="000000"/>
                <w:sz w:val="18"/>
                <w:szCs w:val="18"/>
                <w:lang w:val="en-US"/>
              </w:rPr>
              <w:t>7</w:t>
            </w:r>
          </w:p>
        </w:tc>
        <w:tc>
          <w:tcPr>
            <w:tcW w:w="5020" w:type="dxa"/>
            <w:shd w:val="clear" w:color="auto" w:fill="FFFFFF"/>
            <w:tcMar>
              <w:top w:w="40" w:type="dxa"/>
              <w:left w:w="90" w:type="dxa"/>
              <w:bottom w:w="40" w:type="dxa"/>
              <w:right w:w="90" w:type="dxa"/>
            </w:tcMar>
          </w:tcPr>
          <w:p w14:paraId="095AF4EF">
            <w:pPr>
              <w:spacing w:before="20" w:after="20" w:line="252" w:lineRule="auto"/>
              <w:jc w:val="left"/>
            </w:pPr>
          </w:p>
        </w:tc>
      </w:tr>
    </w:tbl>
    <w:p w14:paraId="6512B9CE">
      <w:pPr>
        <w:spacing w:after="120"/>
      </w:pPr>
    </w:p>
    <w:p w14:paraId="360C5EF8">
      <w:pPr>
        <w:pStyle w:val="4"/>
        <w:spacing w:before="140" w:after="80"/>
      </w:pPr>
      <w:r>
        <w:rPr>
          <w:rFonts w:ascii="Calibri" w:hAnsi="Calibri" w:eastAsia="Calibri" w:cs="Calibri"/>
          <w:b/>
          <w:bCs/>
          <w:color w:val="595959"/>
          <w:sz w:val="20"/>
          <w:szCs w:val="20"/>
        </w:rPr>
        <w:t>2.2.3  Total Change Footprint</w:t>
      </w:r>
    </w:p>
    <w:p w14:paraId="40EC2C49">
      <w:pPr>
        <w:spacing w:after="120" w:line="264" w:lineRule="auto"/>
        <w:jc w:val="both"/>
      </w:pPr>
      <w:r>
        <w:rPr>
          <w:rFonts w:ascii="Calibri" w:hAnsi="Calibri" w:eastAsia="Calibri" w:cs="Calibri"/>
          <w:b w:val="0"/>
          <w:bCs w:val="0"/>
          <w:i w:val="0"/>
          <w:iCs w:val="0"/>
          <w:color w:val="000000"/>
          <w:sz w:val="20"/>
          <w:szCs w:val="20"/>
        </w:rPr>
        <w:t xml:space="preserve">Total library-level changes to the SG Portal EAR for the August release: </w:t>
      </w:r>
      <w:r>
        <w:rPr>
          <w:rFonts w:ascii="Calibri" w:hAnsi="Calibri" w:eastAsia="Calibri" w:cs="Calibri"/>
          <w:b/>
          <w:bCs/>
          <w:i w:val="0"/>
          <w:iCs w:val="0"/>
          <w:color w:val="000000"/>
          <w:sz w:val="20"/>
          <w:szCs w:val="20"/>
        </w:rPr>
        <w:t>20 actual libraries + 18 companion dependencies = 38 JAR-level changes.</w:t>
      </w:r>
    </w:p>
    <w:p w14:paraId="64F33283">
      <w:pPr>
        <w:pStyle w:val="3"/>
        <w:spacing w:before="180" w:after="90"/>
      </w:pPr>
      <w:r>
        <w:rPr>
          <w:rFonts w:ascii="Calibri" w:hAnsi="Calibri" w:eastAsia="Calibri" w:cs="Calibri"/>
          <w:b/>
          <w:bCs/>
          <w:color w:val="1F3864"/>
          <w:sz w:val="22"/>
          <w:szCs w:val="22"/>
        </w:rPr>
        <w:t>2.3  Two-Batch Delivery Structure</w:t>
      </w:r>
    </w:p>
    <w:p w14:paraId="40D48BC8">
      <w:pPr>
        <w:spacing w:after="120" w:line="264" w:lineRule="auto"/>
        <w:jc w:val="both"/>
      </w:pPr>
      <w:r>
        <w:rPr>
          <w:rFonts w:ascii="Calibri" w:hAnsi="Calibri" w:eastAsia="Calibri" w:cs="Calibri"/>
          <w:b w:val="0"/>
          <w:bCs w:val="0"/>
          <w:i w:val="0"/>
          <w:iCs w:val="0"/>
          <w:color w:val="000000"/>
          <w:sz w:val="20"/>
          <w:szCs w:val="20"/>
        </w:rPr>
        <w:t>The SG release is delivered in two batches, reflecting the sequencing between SG's own development work and the retrofit that follows CN's completion.</w:t>
      </w:r>
    </w:p>
    <w:p w14:paraId="3F3903F0">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Batch 1 (07 Jul 2026) — </w:t>
      </w:r>
      <w:r>
        <w:rPr>
          <w:rFonts w:ascii="Calibri" w:hAnsi="Calibri" w:eastAsia="Calibri" w:cs="Calibri"/>
          <w:b w:val="0"/>
          <w:bCs w:val="0"/>
          <w:i w:val="0"/>
          <w:iCs w:val="0"/>
          <w:color w:val="000000"/>
          <w:sz w:val="20"/>
          <w:szCs w:val="20"/>
        </w:rPr>
        <w:t>Delivered by the Wipro SG development team. Covers the SG-owned lift of the older library baseline.</w:t>
      </w:r>
    </w:p>
    <w:p w14:paraId="0E2828FF">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Batch 2 (14 Jul 2026) — </w:t>
      </w:r>
      <w:r>
        <w:rPr>
          <w:rFonts w:ascii="Calibri" w:hAnsi="Calibri" w:eastAsia="Calibri" w:cs="Calibri"/>
          <w:b w:val="0"/>
          <w:bCs w:val="0"/>
          <w:i w:val="0"/>
          <w:iCs w:val="0"/>
          <w:color w:val="000000"/>
          <w:sz w:val="20"/>
          <w:szCs w:val="20"/>
        </w:rPr>
        <w:t>Delivered as a retrofit from CN's completed work. Covers the alignment items common with CN's release.</w:t>
      </w:r>
    </w:p>
    <w:p w14:paraId="11AF4FC0">
      <w:pPr>
        <w:spacing w:after="120" w:line="264" w:lineRule="auto"/>
        <w:jc w:val="both"/>
      </w:pPr>
      <w:r>
        <w:rPr>
          <w:rFonts w:ascii="Calibri" w:hAnsi="Calibri" w:eastAsia="Calibri" w:cs="Calibri"/>
          <w:b w:val="0"/>
          <w:bCs w:val="0"/>
          <w:i w:val="0"/>
          <w:iCs w:val="0"/>
          <w:color w:val="000000"/>
          <w:sz w:val="20"/>
          <w:szCs w:val="20"/>
        </w:rPr>
        <w:t>From a solution standpoint, this document treats the 20 actual libraries and 18 companion dependencies as one integrated set. The batch split affects delivery sequence only (Section 10); the per-library detail in Sections 4–6 is presented as one unified solution.</w:t>
      </w:r>
    </w:p>
    <w:p w14:paraId="30469EDA">
      <w:pPr>
        <w:pStyle w:val="3"/>
        <w:spacing w:before="180" w:after="90"/>
      </w:pPr>
      <w:r>
        <w:rPr>
          <w:rFonts w:ascii="Calibri" w:hAnsi="Calibri" w:eastAsia="Calibri" w:cs="Calibri"/>
          <w:b/>
          <w:bCs/>
          <w:color w:val="1F3864"/>
          <w:sz w:val="22"/>
          <w:szCs w:val="22"/>
        </w:rPr>
        <w:t>2.4  Applicability to Bank and Customer EAR</w:t>
      </w:r>
    </w:p>
    <w:p w14:paraId="1AB6A4D1">
      <w:pPr>
        <w:spacing w:after="120" w:line="264" w:lineRule="auto"/>
        <w:jc w:val="both"/>
      </w:pPr>
      <w:r>
        <w:rPr>
          <w:rFonts w:ascii="Calibri" w:hAnsi="Calibri" w:eastAsia="Calibri" w:cs="Calibri"/>
          <w:b w:val="0"/>
          <w:bCs w:val="0"/>
          <w:i w:val="0"/>
          <w:iCs w:val="0"/>
          <w:color w:val="000000"/>
          <w:sz w:val="20"/>
          <w:szCs w:val="20"/>
        </w:rPr>
        <w:t>The GEB Portal is deployed as two EAR variants — the bank-facing Portal EAR (UOB internal users) and the customer-facing Portal EAR (external customers). Both share the same open-source library baseline flagged by the Veracode scan, and the solution here applies to both. The Hotfix and removal notes in Section 10.3 are prepared to be deployable to both EARs. Where a library exists in only one variant, this is called out in the accompanying SG release build sheet.</w:t>
      </w:r>
    </w:p>
    <w:p w14:paraId="1DFB72D4">
      <w:pPr>
        <w:pStyle w:val="3"/>
        <w:spacing w:before="180" w:after="90"/>
      </w:pPr>
      <w:r>
        <w:rPr>
          <w:rFonts w:ascii="Calibri" w:hAnsi="Calibri" w:eastAsia="Calibri" w:cs="Calibri"/>
          <w:b/>
          <w:bCs/>
          <w:color w:val="1F3864"/>
          <w:sz w:val="22"/>
          <w:szCs w:val="22"/>
        </w:rPr>
        <w:t>2.5  Out of Scope</w:t>
      </w:r>
    </w:p>
    <w:p w14:paraId="034E3434">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springfox-swagger-ui 2.6.1 — decommission completed via the May 2026 release cycle. Not part of this release.</w:t>
      </w:r>
    </w:p>
    <w:p w14:paraId="7C27C3A0">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Batik server-side modules maintained by the UOB technical team — batik-svgrasterizer and batik-svgbrowser — handled by the bank. Referenced in Section 7.</w:t>
      </w:r>
    </w:p>
    <w:p w14:paraId="617C69D8">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Portal items where a fully CVE-free version requires a JDK or JBoss uplift (currently Java 8 / JBoss EAP 7.3) — captured as residual risk in Section 8.</w:t>
      </w:r>
    </w:p>
    <w:p w14:paraId="5820046D">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Other GEB markets (CN, TH, MY, HK, ID, OV) — governed by their own baselines.</w:t>
      </w:r>
    </w:p>
    <w:p w14:paraId="3B9B59F3">
      <w:pPr>
        <w:pageBreakBefore/>
      </w:pPr>
    </w:p>
    <w:p w14:paraId="7870E1EE">
      <w:pPr>
        <w:pStyle w:val="2"/>
        <w:spacing w:before="260" w:after="120"/>
      </w:pPr>
      <w:r>
        <w:rPr>
          <w:rFonts w:ascii="Calibri" w:hAnsi="Calibri" w:eastAsia="Calibri" w:cs="Calibri"/>
          <w:b/>
          <w:bCs/>
          <w:color w:val="1F3864"/>
          <w:sz w:val="26"/>
          <w:szCs w:val="26"/>
        </w:rPr>
        <w:t>3.  Solution Approach</w:t>
      </w:r>
    </w:p>
    <w:p w14:paraId="393FC260">
      <w:pPr>
        <w:pStyle w:val="3"/>
        <w:spacing w:before="180" w:after="90"/>
      </w:pPr>
      <w:r>
        <w:rPr>
          <w:rFonts w:ascii="Calibri" w:hAnsi="Calibri" w:eastAsia="Calibri" w:cs="Calibri"/>
          <w:b/>
          <w:bCs/>
          <w:color w:val="1F3864"/>
          <w:sz w:val="22"/>
          <w:szCs w:val="22"/>
        </w:rPr>
        <w:t>3.1  Analysis Method</w:t>
      </w:r>
    </w:p>
    <w:p w14:paraId="3C1F3D96">
      <w:pPr>
        <w:spacing w:after="120" w:line="264" w:lineRule="auto"/>
        <w:jc w:val="both"/>
      </w:pPr>
      <w:r>
        <w:rPr>
          <w:rFonts w:ascii="Calibri" w:hAnsi="Calibri" w:eastAsia="Calibri" w:cs="Calibri"/>
          <w:b w:val="0"/>
          <w:bCs w:val="0"/>
          <w:i w:val="0"/>
          <w:iCs w:val="0"/>
          <w:color w:val="000000"/>
          <w:sz w:val="20"/>
          <w:szCs w:val="20"/>
        </w:rPr>
        <w:t>For every library in scope, four checks were performed before locking a target version:</w:t>
      </w:r>
    </w:p>
    <w:p w14:paraId="33A4B112">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Source code review of the GEB Portal codebase to establish where and how the library is used.</w:t>
      </w:r>
    </w:p>
    <w:p w14:paraId="26F52CEF">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Maven Central verification for available Java 8 / JBoss 7.3 compatible versions and the dependency graph they introduce.</w:t>
      </w:r>
    </w:p>
    <w:p w14:paraId="53CB43F6">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Public CVE database cross-check (NVD, Snyk, vendor advisories) to confirm the target version is itself free of open High or Critical items.</w:t>
      </w:r>
    </w:p>
    <w:p w14:paraId="2730BC60">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Cross-validation against the bank-provided input, particularly for the exploitability position on residual items.</w:t>
      </w:r>
    </w:p>
    <w:p w14:paraId="4DC02BF5">
      <w:pPr>
        <w:pStyle w:val="3"/>
        <w:spacing w:before="180" w:after="90"/>
      </w:pPr>
      <w:r>
        <w:rPr>
          <w:rFonts w:ascii="Calibri" w:hAnsi="Calibri" w:eastAsia="Calibri" w:cs="Calibri"/>
          <w:b/>
          <w:bCs/>
          <w:color w:val="1F3864"/>
          <w:sz w:val="22"/>
          <w:szCs w:val="22"/>
        </w:rPr>
        <w:t>3.2  Reference Market Retrofit Strategy</w:t>
      </w:r>
    </w:p>
    <w:p w14:paraId="2E404649">
      <w:pPr>
        <w:spacing w:after="120" w:line="264" w:lineRule="auto"/>
        <w:jc w:val="both"/>
      </w:pPr>
      <w:r>
        <w:rPr>
          <w:rFonts w:ascii="Calibri" w:hAnsi="Calibri" w:eastAsia="Calibri" w:cs="Calibri"/>
          <w:b w:val="0"/>
          <w:bCs w:val="0"/>
          <w:i w:val="0"/>
          <w:iCs w:val="0"/>
          <w:color w:val="000000"/>
          <w:sz w:val="20"/>
          <w:szCs w:val="20"/>
        </w:rPr>
        <w:t>Where a reference market (CN, TH, HK, VN, ID) already runs a version that closes the flagged CVE, the solution retrofits that version into SG rather than targeting a newer one. This minimises change and aligns SG with the other markets, reducing regression risk. It applies to the nine libraries in Section 4.2, delivered as drop-in replacements.</w:t>
      </w:r>
    </w:p>
    <w:p w14:paraId="4A903F4A">
      <w:pPr>
        <w:spacing w:after="120" w:line="264" w:lineRule="auto"/>
        <w:jc w:val="both"/>
      </w:pPr>
      <w:r>
        <w:rPr>
          <w:rFonts w:ascii="Calibri" w:hAnsi="Calibri" w:eastAsia="Calibri" w:cs="Calibri"/>
          <w:b w:val="0"/>
          <w:bCs w:val="0"/>
          <w:i w:val="0"/>
          <w:iCs w:val="0"/>
          <w:color w:val="000000"/>
          <w:sz w:val="20"/>
          <w:szCs w:val="20"/>
        </w:rPr>
        <w:t>Where the reference market version still carries a residual CVE, the target is raised to the highest Java 8 compatible open-source version that closes the flagged item. This applies to the Spring family (target 5.3.34, above the reference 5.3.27) and to a small set of libraries where an incremental step beyond the reference version closes an additional CVE.</w:t>
      </w:r>
    </w:p>
    <w:p w14:paraId="19C262DB">
      <w:pPr>
        <w:pageBreakBefore/>
      </w:pPr>
    </w:p>
    <w:p w14:paraId="7BF0FDB6">
      <w:pPr>
        <w:pStyle w:val="2"/>
        <w:spacing w:before="260" w:after="120"/>
      </w:pPr>
      <w:r>
        <w:rPr>
          <w:rFonts w:ascii="Calibri" w:hAnsi="Calibri" w:eastAsia="Calibri" w:cs="Calibri"/>
          <w:b/>
          <w:bCs/>
          <w:color w:val="1F3864"/>
          <w:sz w:val="26"/>
          <w:szCs w:val="26"/>
        </w:rPr>
        <w:t>4.  Per-Library Solution — Actual Libraries</w:t>
      </w:r>
    </w:p>
    <w:p w14:paraId="79984D0F">
      <w:pPr>
        <w:spacing w:after="120" w:line="264" w:lineRule="auto"/>
        <w:jc w:val="both"/>
      </w:pPr>
      <w:r>
        <w:rPr>
          <w:rFonts w:ascii="Calibri" w:hAnsi="Calibri" w:eastAsia="Calibri" w:cs="Calibri"/>
          <w:b w:val="0"/>
          <w:bCs w:val="0"/>
          <w:i w:val="0"/>
          <w:iCs w:val="0"/>
          <w:color w:val="000000"/>
          <w:sz w:val="20"/>
          <w:szCs w:val="20"/>
        </w:rPr>
        <w:t>This section covers the actual libraries in scope. The Spring family upgrade is covered separately in Section 5 given the number of associated dependency libraries.</w:t>
      </w:r>
    </w:p>
    <w:p w14:paraId="290DC544">
      <w:pPr>
        <w:pStyle w:val="3"/>
        <w:spacing w:before="180" w:after="90"/>
      </w:pPr>
      <w:r>
        <w:rPr>
          <w:rFonts w:ascii="Calibri" w:hAnsi="Calibri" w:eastAsia="Calibri" w:cs="Calibri"/>
          <w:b/>
          <w:bCs/>
          <w:color w:val="1F3864"/>
          <w:sz w:val="22"/>
          <w:szCs w:val="22"/>
        </w:rPr>
        <w:t>4.1  Decommission — 2 items</w:t>
      </w:r>
    </w:p>
    <w:p w14:paraId="024EEB6E">
      <w:pPr>
        <w:spacing w:after="120" w:line="264" w:lineRule="auto"/>
        <w:jc w:val="both"/>
      </w:pPr>
      <w:r>
        <w:rPr>
          <w:rFonts w:ascii="Calibri" w:hAnsi="Calibri" w:eastAsia="Calibri" w:cs="Calibri"/>
          <w:b w:val="0"/>
          <w:bCs w:val="0"/>
          <w:i w:val="0"/>
          <w:iCs w:val="0"/>
          <w:color w:val="000000"/>
          <w:sz w:val="20"/>
          <w:szCs w:val="20"/>
        </w:rPr>
        <w:t>The following libraries are removed from the SG Portal EAR. Removal is preceded in each case by explicit verification that the library is not required at runtime.</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1200"/>
        <w:gridCol w:w="5420"/>
      </w:tblGrid>
      <w:tr w14:paraId="6186B8C2">
        <w:trPr>
          <w:tblHeader/>
        </w:trPr>
        <w:tc>
          <w:tcPr>
            <w:tcW w:w="2400" w:type="dxa"/>
            <w:shd w:val="clear" w:color="auto" w:fill="1F3864"/>
            <w:tcMar>
              <w:top w:w="40" w:type="dxa"/>
              <w:left w:w="90" w:type="dxa"/>
              <w:bottom w:w="40" w:type="dxa"/>
              <w:right w:w="90" w:type="dxa"/>
            </w:tcMar>
          </w:tcPr>
          <w:p w14:paraId="296B8718">
            <w:pPr>
              <w:spacing w:before="20" w:after="20" w:line="252" w:lineRule="auto"/>
              <w:jc w:val="left"/>
            </w:pPr>
            <w:r>
              <w:rPr>
                <w:rFonts w:ascii="Calibri" w:hAnsi="Calibri" w:eastAsia="Calibri" w:cs="Calibri"/>
                <w:b/>
                <w:bCs/>
                <w:color w:val="FFFFFF"/>
                <w:sz w:val="18"/>
                <w:szCs w:val="18"/>
              </w:rPr>
              <w:t>Library</w:t>
            </w:r>
          </w:p>
        </w:tc>
        <w:tc>
          <w:tcPr>
            <w:tcW w:w="1200" w:type="dxa"/>
            <w:shd w:val="clear" w:color="auto" w:fill="1F3864"/>
            <w:tcMar>
              <w:top w:w="40" w:type="dxa"/>
              <w:left w:w="90" w:type="dxa"/>
              <w:bottom w:w="40" w:type="dxa"/>
              <w:right w:w="90" w:type="dxa"/>
            </w:tcMar>
          </w:tcPr>
          <w:p w14:paraId="39F4B44A">
            <w:pPr>
              <w:spacing w:before="20" w:after="20" w:line="252" w:lineRule="auto"/>
              <w:jc w:val="left"/>
            </w:pPr>
            <w:r>
              <w:rPr>
                <w:rFonts w:ascii="Calibri" w:hAnsi="Calibri" w:eastAsia="Calibri" w:cs="Calibri"/>
                <w:b/>
                <w:bCs/>
                <w:color w:val="FFFFFF"/>
                <w:sz w:val="18"/>
                <w:szCs w:val="18"/>
              </w:rPr>
              <w:t>Version</w:t>
            </w:r>
          </w:p>
        </w:tc>
        <w:tc>
          <w:tcPr>
            <w:tcW w:w="5420" w:type="dxa"/>
            <w:shd w:val="clear" w:color="auto" w:fill="1F3864"/>
            <w:tcMar>
              <w:top w:w="40" w:type="dxa"/>
              <w:left w:w="90" w:type="dxa"/>
              <w:bottom w:w="40" w:type="dxa"/>
              <w:right w:w="90" w:type="dxa"/>
            </w:tcMar>
          </w:tcPr>
          <w:p w14:paraId="5FAF8D52">
            <w:pPr>
              <w:spacing w:before="20" w:after="20" w:line="252" w:lineRule="auto"/>
              <w:jc w:val="left"/>
            </w:pPr>
            <w:r>
              <w:rPr>
                <w:rFonts w:ascii="Calibri" w:hAnsi="Calibri" w:eastAsia="Calibri" w:cs="Calibri"/>
                <w:b/>
                <w:bCs/>
                <w:color w:val="FFFFFF"/>
                <w:sz w:val="18"/>
                <w:szCs w:val="18"/>
              </w:rPr>
              <w:t>Rationale</w:t>
            </w:r>
          </w:p>
        </w:tc>
      </w:tr>
      <w:tr w14:paraId="0C38D56A">
        <w:tc>
          <w:tcPr>
            <w:tcW w:w="2400" w:type="dxa"/>
            <w:shd w:val="clear" w:color="auto" w:fill="FFFFFF"/>
            <w:tcMar>
              <w:top w:w="40" w:type="dxa"/>
              <w:left w:w="90" w:type="dxa"/>
              <w:bottom w:w="40" w:type="dxa"/>
              <w:right w:w="90" w:type="dxa"/>
            </w:tcMar>
          </w:tcPr>
          <w:p w14:paraId="5D023B65">
            <w:pPr>
              <w:spacing w:before="20" w:after="20" w:line="252" w:lineRule="auto"/>
              <w:jc w:val="left"/>
            </w:pPr>
            <w:r>
              <w:rPr>
                <w:rFonts w:ascii="Calibri" w:hAnsi="Calibri" w:eastAsia="Calibri" w:cs="Calibri"/>
                <w:b/>
                <w:bCs/>
                <w:color w:val="000000"/>
                <w:sz w:val="18"/>
                <w:szCs w:val="18"/>
              </w:rPr>
              <w:t>activemq-core</w:t>
            </w:r>
          </w:p>
        </w:tc>
        <w:tc>
          <w:tcPr>
            <w:tcW w:w="1200" w:type="dxa"/>
            <w:shd w:val="clear" w:color="auto" w:fill="FFFFFF"/>
            <w:tcMar>
              <w:top w:w="40" w:type="dxa"/>
              <w:left w:w="90" w:type="dxa"/>
              <w:bottom w:w="40" w:type="dxa"/>
              <w:right w:w="90" w:type="dxa"/>
            </w:tcMar>
          </w:tcPr>
          <w:p w14:paraId="19BB9463">
            <w:pPr>
              <w:spacing w:before="20" w:after="20" w:line="252" w:lineRule="auto"/>
              <w:jc w:val="left"/>
            </w:pPr>
            <w:r>
              <w:rPr>
                <w:rFonts w:ascii="Calibri" w:hAnsi="Calibri" w:eastAsia="Calibri" w:cs="Calibri"/>
                <w:b w:val="0"/>
                <w:bCs w:val="0"/>
                <w:color w:val="000000"/>
                <w:sz w:val="18"/>
                <w:szCs w:val="18"/>
              </w:rPr>
              <w:t>5.4.1</w:t>
            </w:r>
          </w:p>
        </w:tc>
        <w:tc>
          <w:tcPr>
            <w:tcW w:w="5420" w:type="dxa"/>
            <w:shd w:val="clear" w:color="auto" w:fill="FFFFFF"/>
            <w:tcMar>
              <w:top w:w="40" w:type="dxa"/>
              <w:left w:w="90" w:type="dxa"/>
              <w:bottom w:w="40" w:type="dxa"/>
              <w:right w:w="90" w:type="dxa"/>
            </w:tcMar>
          </w:tcPr>
          <w:p w14:paraId="03B5E594">
            <w:pPr>
              <w:spacing w:before="20" w:after="20" w:line="252" w:lineRule="auto"/>
              <w:jc w:val="left"/>
            </w:pPr>
            <w:r>
              <w:rPr>
                <w:rFonts w:ascii="Calibri" w:hAnsi="Calibri" w:eastAsia="Calibri" w:cs="Calibri"/>
                <w:b w:val="0"/>
                <w:bCs w:val="0"/>
                <w:color w:val="000000"/>
                <w:sz w:val="18"/>
                <w:szCs w:val="18"/>
              </w:rPr>
              <w:t>Source code and portal.properties confirm the library is not invoked from the SG Portal execution path. Removed from the EAR after bank confirmation on the server-level configuration.</w:t>
            </w:r>
          </w:p>
        </w:tc>
      </w:tr>
      <w:tr w14:paraId="128F2534">
        <w:tc>
          <w:tcPr>
            <w:tcW w:w="2400" w:type="dxa"/>
            <w:shd w:val="clear" w:color="auto" w:fill="EEF1F7"/>
            <w:tcMar>
              <w:top w:w="40" w:type="dxa"/>
              <w:left w:w="90" w:type="dxa"/>
              <w:bottom w:w="40" w:type="dxa"/>
              <w:right w:w="90" w:type="dxa"/>
            </w:tcMar>
          </w:tcPr>
          <w:p w14:paraId="447785AD">
            <w:pPr>
              <w:spacing w:before="20" w:after="20" w:line="252" w:lineRule="auto"/>
              <w:jc w:val="left"/>
            </w:pPr>
            <w:r>
              <w:rPr>
                <w:rFonts w:ascii="Calibri" w:hAnsi="Calibri" w:eastAsia="Calibri" w:cs="Calibri"/>
                <w:b/>
                <w:bCs/>
                <w:color w:val="000000"/>
                <w:sz w:val="18"/>
                <w:szCs w:val="18"/>
              </w:rPr>
              <w:t>activemq-jaas</w:t>
            </w:r>
          </w:p>
        </w:tc>
        <w:tc>
          <w:tcPr>
            <w:tcW w:w="1200" w:type="dxa"/>
            <w:shd w:val="clear" w:color="auto" w:fill="EEF1F7"/>
            <w:tcMar>
              <w:top w:w="40" w:type="dxa"/>
              <w:left w:w="90" w:type="dxa"/>
              <w:bottom w:w="40" w:type="dxa"/>
              <w:right w:w="90" w:type="dxa"/>
            </w:tcMar>
          </w:tcPr>
          <w:p w14:paraId="3356C19C">
            <w:pPr>
              <w:spacing w:before="20" w:after="20" w:line="252" w:lineRule="auto"/>
              <w:jc w:val="left"/>
            </w:pPr>
            <w:r>
              <w:rPr>
                <w:rFonts w:ascii="Calibri" w:hAnsi="Calibri" w:eastAsia="Calibri" w:cs="Calibri"/>
                <w:b w:val="0"/>
                <w:bCs w:val="0"/>
                <w:color w:val="000000"/>
                <w:sz w:val="18"/>
                <w:szCs w:val="18"/>
              </w:rPr>
              <w:t>5.4.3</w:t>
            </w:r>
          </w:p>
        </w:tc>
        <w:tc>
          <w:tcPr>
            <w:tcW w:w="5420" w:type="dxa"/>
            <w:shd w:val="clear" w:color="auto" w:fill="EEF1F7"/>
            <w:tcMar>
              <w:top w:w="40" w:type="dxa"/>
              <w:left w:w="90" w:type="dxa"/>
              <w:bottom w:w="40" w:type="dxa"/>
              <w:right w:w="90" w:type="dxa"/>
            </w:tcMar>
          </w:tcPr>
          <w:p w14:paraId="6F32A6EC">
            <w:pPr>
              <w:spacing w:before="20" w:after="20" w:line="252" w:lineRule="auto"/>
              <w:jc w:val="left"/>
            </w:pPr>
            <w:r>
              <w:rPr>
                <w:rFonts w:ascii="Calibri" w:hAnsi="Calibri" w:eastAsia="Calibri" w:cs="Calibri"/>
                <w:b w:val="0"/>
                <w:bCs w:val="0"/>
                <w:color w:val="000000"/>
                <w:sz w:val="18"/>
                <w:szCs w:val="18"/>
              </w:rPr>
              <w:t>Not present in the EAR after verification by the Wipro dev team. Formal closure after bank confirmation.</w:t>
            </w:r>
          </w:p>
        </w:tc>
      </w:tr>
    </w:tbl>
    <w:p w14:paraId="39C85C66">
      <w:pPr>
        <w:spacing w:after="120"/>
      </w:pPr>
    </w:p>
    <w:p w14:paraId="0A42D60B">
      <w:pPr>
        <w:pStyle w:val="4"/>
        <w:spacing w:before="140" w:after="80"/>
      </w:pPr>
      <w:r>
        <w:rPr>
          <w:rFonts w:ascii="Calibri" w:hAnsi="Calibri" w:eastAsia="Calibri" w:cs="Calibri"/>
          <w:b/>
          <w:bCs/>
          <w:color w:val="595959"/>
          <w:sz w:val="20"/>
          <w:szCs w:val="20"/>
        </w:rPr>
        <w:t>4.1.1  Assumptions Underlying the Decommission</w:t>
      </w:r>
    </w:p>
    <w:p w14:paraId="4B9624BC">
      <w:pPr>
        <w:spacing w:after="120" w:line="264" w:lineRule="auto"/>
        <w:jc w:val="both"/>
      </w:pPr>
      <w:r>
        <w:rPr>
          <w:rFonts w:ascii="Calibri" w:hAnsi="Calibri" w:eastAsia="Calibri" w:cs="Calibri"/>
          <w:b w:val="0"/>
          <w:bCs w:val="0"/>
          <w:i w:val="0"/>
          <w:iCs w:val="0"/>
          <w:color w:val="000000"/>
          <w:sz w:val="20"/>
          <w:szCs w:val="20"/>
        </w:rPr>
        <w:t>Removing a library from a live application EAR is a material change and is taken forward under a documented set of assumptions. Each is verified by Wipro through source and configuration review; where an assumption crosses into bank-managed infrastructure, bank confirmation is sought before removal is applied.</w:t>
      </w:r>
    </w:p>
    <w:p w14:paraId="4751953B">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The library is not referenced from any Portal application code path. Verified through source code review.</w:t>
      </w:r>
    </w:p>
    <w:p w14:paraId="00861233">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The library is not referenced from any Portal runtime configuration — property files, XML configuration, JNDI bindings or Spring context definitions. Verified through configuration review.</w:t>
      </w:r>
    </w:p>
    <w:p w14:paraId="283DBF1A">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 xml:space="preserve">The library is not required by any server-level component outside the Portal EAR that could pull it in transitively at runtime. </w:t>
      </w:r>
      <w:r>
        <w:rPr>
          <w:rFonts w:ascii="Calibri" w:hAnsi="Calibri" w:eastAsia="Calibri" w:cs="Calibri"/>
          <w:b/>
          <w:bCs/>
          <w:i w:val="0"/>
          <w:iCs w:val="0"/>
          <w:color w:val="000000"/>
          <w:sz w:val="20"/>
          <w:szCs w:val="20"/>
        </w:rPr>
        <w:t>Bank to confirm on the JBoss configuration.</w:t>
      </w:r>
    </w:p>
    <w:p w14:paraId="67685C84">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 xml:space="preserve">No external system integration depends on the library being present in the Portal classpath. </w:t>
      </w:r>
      <w:r>
        <w:rPr>
          <w:rFonts w:ascii="Calibri" w:hAnsi="Calibri" w:eastAsia="Calibri" w:cs="Calibri"/>
          <w:b/>
          <w:bCs/>
          <w:i w:val="0"/>
          <w:iCs w:val="0"/>
          <w:color w:val="000000"/>
          <w:sz w:val="20"/>
          <w:szCs w:val="20"/>
        </w:rPr>
        <w:t>Bank to confirm against the integration landscape.</w:t>
      </w:r>
    </w:p>
    <w:p w14:paraId="262E21A9">
      <w:pPr>
        <w:spacing w:after="120" w:line="264" w:lineRule="auto"/>
        <w:jc w:val="both"/>
      </w:pPr>
      <w:r>
        <w:rPr>
          <w:rFonts w:ascii="Calibri" w:hAnsi="Calibri" w:eastAsia="Calibri" w:cs="Calibri"/>
          <w:b w:val="0"/>
          <w:bCs w:val="0"/>
          <w:i w:val="0"/>
          <w:iCs w:val="0"/>
          <w:color w:val="000000"/>
          <w:sz w:val="20"/>
          <w:szCs w:val="20"/>
        </w:rPr>
        <w:t>If any assumption is invalidated during SIT, the decommission is reverted for the affected component and the item is re-assessed for an alternative remediation path.</w:t>
      </w:r>
    </w:p>
    <w:p w14:paraId="6EF7D531">
      <w:pPr>
        <w:pStyle w:val="3"/>
        <w:spacing w:before="180" w:after="90"/>
      </w:pPr>
      <w:r>
        <w:rPr>
          <w:rFonts w:ascii="Calibri" w:hAnsi="Calibri" w:eastAsia="Calibri" w:cs="Calibri"/>
          <w:b/>
          <w:bCs/>
          <w:color w:val="1F3864"/>
          <w:sz w:val="22"/>
          <w:szCs w:val="22"/>
        </w:rPr>
        <w:t>4.2  Direct Retrofit From Reference Market — 9 items</w:t>
      </w:r>
    </w:p>
    <w:p w14:paraId="4A249CB0">
      <w:pPr>
        <w:spacing w:after="120" w:line="264" w:lineRule="auto"/>
        <w:jc w:val="both"/>
      </w:pPr>
      <w:r>
        <w:rPr>
          <w:rFonts w:ascii="Calibri" w:hAnsi="Calibri" w:eastAsia="Calibri" w:cs="Calibri"/>
          <w:b w:val="0"/>
          <w:bCs w:val="0"/>
          <w:i w:val="0"/>
          <w:iCs w:val="0"/>
          <w:color w:val="000000"/>
          <w:sz w:val="20"/>
          <w:szCs w:val="20"/>
        </w:rPr>
        <w:t>The libraries below are upgraded to the version already running in reference markets. Each target is confirmed to close the flagged CVE without introducing new High or Critical items, and each is a drop-in replacement (no source code change). Companion dependencies are captured in Section 6.</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100"/>
        <w:gridCol w:w="1200"/>
        <w:gridCol w:w="1200"/>
        <w:gridCol w:w="4520"/>
      </w:tblGrid>
      <w:tr w14:paraId="0F3D4257">
        <w:trPr>
          <w:tblHeader/>
        </w:trPr>
        <w:tc>
          <w:tcPr>
            <w:tcW w:w="2100" w:type="dxa"/>
            <w:shd w:val="clear" w:color="auto" w:fill="1F3864"/>
            <w:tcMar>
              <w:top w:w="40" w:type="dxa"/>
              <w:left w:w="90" w:type="dxa"/>
              <w:bottom w:w="40" w:type="dxa"/>
              <w:right w:w="90" w:type="dxa"/>
            </w:tcMar>
          </w:tcPr>
          <w:p w14:paraId="3DB798B4">
            <w:pPr>
              <w:spacing w:before="20" w:after="20" w:line="252" w:lineRule="auto"/>
              <w:jc w:val="left"/>
            </w:pPr>
            <w:r>
              <w:rPr>
                <w:rFonts w:ascii="Calibri" w:hAnsi="Calibri" w:eastAsia="Calibri" w:cs="Calibri"/>
                <w:b/>
                <w:bCs/>
                <w:color w:val="FFFFFF"/>
                <w:sz w:val="18"/>
                <w:szCs w:val="18"/>
              </w:rPr>
              <w:t>Library</w:t>
            </w:r>
          </w:p>
        </w:tc>
        <w:tc>
          <w:tcPr>
            <w:tcW w:w="1200" w:type="dxa"/>
            <w:shd w:val="clear" w:color="auto" w:fill="1F3864"/>
            <w:tcMar>
              <w:top w:w="40" w:type="dxa"/>
              <w:left w:w="90" w:type="dxa"/>
              <w:bottom w:w="40" w:type="dxa"/>
              <w:right w:w="90" w:type="dxa"/>
            </w:tcMar>
          </w:tcPr>
          <w:p w14:paraId="64D8CCFC">
            <w:pPr>
              <w:spacing w:before="20" w:after="20" w:line="252" w:lineRule="auto"/>
              <w:jc w:val="left"/>
            </w:pPr>
            <w:r>
              <w:rPr>
                <w:rFonts w:ascii="Calibri" w:hAnsi="Calibri" w:eastAsia="Calibri" w:cs="Calibri"/>
                <w:b/>
                <w:bCs/>
                <w:color w:val="FFFFFF"/>
                <w:sz w:val="18"/>
                <w:szCs w:val="18"/>
              </w:rPr>
              <w:t>Current</w:t>
            </w:r>
          </w:p>
        </w:tc>
        <w:tc>
          <w:tcPr>
            <w:tcW w:w="1200" w:type="dxa"/>
            <w:shd w:val="clear" w:color="auto" w:fill="1F3864"/>
            <w:tcMar>
              <w:top w:w="40" w:type="dxa"/>
              <w:left w:w="90" w:type="dxa"/>
              <w:bottom w:w="40" w:type="dxa"/>
              <w:right w:w="90" w:type="dxa"/>
            </w:tcMar>
          </w:tcPr>
          <w:p w14:paraId="39901D94">
            <w:pPr>
              <w:spacing w:before="20" w:after="20" w:line="252" w:lineRule="auto"/>
              <w:jc w:val="left"/>
            </w:pPr>
            <w:r>
              <w:rPr>
                <w:rFonts w:ascii="Calibri" w:hAnsi="Calibri" w:eastAsia="Calibri" w:cs="Calibri"/>
                <w:b/>
                <w:bCs/>
                <w:color w:val="FFFFFF"/>
                <w:sz w:val="18"/>
                <w:szCs w:val="18"/>
              </w:rPr>
              <w:t>Target</w:t>
            </w:r>
          </w:p>
        </w:tc>
        <w:tc>
          <w:tcPr>
            <w:tcW w:w="4520" w:type="dxa"/>
            <w:shd w:val="clear" w:color="auto" w:fill="1F3864"/>
            <w:tcMar>
              <w:top w:w="40" w:type="dxa"/>
              <w:left w:w="90" w:type="dxa"/>
              <w:bottom w:w="40" w:type="dxa"/>
              <w:right w:w="90" w:type="dxa"/>
            </w:tcMar>
          </w:tcPr>
          <w:p w14:paraId="0AEBD0D9">
            <w:pPr>
              <w:spacing w:before="20" w:after="20" w:line="252" w:lineRule="auto"/>
              <w:jc w:val="left"/>
            </w:pPr>
            <w:r>
              <w:rPr>
                <w:rFonts w:ascii="Calibri" w:hAnsi="Calibri" w:eastAsia="Calibri" w:cs="Calibri"/>
                <w:b/>
                <w:bCs/>
                <w:color w:val="FFFFFF"/>
                <w:sz w:val="18"/>
                <w:szCs w:val="18"/>
              </w:rPr>
              <w:t>Notes</w:t>
            </w:r>
          </w:p>
        </w:tc>
      </w:tr>
      <w:tr w14:paraId="2833A57C">
        <w:tc>
          <w:tcPr>
            <w:tcW w:w="2100" w:type="dxa"/>
            <w:shd w:val="clear" w:color="auto" w:fill="FFFFFF"/>
            <w:tcMar>
              <w:top w:w="40" w:type="dxa"/>
              <w:left w:w="90" w:type="dxa"/>
              <w:bottom w:w="40" w:type="dxa"/>
              <w:right w:w="90" w:type="dxa"/>
            </w:tcMar>
          </w:tcPr>
          <w:p w14:paraId="1BB203C2">
            <w:pPr>
              <w:spacing w:before="20" w:after="20" w:line="252" w:lineRule="auto"/>
              <w:jc w:val="left"/>
            </w:pPr>
            <w:r>
              <w:rPr>
                <w:rFonts w:ascii="Calibri" w:hAnsi="Calibri" w:eastAsia="Calibri" w:cs="Calibri"/>
                <w:b/>
                <w:bCs/>
                <w:color w:val="000000"/>
                <w:sz w:val="18"/>
                <w:szCs w:val="18"/>
              </w:rPr>
              <w:t>xmlbeans</w:t>
            </w:r>
          </w:p>
        </w:tc>
        <w:tc>
          <w:tcPr>
            <w:tcW w:w="1200" w:type="dxa"/>
            <w:shd w:val="clear" w:color="auto" w:fill="FFFFFF"/>
            <w:tcMar>
              <w:top w:w="40" w:type="dxa"/>
              <w:left w:w="90" w:type="dxa"/>
              <w:bottom w:w="40" w:type="dxa"/>
              <w:right w:w="90" w:type="dxa"/>
            </w:tcMar>
          </w:tcPr>
          <w:p w14:paraId="4FA1FA80">
            <w:pPr>
              <w:spacing w:before="20" w:after="20" w:line="252" w:lineRule="auto"/>
              <w:jc w:val="left"/>
            </w:pPr>
            <w:r>
              <w:rPr>
                <w:rFonts w:ascii="Calibri" w:hAnsi="Calibri" w:eastAsia="Calibri" w:cs="Calibri"/>
                <w:b w:val="0"/>
                <w:bCs w:val="0"/>
                <w:color w:val="000000"/>
                <w:sz w:val="18"/>
                <w:szCs w:val="18"/>
              </w:rPr>
              <w:t>2.3.0</w:t>
            </w:r>
          </w:p>
        </w:tc>
        <w:tc>
          <w:tcPr>
            <w:tcW w:w="1200" w:type="dxa"/>
            <w:shd w:val="clear" w:color="auto" w:fill="FFFFFF"/>
            <w:tcMar>
              <w:top w:w="40" w:type="dxa"/>
              <w:left w:w="90" w:type="dxa"/>
              <w:bottom w:w="40" w:type="dxa"/>
              <w:right w:w="90" w:type="dxa"/>
            </w:tcMar>
          </w:tcPr>
          <w:p w14:paraId="66F261D1">
            <w:pPr>
              <w:spacing w:before="20" w:after="20" w:line="252" w:lineRule="auto"/>
              <w:jc w:val="left"/>
            </w:pPr>
            <w:r>
              <w:rPr>
                <w:rFonts w:ascii="Calibri" w:hAnsi="Calibri" w:eastAsia="Calibri" w:cs="Calibri"/>
                <w:b w:val="0"/>
                <w:bCs w:val="0"/>
                <w:color w:val="000000"/>
                <w:sz w:val="18"/>
                <w:szCs w:val="18"/>
              </w:rPr>
              <w:t>3.0.0</w:t>
            </w:r>
          </w:p>
        </w:tc>
        <w:tc>
          <w:tcPr>
            <w:tcW w:w="4520" w:type="dxa"/>
            <w:shd w:val="clear" w:color="auto" w:fill="FFFFFF"/>
            <w:tcMar>
              <w:top w:w="40" w:type="dxa"/>
              <w:left w:w="90" w:type="dxa"/>
              <w:bottom w:w="40" w:type="dxa"/>
              <w:right w:w="90" w:type="dxa"/>
            </w:tcMar>
          </w:tcPr>
          <w:p w14:paraId="41A6DB46">
            <w:pPr>
              <w:spacing w:before="20" w:after="20" w:line="252" w:lineRule="auto"/>
              <w:jc w:val="left"/>
            </w:pPr>
            <w:r>
              <w:rPr>
                <w:rFonts w:ascii="Calibri" w:hAnsi="Calibri" w:eastAsia="Calibri" w:cs="Calibri"/>
                <w:b w:val="0"/>
                <w:bCs w:val="0"/>
                <w:color w:val="000000"/>
                <w:sz w:val="18"/>
                <w:szCs w:val="18"/>
              </w:rPr>
              <w:t>Closes CVE-2021-23926 (XXE). No companion dependency.</w:t>
            </w:r>
          </w:p>
        </w:tc>
      </w:tr>
      <w:tr w14:paraId="5B4B96AD">
        <w:tc>
          <w:tcPr>
            <w:tcW w:w="2100" w:type="dxa"/>
            <w:shd w:val="clear" w:color="auto" w:fill="EEF1F7"/>
            <w:tcMar>
              <w:top w:w="40" w:type="dxa"/>
              <w:left w:w="90" w:type="dxa"/>
              <w:bottom w:w="40" w:type="dxa"/>
              <w:right w:w="90" w:type="dxa"/>
            </w:tcMar>
          </w:tcPr>
          <w:p w14:paraId="7C6BF06A">
            <w:pPr>
              <w:spacing w:before="20" w:after="20" w:line="252" w:lineRule="auto"/>
              <w:jc w:val="left"/>
            </w:pPr>
            <w:r>
              <w:rPr>
                <w:rFonts w:ascii="Calibri" w:hAnsi="Calibri" w:eastAsia="Calibri" w:cs="Calibri"/>
                <w:b/>
                <w:bCs/>
                <w:color w:val="000000"/>
                <w:sz w:val="18"/>
                <w:szCs w:val="18"/>
              </w:rPr>
              <w:t>jackson-databind</w:t>
            </w:r>
          </w:p>
        </w:tc>
        <w:tc>
          <w:tcPr>
            <w:tcW w:w="1200" w:type="dxa"/>
            <w:shd w:val="clear" w:color="auto" w:fill="EEF1F7"/>
            <w:tcMar>
              <w:top w:w="40" w:type="dxa"/>
              <w:left w:w="90" w:type="dxa"/>
              <w:bottom w:w="40" w:type="dxa"/>
              <w:right w:w="90" w:type="dxa"/>
            </w:tcMar>
          </w:tcPr>
          <w:p w14:paraId="09BAC548">
            <w:pPr>
              <w:spacing w:before="20" w:after="20" w:line="252" w:lineRule="auto"/>
              <w:jc w:val="left"/>
            </w:pPr>
            <w:r>
              <w:rPr>
                <w:rFonts w:ascii="Calibri" w:hAnsi="Calibri" w:eastAsia="Calibri" w:cs="Calibri"/>
                <w:b w:val="0"/>
                <w:bCs w:val="0"/>
                <w:color w:val="000000"/>
                <w:sz w:val="18"/>
                <w:szCs w:val="18"/>
              </w:rPr>
              <w:t>2.10.0</w:t>
            </w:r>
          </w:p>
        </w:tc>
        <w:tc>
          <w:tcPr>
            <w:tcW w:w="1200" w:type="dxa"/>
            <w:shd w:val="clear" w:color="auto" w:fill="EEF1F7"/>
            <w:tcMar>
              <w:top w:w="40" w:type="dxa"/>
              <w:left w:w="90" w:type="dxa"/>
              <w:bottom w:w="40" w:type="dxa"/>
              <w:right w:w="90" w:type="dxa"/>
            </w:tcMar>
          </w:tcPr>
          <w:p w14:paraId="18043200">
            <w:pPr>
              <w:spacing w:before="20" w:after="20" w:line="252" w:lineRule="auto"/>
              <w:jc w:val="left"/>
            </w:pPr>
            <w:r>
              <w:rPr>
                <w:rFonts w:ascii="Calibri" w:hAnsi="Calibri" w:eastAsia="Calibri" w:cs="Calibri"/>
                <w:b w:val="0"/>
                <w:bCs w:val="0"/>
                <w:color w:val="000000"/>
                <w:sz w:val="18"/>
                <w:szCs w:val="18"/>
              </w:rPr>
              <w:t>2.15.0</w:t>
            </w:r>
          </w:p>
        </w:tc>
        <w:tc>
          <w:tcPr>
            <w:tcW w:w="4520" w:type="dxa"/>
            <w:shd w:val="clear" w:color="auto" w:fill="EEF1F7"/>
            <w:tcMar>
              <w:top w:w="40" w:type="dxa"/>
              <w:left w:w="90" w:type="dxa"/>
              <w:bottom w:w="40" w:type="dxa"/>
              <w:right w:w="90" w:type="dxa"/>
            </w:tcMar>
          </w:tcPr>
          <w:p w14:paraId="610E3B5C">
            <w:pPr>
              <w:spacing w:before="20" w:after="20" w:line="252" w:lineRule="auto"/>
              <w:jc w:val="left"/>
            </w:pPr>
            <w:r>
              <w:rPr>
                <w:rFonts w:ascii="Calibri" w:hAnsi="Calibri" w:eastAsia="Calibri" w:cs="Calibri"/>
                <w:b w:val="0"/>
                <w:bCs w:val="0"/>
                <w:color w:val="000000"/>
                <w:sz w:val="18"/>
                <w:szCs w:val="18"/>
              </w:rPr>
              <w:t>Closes CVE-2019-16942, 16943 and related. Moves as a pair with jackson-core.</w:t>
            </w:r>
          </w:p>
        </w:tc>
      </w:tr>
      <w:tr w14:paraId="2A20A51A">
        <w:tc>
          <w:tcPr>
            <w:tcW w:w="2100" w:type="dxa"/>
            <w:shd w:val="clear" w:color="auto" w:fill="FFFFFF"/>
            <w:tcMar>
              <w:top w:w="40" w:type="dxa"/>
              <w:left w:w="90" w:type="dxa"/>
              <w:bottom w:w="40" w:type="dxa"/>
              <w:right w:w="90" w:type="dxa"/>
            </w:tcMar>
          </w:tcPr>
          <w:p w14:paraId="5CA94A12">
            <w:pPr>
              <w:spacing w:before="20" w:after="20" w:line="252" w:lineRule="auto"/>
              <w:jc w:val="left"/>
            </w:pPr>
            <w:r>
              <w:rPr>
                <w:rFonts w:ascii="Calibri" w:hAnsi="Calibri" w:eastAsia="Calibri" w:cs="Calibri"/>
                <w:b/>
                <w:bCs/>
                <w:color w:val="000000"/>
                <w:sz w:val="18"/>
                <w:szCs w:val="18"/>
              </w:rPr>
              <w:t>jackson-core</w:t>
            </w:r>
          </w:p>
        </w:tc>
        <w:tc>
          <w:tcPr>
            <w:tcW w:w="1200" w:type="dxa"/>
            <w:shd w:val="clear" w:color="auto" w:fill="FFFFFF"/>
            <w:tcMar>
              <w:top w:w="40" w:type="dxa"/>
              <w:left w:w="90" w:type="dxa"/>
              <w:bottom w:w="40" w:type="dxa"/>
              <w:right w:w="90" w:type="dxa"/>
            </w:tcMar>
          </w:tcPr>
          <w:p w14:paraId="7B0D21E2">
            <w:pPr>
              <w:spacing w:before="20" w:after="20" w:line="252" w:lineRule="auto"/>
              <w:jc w:val="left"/>
            </w:pPr>
            <w:r>
              <w:rPr>
                <w:rFonts w:ascii="Calibri" w:hAnsi="Calibri" w:eastAsia="Calibri" w:cs="Calibri"/>
                <w:b w:val="0"/>
                <w:bCs w:val="0"/>
                <w:color w:val="000000"/>
                <w:sz w:val="18"/>
                <w:szCs w:val="18"/>
              </w:rPr>
              <w:t>2.10.4</w:t>
            </w:r>
          </w:p>
        </w:tc>
        <w:tc>
          <w:tcPr>
            <w:tcW w:w="1200" w:type="dxa"/>
            <w:shd w:val="clear" w:color="auto" w:fill="FFFFFF"/>
            <w:tcMar>
              <w:top w:w="40" w:type="dxa"/>
              <w:left w:w="90" w:type="dxa"/>
              <w:bottom w:w="40" w:type="dxa"/>
              <w:right w:w="90" w:type="dxa"/>
            </w:tcMar>
          </w:tcPr>
          <w:p w14:paraId="070D3D38">
            <w:pPr>
              <w:spacing w:before="20" w:after="20" w:line="252" w:lineRule="auto"/>
              <w:jc w:val="left"/>
            </w:pPr>
            <w:r>
              <w:rPr>
                <w:rFonts w:ascii="Calibri" w:hAnsi="Calibri" w:eastAsia="Calibri" w:cs="Calibri"/>
                <w:b w:val="0"/>
                <w:bCs w:val="0"/>
                <w:color w:val="000000"/>
                <w:sz w:val="18"/>
                <w:szCs w:val="18"/>
              </w:rPr>
              <w:t>2.15.0</w:t>
            </w:r>
          </w:p>
        </w:tc>
        <w:tc>
          <w:tcPr>
            <w:tcW w:w="4520" w:type="dxa"/>
            <w:shd w:val="clear" w:color="auto" w:fill="FFFFFF"/>
            <w:tcMar>
              <w:top w:w="40" w:type="dxa"/>
              <w:left w:w="90" w:type="dxa"/>
              <w:bottom w:w="40" w:type="dxa"/>
              <w:right w:w="90" w:type="dxa"/>
            </w:tcMar>
          </w:tcPr>
          <w:p w14:paraId="0977F073">
            <w:pPr>
              <w:spacing w:before="20" w:after="20" w:line="252" w:lineRule="auto"/>
              <w:jc w:val="left"/>
            </w:pPr>
            <w:r>
              <w:rPr>
                <w:rFonts w:ascii="Calibri" w:hAnsi="Calibri" w:eastAsia="Calibri" w:cs="Calibri"/>
                <w:b w:val="0"/>
                <w:bCs w:val="0"/>
                <w:color w:val="000000"/>
                <w:sz w:val="18"/>
                <w:szCs w:val="18"/>
              </w:rPr>
              <w:t>Paired with jackson-databind. Closes CVE-2025-52999.</w:t>
            </w:r>
          </w:p>
        </w:tc>
      </w:tr>
      <w:tr w14:paraId="1AD36F88">
        <w:tc>
          <w:tcPr>
            <w:tcW w:w="2100" w:type="dxa"/>
            <w:shd w:val="clear" w:color="auto" w:fill="EEF1F7"/>
            <w:tcMar>
              <w:top w:w="40" w:type="dxa"/>
              <w:left w:w="90" w:type="dxa"/>
              <w:bottom w:w="40" w:type="dxa"/>
              <w:right w:w="90" w:type="dxa"/>
            </w:tcMar>
          </w:tcPr>
          <w:p w14:paraId="485375D4">
            <w:pPr>
              <w:spacing w:before="20" w:after="20" w:line="252" w:lineRule="auto"/>
              <w:jc w:val="left"/>
            </w:pPr>
            <w:r>
              <w:rPr>
                <w:rFonts w:ascii="Calibri" w:hAnsi="Calibri" w:eastAsia="Calibri" w:cs="Calibri"/>
                <w:b/>
                <w:bCs/>
                <w:color w:val="000000"/>
                <w:sz w:val="18"/>
                <w:szCs w:val="18"/>
              </w:rPr>
              <w:t>commons-beanutils</w:t>
            </w:r>
          </w:p>
        </w:tc>
        <w:tc>
          <w:tcPr>
            <w:tcW w:w="1200" w:type="dxa"/>
            <w:shd w:val="clear" w:color="auto" w:fill="EEF1F7"/>
            <w:tcMar>
              <w:top w:w="40" w:type="dxa"/>
              <w:left w:w="90" w:type="dxa"/>
              <w:bottom w:w="40" w:type="dxa"/>
              <w:right w:w="90" w:type="dxa"/>
            </w:tcMar>
          </w:tcPr>
          <w:p w14:paraId="7DC43B65">
            <w:pPr>
              <w:spacing w:before="20" w:after="20" w:line="252" w:lineRule="auto"/>
              <w:jc w:val="left"/>
            </w:pPr>
            <w:r>
              <w:rPr>
                <w:rFonts w:ascii="Calibri" w:hAnsi="Calibri" w:eastAsia="Calibri" w:cs="Calibri"/>
                <w:b w:val="0"/>
                <w:bCs w:val="0"/>
                <w:color w:val="000000"/>
                <w:sz w:val="18"/>
                <w:szCs w:val="18"/>
              </w:rPr>
              <w:t>1.8.0</w:t>
            </w:r>
          </w:p>
        </w:tc>
        <w:tc>
          <w:tcPr>
            <w:tcW w:w="1200" w:type="dxa"/>
            <w:shd w:val="clear" w:color="auto" w:fill="EEF1F7"/>
            <w:tcMar>
              <w:top w:w="40" w:type="dxa"/>
              <w:left w:w="90" w:type="dxa"/>
              <w:bottom w:w="40" w:type="dxa"/>
              <w:right w:w="90" w:type="dxa"/>
            </w:tcMar>
          </w:tcPr>
          <w:p w14:paraId="5C2F6783">
            <w:pPr>
              <w:spacing w:before="20" w:after="20" w:line="252" w:lineRule="auto"/>
              <w:jc w:val="left"/>
            </w:pPr>
            <w:r>
              <w:rPr>
                <w:rFonts w:ascii="Calibri" w:hAnsi="Calibri" w:eastAsia="Calibri" w:cs="Calibri"/>
                <w:b w:val="0"/>
                <w:bCs w:val="0"/>
                <w:color w:val="000000"/>
                <w:sz w:val="18"/>
                <w:szCs w:val="18"/>
              </w:rPr>
              <w:t>1.9.4</w:t>
            </w:r>
          </w:p>
        </w:tc>
        <w:tc>
          <w:tcPr>
            <w:tcW w:w="4520" w:type="dxa"/>
            <w:shd w:val="clear" w:color="auto" w:fill="EEF1F7"/>
            <w:tcMar>
              <w:top w:w="40" w:type="dxa"/>
              <w:left w:w="90" w:type="dxa"/>
              <w:bottom w:w="40" w:type="dxa"/>
              <w:right w:w="90" w:type="dxa"/>
            </w:tcMar>
          </w:tcPr>
          <w:p w14:paraId="63C93117">
            <w:pPr>
              <w:spacing w:before="20" w:after="20" w:line="252" w:lineRule="auto"/>
              <w:jc w:val="left"/>
            </w:pPr>
            <w:r>
              <w:rPr>
                <w:rFonts w:ascii="Calibri" w:hAnsi="Calibri" w:eastAsia="Calibri" w:cs="Calibri"/>
                <w:b w:val="0"/>
                <w:bCs w:val="0"/>
                <w:color w:val="000000"/>
                <w:sz w:val="18"/>
                <w:szCs w:val="18"/>
              </w:rPr>
              <w:t>Closes CVE-2014-0114 and CVE-2019-10086. Brings commons-logging 1.2 as a required companion — see Section 6.</w:t>
            </w:r>
          </w:p>
        </w:tc>
      </w:tr>
      <w:tr w14:paraId="023C4977">
        <w:tc>
          <w:tcPr>
            <w:tcW w:w="2100" w:type="dxa"/>
            <w:shd w:val="clear" w:color="auto" w:fill="FFFFFF"/>
            <w:tcMar>
              <w:top w:w="40" w:type="dxa"/>
              <w:left w:w="90" w:type="dxa"/>
              <w:bottom w:w="40" w:type="dxa"/>
              <w:right w:w="90" w:type="dxa"/>
            </w:tcMar>
          </w:tcPr>
          <w:p w14:paraId="300F0417">
            <w:pPr>
              <w:spacing w:before="20" w:after="20" w:line="252" w:lineRule="auto"/>
              <w:jc w:val="left"/>
            </w:pPr>
            <w:r>
              <w:rPr>
                <w:rFonts w:ascii="Calibri" w:hAnsi="Calibri" w:eastAsia="Calibri" w:cs="Calibri"/>
                <w:b/>
                <w:bCs/>
                <w:color w:val="000000"/>
                <w:sz w:val="18"/>
                <w:szCs w:val="18"/>
              </w:rPr>
              <w:t>gson</w:t>
            </w:r>
          </w:p>
        </w:tc>
        <w:tc>
          <w:tcPr>
            <w:tcW w:w="1200" w:type="dxa"/>
            <w:shd w:val="clear" w:color="auto" w:fill="FFFFFF"/>
            <w:tcMar>
              <w:top w:w="40" w:type="dxa"/>
              <w:left w:w="90" w:type="dxa"/>
              <w:bottom w:w="40" w:type="dxa"/>
              <w:right w:w="90" w:type="dxa"/>
            </w:tcMar>
          </w:tcPr>
          <w:p w14:paraId="64383B2F">
            <w:pPr>
              <w:spacing w:before="20" w:after="20" w:line="252" w:lineRule="auto"/>
              <w:jc w:val="left"/>
            </w:pPr>
            <w:r>
              <w:rPr>
                <w:rFonts w:ascii="Calibri" w:hAnsi="Calibri" w:eastAsia="Calibri" w:cs="Calibri"/>
                <w:b w:val="0"/>
                <w:bCs w:val="0"/>
                <w:color w:val="000000"/>
                <w:sz w:val="18"/>
                <w:szCs w:val="18"/>
              </w:rPr>
              <w:t>2.8.6</w:t>
            </w:r>
          </w:p>
        </w:tc>
        <w:tc>
          <w:tcPr>
            <w:tcW w:w="1200" w:type="dxa"/>
            <w:shd w:val="clear" w:color="auto" w:fill="FFFFFF"/>
            <w:tcMar>
              <w:top w:w="40" w:type="dxa"/>
              <w:left w:w="90" w:type="dxa"/>
              <w:bottom w:w="40" w:type="dxa"/>
              <w:right w:w="90" w:type="dxa"/>
            </w:tcMar>
          </w:tcPr>
          <w:p w14:paraId="191FBC34">
            <w:pPr>
              <w:spacing w:before="20" w:after="20" w:line="252" w:lineRule="auto"/>
              <w:jc w:val="left"/>
            </w:pPr>
            <w:r>
              <w:rPr>
                <w:rFonts w:ascii="Calibri" w:hAnsi="Calibri" w:eastAsia="Calibri" w:cs="Calibri"/>
                <w:b w:val="0"/>
                <w:bCs w:val="0"/>
                <w:color w:val="000000"/>
                <w:sz w:val="18"/>
                <w:szCs w:val="18"/>
              </w:rPr>
              <w:t>2.8.9</w:t>
            </w:r>
          </w:p>
        </w:tc>
        <w:tc>
          <w:tcPr>
            <w:tcW w:w="4520" w:type="dxa"/>
            <w:shd w:val="clear" w:color="auto" w:fill="FFFFFF"/>
            <w:tcMar>
              <w:top w:w="40" w:type="dxa"/>
              <w:left w:w="90" w:type="dxa"/>
              <w:bottom w:w="40" w:type="dxa"/>
              <w:right w:w="90" w:type="dxa"/>
            </w:tcMar>
          </w:tcPr>
          <w:p w14:paraId="2734E9A6">
            <w:pPr>
              <w:spacing w:before="20" w:after="20" w:line="252" w:lineRule="auto"/>
              <w:jc w:val="left"/>
            </w:pPr>
            <w:r>
              <w:rPr>
                <w:rFonts w:ascii="Calibri" w:hAnsi="Calibri" w:eastAsia="Calibri" w:cs="Calibri"/>
                <w:b w:val="0"/>
                <w:bCs w:val="0"/>
                <w:color w:val="000000"/>
                <w:sz w:val="18"/>
                <w:szCs w:val="18"/>
              </w:rPr>
              <w:t>Closes CVE-2022-25647.</w:t>
            </w:r>
          </w:p>
        </w:tc>
      </w:tr>
      <w:tr w14:paraId="174DF1DC">
        <w:tc>
          <w:tcPr>
            <w:tcW w:w="2100" w:type="dxa"/>
            <w:shd w:val="clear" w:color="auto" w:fill="EEF1F7"/>
            <w:tcMar>
              <w:top w:w="40" w:type="dxa"/>
              <w:left w:w="90" w:type="dxa"/>
              <w:bottom w:w="40" w:type="dxa"/>
              <w:right w:w="90" w:type="dxa"/>
            </w:tcMar>
          </w:tcPr>
          <w:p w14:paraId="008F5427">
            <w:pPr>
              <w:spacing w:before="20" w:after="20" w:line="252" w:lineRule="auto"/>
              <w:jc w:val="left"/>
            </w:pPr>
            <w:r>
              <w:rPr>
                <w:rFonts w:ascii="Calibri" w:hAnsi="Calibri" w:eastAsia="Calibri" w:cs="Calibri"/>
                <w:b/>
                <w:bCs/>
                <w:color w:val="000000"/>
                <w:sz w:val="18"/>
                <w:szCs w:val="18"/>
              </w:rPr>
              <w:t>xalan</w:t>
            </w:r>
          </w:p>
        </w:tc>
        <w:tc>
          <w:tcPr>
            <w:tcW w:w="1200" w:type="dxa"/>
            <w:shd w:val="clear" w:color="auto" w:fill="EEF1F7"/>
            <w:tcMar>
              <w:top w:w="40" w:type="dxa"/>
              <w:left w:w="90" w:type="dxa"/>
              <w:bottom w:w="40" w:type="dxa"/>
              <w:right w:w="90" w:type="dxa"/>
            </w:tcMar>
          </w:tcPr>
          <w:p w14:paraId="5213EF32">
            <w:pPr>
              <w:spacing w:before="20" w:after="20" w:line="252" w:lineRule="auto"/>
              <w:jc w:val="left"/>
            </w:pPr>
            <w:r>
              <w:rPr>
                <w:rFonts w:ascii="Calibri" w:hAnsi="Calibri" w:eastAsia="Calibri" w:cs="Calibri"/>
                <w:b w:val="0"/>
                <w:bCs w:val="0"/>
                <w:color w:val="000000"/>
                <w:sz w:val="18"/>
                <w:szCs w:val="18"/>
              </w:rPr>
              <w:t>2.7.2</w:t>
            </w:r>
          </w:p>
        </w:tc>
        <w:tc>
          <w:tcPr>
            <w:tcW w:w="1200" w:type="dxa"/>
            <w:shd w:val="clear" w:color="auto" w:fill="EEF1F7"/>
            <w:tcMar>
              <w:top w:w="40" w:type="dxa"/>
              <w:left w:w="90" w:type="dxa"/>
              <w:bottom w:w="40" w:type="dxa"/>
              <w:right w:w="90" w:type="dxa"/>
            </w:tcMar>
          </w:tcPr>
          <w:p w14:paraId="7589CF0D">
            <w:pPr>
              <w:spacing w:before="20" w:after="20" w:line="252" w:lineRule="auto"/>
              <w:jc w:val="left"/>
            </w:pPr>
            <w:r>
              <w:rPr>
                <w:rFonts w:ascii="Calibri" w:hAnsi="Calibri" w:eastAsia="Calibri" w:cs="Calibri"/>
                <w:b w:val="0"/>
                <w:bCs w:val="0"/>
                <w:color w:val="000000"/>
                <w:sz w:val="18"/>
                <w:szCs w:val="18"/>
              </w:rPr>
              <w:t>2.7.3</w:t>
            </w:r>
          </w:p>
        </w:tc>
        <w:tc>
          <w:tcPr>
            <w:tcW w:w="4520" w:type="dxa"/>
            <w:shd w:val="clear" w:color="auto" w:fill="EEF1F7"/>
            <w:tcMar>
              <w:top w:w="40" w:type="dxa"/>
              <w:left w:w="90" w:type="dxa"/>
              <w:bottom w:w="40" w:type="dxa"/>
              <w:right w:w="90" w:type="dxa"/>
            </w:tcMar>
          </w:tcPr>
          <w:p w14:paraId="19EE0E59">
            <w:pPr>
              <w:spacing w:before="20" w:after="20" w:line="252" w:lineRule="auto"/>
              <w:jc w:val="left"/>
            </w:pPr>
            <w:r>
              <w:rPr>
                <w:rFonts w:ascii="Calibri" w:hAnsi="Calibri" w:eastAsia="Calibri" w:cs="Calibri"/>
                <w:b w:val="0"/>
                <w:bCs w:val="0"/>
                <w:color w:val="000000"/>
                <w:sz w:val="18"/>
                <w:szCs w:val="18"/>
              </w:rPr>
              <w:t>Closes CVE-2022-34169.</w:t>
            </w:r>
          </w:p>
        </w:tc>
      </w:tr>
      <w:tr w14:paraId="2893E384">
        <w:tc>
          <w:tcPr>
            <w:tcW w:w="2100" w:type="dxa"/>
            <w:shd w:val="clear" w:color="auto" w:fill="FFFFFF"/>
            <w:tcMar>
              <w:top w:w="40" w:type="dxa"/>
              <w:left w:w="90" w:type="dxa"/>
              <w:bottom w:w="40" w:type="dxa"/>
              <w:right w:w="90" w:type="dxa"/>
            </w:tcMar>
          </w:tcPr>
          <w:p w14:paraId="3A1AED3D">
            <w:pPr>
              <w:spacing w:before="20" w:after="20" w:line="252" w:lineRule="auto"/>
              <w:jc w:val="left"/>
            </w:pPr>
            <w:r>
              <w:rPr>
                <w:rFonts w:ascii="Calibri" w:hAnsi="Calibri" w:eastAsia="Calibri" w:cs="Calibri"/>
                <w:b/>
                <w:bCs/>
                <w:color w:val="000000"/>
                <w:sz w:val="18"/>
                <w:szCs w:val="18"/>
              </w:rPr>
              <w:t>jsoup</w:t>
            </w:r>
          </w:p>
        </w:tc>
        <w:tc>
          <w:tcPr>
            <w:tcW w:w="1200" w:type="dxa"/>
            <w:shd w:val="clear" w:color="auto" w:fill="FFFFFF"/>
            <w:tcMar>
              <w:top w:w="40" w:type="dxa"/>
              <w:left w:w="90" w:type="dxa"/>
              <w:bottom w:w="40" w:type="dxa"/>
              <w:right w:w="90" w:type="dxa"/>
            </w:tcMar>
          </w:tcPr>
          <w:p w14:paraId="0E7DB9F9">
            <w:pPr>
              <w:spacing w:before="20" w:after="20" w:line="252" w:lineRule="auto"/>
              <w:jc w:val="left"/>
            </w:pPr>
            <w:r>
              <w:rPr>
                <w:rFonts w:ascii="Calibri" w:hAnsi="Calibri" w:eastAsia="Calibri" w:cs="Calibri"/>
                <w:b w:val="0"/>
                <w:bCs w:val="0"/>
                <w:color w:val="000000"/>
                <w:sz w:val="18"/>
                <w:szCs w:val="18"/>
              </w:rPr>
              <w:t>1.5.2</w:t>
            </w:r>
          </w:p>
        </w:tc>
        <w:tc>
          <w:tcPr>
            <w:tcW w:w="1200" w:type="dxa"/>
            <w:shd w:val="clear" w:color="auto" w:fill="FFFFFF"/>
            <w:tcMar>
              <w:top w:w="40" w:type="dxa"/>
              <w:left w:w="90" w:type="dxa"/>
              <w:bottom w:w="40" w:type="dxa"/>
              <w:right w:w="90" w:type="dxa"/>
            </w:tcMar>
          </w:tcPr>
          <w:p w14:paraId="7D404264">
            <w:pPr>
              <w:spacing w:before="20" w:after="20" w:line="252" w:lineRule="auto"/>
              <w:jc w:val="left"/>
            </w:pPr>
            <w:r>
              <w:rPr>
                <w:rFonts w:ascii="Calibri" w:hAnsi="Calibri" w:eastAsia="Calibri" w:cs="Calibri"/>
                <w:b w:val="0"/>
                <w:bCs w:val="0"/>
                <w:color w:val="000000"/>
                <w:sz w:val="18"/>
                <w:szCs w:val="18"/>
              </w:rPr>
              <w:t>1.16.1</w:t>
            </w:r>
          </w:p>
        </w:tc>
        <w:tc>
          <w:tcPr>
            <w:tcW w:w="4520" w:type="dxa"/>
            <w:shd w:val="clear" w:color="auto" w:fill="FFFFFF"/>
            <w:tcMar>
              <w:top w:w="40" w:type="dxa"/>
              <w:left w:w="90" w:type="dxa"/>
              <w:bottom w:w="40" w:type="dxa"/>
              <w:right w:w="90" w:type="dxa"/>
            </w:tcMar>
          </w:tcPr>
          <w:p w14:paraId="210D6294">
            <w:pPr>
              <w:spacing w:before="20" w:after="20" w:line="252" w:lineRule="auto"/>
              <w:jc w:val="left"/>
            </w:pPr>
            <w:r>
              <w:rPr>
                <w:rFonts w:ascii="Calibri" w:hAnsi="Calibri" w:eastAsia="Calibri" w:cs="Calibri"/>
                <w:b w:val="0"/>
                <w:bCs w:val="0"/>
                <w:color w:val="000000"/>
                <w:sz w:val="18"/>
                <w:szCs w:val="18"/>
              </w:rPr>
              <w:t>Closes CVE-2021-37714 and related parser CVEs.</w:t>
            </w:r>
          </w:p>
        </w:tc>
      </w:tr>
      <w:tr w14:paraId="4F017BC5">
        <w:tc>
          <w:tcPr>
            <w:tcW w:w="2100" w:type="dxa"/>
            <w:shd w:val="clear" w:color="auto" w:fill="EEF1F7"/>
            <w:tcMar>
              <w:top w:w="40" w:type="dxa"/>
              <w:left w:w="90" w:type="dxa"/>
              <w:bottom w:w="40" w:type="dxa"/>
              <w:right w:w="90" w:type="dxa"/>
            </w:tcMar>
          </w:tcPr>
          <w:p w14:paraId="30D5AEF8">
            <w:pPr>
              <w:spacing w:before="20" w:after="20" w:line="252" w:lineRule="auto"/>
              <w:jc w:val="left"/>
            </w:pPr>
            <w:r>
              <w:rPr>
                <w:rFonts w:ascii="Calibri" w:hAnsi="Calibri" w:eastAsia="Calibri" w:cs="Calibri"/>
                <w:b/>
                <w:bCs/>
                <w:color w:val="000000"/>
                <w:sz w:val="18"/>
                <w:szCs w:val="18"/>
              </w:rPr>
              <w:t>guava</w:t>
            </w:r>
          </w:p>
        </w:tc>
        <w:tc>
          <w:tcPr>
            <w:tcW w:w="1200" w:type="dxa"/>
            <w:shd w:val="clear" w:color="auto" w:fill="EEF1F7"/>
            <w:tcMar>
              <w:top w:w="40" w:type="dxa"/>
              <w:left w:w="90" w:type="dxa"/>
              <w:bottom w:w="40" w:type="dxa"/>
              <w:right w:w="90" w:type="dxa"/>
            </w:tcMar>
          </w:tcPr>
          <w:p w14:paraId="75313F4F">
            <w:pPr>
              <w:spacing w:before="20" w:after="20" w:line="252" w:lineRule="auto"/>
              <w:jc w:val="left"/>
            </w:pPr>
            <w:r>
              <w:rPr>
                <w:rFonts w:ascii="Calibri" w:hAnsi="Calibri" w:eastAsia="Calibri" w:cs="Calibri"/>
                <w:b w:val="0"/>
                <w:bCs w:val="0"/>
                <w:color w:val="000000"/>
                <w:sz w:val="18"/>
                <w:szCs w:val="18"/>
              </w:rPr>
              <w:t>18.0</w:t>
            </w:r>
          </w:p>
        </w:tc>
        <w:tc>
          <w:tcPr>
            <w:tcW w:w="1200" w:type="dxa"/>
            <w:shd w:val="clear" w:color="auto" w:fill="EEF1F7"/>
            <w:tcMar>
              <w:top w:w="40" w:type="dxa"/>
              <w:left w:w="90" w:type="dxa"/>
              <w:bottom w:w="40" w:type="dxa"/>
              <w:right w:w="90" w:type="dxa"/>
            </w:tcMar>
          </w:tcPr>
          <w:p w14:paraId="6CED3399">
            <w:pPr>
              <w:spacing w:before="20" w:after="20" w:line="252" w:lineRule="auto"/>
              <w:jc w:val="left"/>
            </w:pPr>
            <w:r>
              <w:rPr>
                <w:rFonts w:ascii="Calibri" w:hAnsi="Calibri" w:eastAsia="Calibri" w:cs="Calibri"/>
                <w:b w:val="0"/>
                <w:bCs w:val="0"/>
                <w:color w:val="000000"/>
                <w:sz w:val="18"/>
                <w:szCs w:val="18"/>
              </w:rPr>
              <w:t>32.0.1-jre</w:t>
            </w:r>
          </w:p>
        </w:tc>
        <w:tc>
          <w:tcPr>
            <w:tcW w:w="4520" w:type="dxa"/>
            <w:shd w:val="clear" w:color="auto" w:fill="EEF1F7"/>
            <w:tcMar>
              <w:top w:w="40" w:type="dxa"/>
              <w:left w:w="90" w:type="dxa"/>
              <w:bottom w:w="40" w:type="dxa"/>
              <w:right w:w="90" w:type="dxa"/>
            </w:tcMar>
          </w:tcPr>
          <w:p w14:paraId="07C4A65D">
            <w:pPr>
              <w:spacing w:before="20" w:after="20" w:line="252" w:lineRule="auto"/>
              <w:jc w:val="left"/>
            </w:pPr>
            <w:r>
              <w:rPr>
                <w:rFonts w:ascii="Calibri" w:hAnsi="Calibri" w:eastAsia="Calibri" w:cs="Calibri"/>
                <w:b w:val="0"/>
                <w:bCs w:val="0"/>
                <w:color w:val="000000"/>
                <w:sz w:val="18"/>
                <w:szCs w:val="18"/>
              </w:rPr>
              <w:t>Closes CVE-2023-2976 and related. Brings failureaccess 1.0.1 as a required runtime helper — see Section 6.</w:t>
            </w:r>
          </w:p>
        </w:tc>
      </w:tr>
      <w:tr w14:paraId="65C952D4">
        <w:tc>
          <w:tcPr>
            <w:tcW w:w="2100" w:type="dxa"/>
            <w:shd w:val="clear" w:color="auto" w:fill="FFFFFF"/>
            <w:tcMar>
              <w:top w:w="40" w:type="dxa"/>
              <w:left w:w="90" w:type="dxa"/>
              <w:bottom w:w="40" w:type="dxa"/>
              <w:right w:w="90" w:type="dxa"/>
            </w:tcMar>
          </w:tcPr>
          <w:p w14:paraId="133FCE92">
            <w:pPr>
              <w:spacing w:before="20" w:after="20" w:line="252" w:lineRule="auto"/>
              <w:jc w:val="left"/>
            </w:pPr>
            <w:r>
              <w:rPr>
                <w:rFonts w:ascii="Calibri" w:hAnsi="Calibri" w:eastAsia="Calibri" w:cs="Calibri"/>
                <w:b/>
                <w:bCs/>
                <w:color w:val="000000"/>
                <w:sz w:val="18"/>
                <w:szCs w:val="18"/>
              </w:rPr>
              <w:t>batik-all</w:t>
            </w:r>
          </w:p>
        </w:tc>
        <w:tc>
          <w:tcPr>
            <w:tcW w:w="1200" w:type="dxa"/>
            <w:shd w:val="clear" w:color="auto" w:fill="FFFFFF"/>
            <w:tcMar>
              <w:top w:w="40" w:type="dxa"/>
              <w:left w:w="90" w:type="dxa"/>
              <w:bottom w:w="40" w:type="dxa"/>
              <w:right w:w="90" w:type="dxa"/>
            </w:tcMar>
          </w:tcPr>
          <w:p w14:paraId="5DE23975">
            <w:pPr>
              <w:spacing w:before="20" w:after="20" w:line="252" w:lineRule="auto"/>
              <w:jc w:val="left"/>
            </w:pPr>
            <w:r>
              <w:rPr>
                <w:rFonts w:ascii="Calibri" w:hAnsi="Calibri" w:eastAsia="Calibri" w:cs="Calibri"/>
                <w:b w:val="0"/>
                <w:bCs w:val="0"/>
                <w:color w:val="000000"/>
                <w:sz w:val="18"/>
                <w:szCs w:val="18"/>
              </w:rPr>
              <w:t>1.11 + 1.6</w:t>
            </w:r>
          </w:p>
        </w:tc>
        <w:tc>
          <w:tcPr>
            <w:tcW w:w="1200" w:type="dxa"/>
            <w:shd w:val="clear" w:color="auto" w:fill="FFFFFF"/>
            <w:tcMar>
              <w:top w:w="40" w:type="dxa"/>
              <w:left w:w="90" w:type="dxa"/>
              <w:bottom w:w="40" w:type="dxa"/>
              <w:right w:w="90" w:type="dxa"/>
            </w:tcMar>
          </w:tcPr>
          <w:p w14:paraId="3D0A2EF7">
            <w:pPr>
              <w:spacing w:before="20" w:after="20" w:line="252" w:lineRule="auto"/>
              <w:jc w:val="left"/>
            </w:pPr>
            <w:r>
              <w:rPr>
                <w:rFonts w:ascii="Calibri" w:hAnsi="Calibri" w:eastAsia="Calibri" w:cs="Calibri"/>
                <w:b w:val="0"/>
                <w:bCs w:val="0"/>
                <w:color w:val="000000"/>
                <w:sz w:val="18"/>
                <w:szCs w:val="18"/>
              </w:rPr>
              <w:t>1.15</w:t>
            </w:r>
          </w:p>
        </w:tc>
        <w:tc>
          <w:tcPr>
            <w:tcW w:w="4520" w:type="dxa"/>
            <w:shd w:val="clear" w:color="auto" w:fill="FFFFFF"/>
            <w:tcMar>
              <w:top w:w="40" w:type="dxa"/>
              <w:left w:w="90" w:type="dxa"/>
              <w:bottom w:w="40" w:type="dxa"/>
              <w:right w:w="90" w:type="dxa"/>
            </w:tcMar>
          </w:tcPr>
          <w:p w14:paraId="32066AFB">
            <w:pPr>
              <w:spacing w:before="20" w:after="20" w:line="252" w:lineRule="auto"/>
              <w:jc w:val="left"/>
            </w:pPr>
            <w:r>
              <w:rPr>
                <w:rFonts w:ascii="Calibri" w:hAnsi="Calibri" w:eastAsia="Calibri" w:cs="Calibri"/>
                <w:b w:val="0"/>
                <w:bCs w:val="0"/>
                <w:color w:val="000000"/>
                <w:sz w:val="18"/>
                <w:szCs w:val="18"/>
              </w:rPr>
              <w:t>Both current versions (1.11 and 1.6) are removed from the EAR; batik-all 1.15 replaces them. Closes the batik-family CVEs at the retrofit target.</w:t>
            </w:r>
          </w:p>
        </w:tc>
      </w:tr>
    </w:tbl>
    <w:p w14:paraId="30474E80">
      <w:pPr>
        <w:spacing w:after="120"/>
      </w:pPr>
    </w:p>
    <w:p w14:paraId="1811B6DB">
      <w:pPr>
        <w:pStyle w:val="3"/>
        <w:spacing w:before="180" w:after="90"/>
      </w:pPr>
      <w:r>
        <w:rPr>
          <w:rFonts w:ascii="Calibri" w:hAnsi="Calibri" w:eastAsia="Calibri" w:cs="Calibri"/>
          <w:b/>
          <w:bCs/>
          <w:color w:val="1F3864"/>
          <w:sz w:val="22"/>
          <w:szCs w:val="22"/>
        </w:rPr>
        <w:t>4.3  Standalone Upgrade With Dependency Change — 3 items</w:t>
      </w:r>
    </w:p>
    <w:p w14:paraId="6C391CCF">
      <w:pPr>
        <w:spacing w:after="120" w:line="264" w:lineRule="auto"/>
        <w:jc w:val="both"/>
      </w:pPr>
      <w:r>
        <w:rPr>
          <w:rFonts w:ascii="Calibri" w:hAnsi="Calibri" w:eastAsia="Calibri" w:cs="Calibri"/>
          <w:b w:val="0"/>
          <w:bCs w:val="0"/>
          <w:i w:val="0"/>
          <w:iCs w:val="0"/>
          <w:color w:val="000000"/>
          <w:sz w:val="20"/>
          <w:szCs w:val="20"/>
        </w:rPr>
        <w:t>The three libraries below are upgraded to their highest Java 8 compatible target. Each carries a companion JAR set delivered as one solution unit. Companion details are in Section 6.</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100"/>
        <w:gridCol w:w="1200"/>
        <w:gridCol w:w="1500"/>
        <w:gridCol w:w="4220"/>
      </w:tblGrid>
      <w:tr w14:paraId="7010ADC7">
        <w:trPr>
          <w:tblHeader/>
        </w:trPr>
        <w:tc>
          <w:tcPr>
            <w:tcW w:w="2100" w:type="dxa"/>
            <w:shd w:val="clear" w:color="auto" w:fill="1F3864"/>
            <w:tcMar>
              <w:top w:w="40" w:type="dxa"/>
              <w:left w:w="90" w:type="dxa"/>
              <w:bottom w:w="40" w:type="dxa"/>
              <w:right w:w="90" w:type="dxa"/>
            </w:tcMar>
          </w:tcPr>
          <w:p w14:paraId="72E7176E">
            <w:pPr>
              <w:spacing w:before="20" w:after="20" w:line="252" w:lineRule="auto"/>
              <w:jc w:val="left"/>
            </w:pPr>
            <w:r>
              <w:rPr>
                <w:rFonts w:ascii="Calibri" w:hAnsi="Calibri" w:eastAsia="Calibri" w:cs="Calibri"/>
                <w:b/>
                <w:bCs/>
                <w:color w:val="FFFFFF"/>
                <w:sz w:val="18"/>
                <w:szCs w:val="18"/>
              </w:rPr>
              <w:t>Library</w:t>
            </w:r>
          </w:p>
        </w:tc>
        <w:tc>
          <w:tcPr>
            <w:tcW w:w="1200" w:type="dxa"/>
            <w:shd w:val="clear" w:color="auto" w:fill="1F3864"/>
            <w:tcMar>
              <w:top w:w="40" w:type="dxa"/>
              <w:left w:w="90" w:type="dxa"/>
              <w:bottom w:w="40" w:type="dxa"/>
              <w:right w:w="90" w:type="dxa"/>
            </w:tcMar>
          </w:tcPr>
          <w:p w14:paraId="49EFEB94">
            <w:pPr>
              <w:spacing w:before="20" w:after="20" w:line="252" w:lineRule="auto"/>
              <w:jc w:val="left"/>
            </w:pPr>
            <w:r>
              <w:rPr>
                <w:rFonts w:ascii="Calibri" w:hAnsi="Calibri" w:eastAsia="Calibri" w:cs="Calibri"/>
                <w:b/>
                <w:bCs/>
                <w:color w:val="FFFFFF"/>
                <w:sz w:val="18"/>
                <w:szCs w:val="18"/>
              </w:rPr>
              <w:t>Current</w:t>
            </w:r>
          </w:p>
        </w:tc>
        <w:tc>
          <w:tcPr>
            <w:tcW w:w="1500" w:type="dxa"/>
            <w:shd w:val="clear" w:color="auto" w:fill="1F3864"/>
            <w:tcMar>
              <w:top w:w="40" w:type="dxa"/>
              <w:left w:w="90" w:type="dxa"/>
              <w:bottom w:w="40" w:type="dxa"/>
              <w:right w:w="90" w:type="dxa"/>
            </w:tcMar>
          </w:tcPr>
          <w:p w14:paraId="03340EA4">
            <w:pPr>
              <w:spacing w:before="20" w:after="20" w:line="252" w:lineRule="auto"/>
              <w:jc w:val="left"/>
            </w:pPr>
            <w:r>
              <w:rPr>
                <w:rFonts w:ascii="Calibri" w:hAnsi="Calibri" w:eastAsia="Calibri" w:cs="Calibri"/>
                <w:b/>
                <w:bCs/>
                <w:color w:val="FFFFFF"/>
                <w:sz w:val="18"/>
                <w:szCs w:val="18"/>
              </w:rPr>
              <w:t>Target</w:t>
            </w:r>
          </w:p>
        </w:tc>
        <w:tc>
          <w:tcPr>
            <w:tcW w:w="4220" w:type="dxa"/>
            <w:shd w:val="clear" w:color="auto" w:fill="1F3864"/>
            <w:tcMar>
              <w:top w:w="40" w:type="dxa"/>
              <w:left w:w="90" w:type="dxa"/>
              <w:bottom w:w="40" w:type="dxa"/>
              <w:right w:w="90" w:type="dxa"/>
            </w:tcMar>
          </w:tcPr>
          <w:p w14:paraId="1B882118">
            <w:pPr>
              <w:spacing w:before="20" w:after="20" w:line="252" w:lineRule="auto"/>
              <w:jc w:val="left"/>
            </w:pPr>
            <w:r>
              <w:rPr>
                <w:rFonts w:ascii="Calibri" w:hAnsi="Calibri" w:eastAsia="Calibri" w:cs="Calibri"/>
                <w:b/>
                <w:bCs/>
                <w:color w:val="FFFFFF"/>
                <w:sz w:val="18"/>
                <w:szCs w:val="18"/>
              </w:rPr>
              <w:t>Dependency Companion Set</w:t>
            </w:r>
          </w:p>
        </w:tc>
      </w:tr>
      <w:tr w14:paraId="42ED21FB">
        <w:tc>
          <w:tcPr>
            <w:tcW w:w="2100" w:type="dxa"/>
            <w:shd w:val="clear" w:color="auto" w:fill="FFFFFF"/>
            <w:tcMar>
              <w:top w:w="40" w:type="dxa"/>
              <w:left w:w="90" w:type="dxa"/>
              <w:bottom w:w="40" w:type="dxa"/>
              <w:right w:w="90" w:type="dxa"/>
            </w:tcMar>
          </w:tcPr>
          <w:p w14:paraId="24952E7C">
            <w:pPr>
              <w:spacing w:before="20" w:after="20" w:line="252" w:lineRule="auto"/>
              <w:jc w:val="left"/>
            </w:pPr>
            <w:r>
              <w:rPr>
                <w:rFonts w:ascii="Calibri" w:hAnsi="Calibri" w:eastAsia="Calibri" w:cs="Calibri"/>
                <w:b/>
                <w:bCs/>
                <w:color w:val="000000"/>
                <w:sz w:val="18"/>
                <w:szCs w:val="18"/>
              </w:rPr>
              <w:t>commons-fileupload</w:t>
            </w:r>
          </w:p>
        </w:tc>
        <w:tc>
          <w:tcPr>
            <w:tcW w:w="1200" w:type="dxa"/>
            <w:shd w:val="clear" w:color="auto" w:fill="FFFFFF"/>
            <w:tcMar>
              <w:top w:w="40" w:type="dxa"/>
              <w:left w:w="90" w:type="dxa"/>
              <w:bottom w:w="40" w:type="dxa"/>
              <w:right w:w="90" w:type="dxa"/>
            </w:tcMar>
          </w:tcPr>
          <w:p w14:paraId="77FCB78C">
            <w:pPr>
              <w:spacing w:before="20" w:after="20" w:line="252" w:lineRule="auto"/>
              <w:jc w:val="left"/>
            </w:pPr>
            <w:r>
              <w:rPr>
                <w:rFonts w:ascii="Calibri" w:hAnsi="Calibri" w:eastAsia="Calibri" w:cs="Calibri"/>
                <w:b w:val="0"/>
                <w:bCs w:val="0"/>
                <w:color w:val="000000"/>
                <w:sz w:val="18"/>
                <w:szCs w:val="18"/>
              </w:rPr>
              <w:t>1.2.2</w:t>
            </w:r>
          </w:p>
        </w:tc>
        <w:tc>
          <w:tcPr>
            <w:tcW w:w="1500" w:type="dxa"/>
            <w:shd w:val="clear" w:color="auto" w:fill="FFFFFF"/>
            <w:tcMar>
              <w:top w:w="40" w:type="dxa"/>
              <w:left w:w="90" w:type="dxa"/>
              <w:bottom w:w="40" w:type="dxa"/>
              <w:right w:w="90" w:type="dxa"/>
            </w:tcMar>
          </w:tcPr>
          <w:p w14:paraId="71E2D476">
            <w:pPr>
              <w:spacing w:before="20" w:after="20" w:line="252" w:lineRule="auto"/>
              <w:jc w:val="left"/>
            </w:pPr>
            <w:r>
              <w:rPr>
                <w:rFonts w:ascii="Calibri" w:hAnsi="Calibri" w:eastAsia="Calibri" w:cs="Calibri"/>
                <w:b w:val="0"/>
                <w:bCs w:val="0"/>
                <w:color w:val="000000"/>
                <w:sz w:val="18"/>
                <w:szCs w:val="18"/>
              </w:rPr>
              <w:t>1.6</w:t>
            </w:r>
          </w:p>
        </w:tc>
        <w:tc>
          <w:tcPr>
            <w:tcW w:w="4220" w:type="dxa"/>
            <w:shd w:val="clear" w:color="auto" w:fill="FFFFFF"/>
            <w:tcMar>
              <w:top w:w="40" w:type="dxa"/>
              <w:left w:w="90" w:type="dxa"/>
              <w:bottom w:w="40" w:type="dxa"/>
              <w:right w:w="90" w:type="dxa"/>
            </w:tcMar>
          </w:tcPr>
          <w:p w14:paraId="4158F3E4">
            <w:pPr>
              <w:spacing w:before="20" w:after="20" w:line="252" w:lineRule="auto"/>
              <w:jc w:val="left"/>
            </w:pPr>
            <w:r>
              <w:rPr>
                <w:rFonts w:ascii="Calibri" w:hAnsi="Calibri" w:eastAsia="Calibri" w:cs="Calibri"/>
                <w:b w:val="0"/>
                <w:bCs w:val="0"/>
                <w:color w:val="000000"/>
                <w:sz w:val="18"/>
                <w:szCs w:val="18"/>
              </w:rPr>
              <w:t>commons-io upgrades to 2.14.</w:t>
            </w:r>
          </w:p>
        </w:tc>
      </w:tr>
      <w:tr w14:paraId="2776ADAD">
        <w:tc>
          <w:tcPr>
            <w:tcW w:w="2100" w:type="dxa"/>
            <w:shd w:val="clear" w:color="auto" w:fill="EEF1F7"/>
            <w:tcMar>
              <w:top w:w="40" w:type="dxa"/>
              <w:left w:w="90" w:type="dxa"/>
              <w:bottom w:w="40" w:type="dxa"/>
              <w:right w:w="90" w:type="dxa"/>
            </w:tcMar>
          </w:tcPr>
          <w:p w14:paraId="08F4F070">
            <w:pPr>
              <w:spacing w:before="20" w:after="20" w:line="252" w:lineRule="auto"/>
              <w:jc w:val="left"/>
            </w:pPr>
            <w:r>
              <w:rPr>
                <w:rFonts w:ascii="Calibri" w:hAnsi="Calibri" w:eastAsia="Calibri" w:cs="Calibri"/>
                <w:b/>
                <w:bCs/>
                <w:color w:val="000000"/>
                <w:sz w:val="18"/>
                <w:szCs w:val="18"/>
              </w:rPr>
              <w:t>nimbus-jose-jwt</w:t>
            </w:r>
          </w:p>
        </w:tc>
        <w:tc>
          <w:tcPr>
            <w:tcW w:w="1200" w:type="dxa"/>
            <w:shd w:val="clear" w:color="auto" w:fill="EEF1F7"/>
            <w:tcMar>
              <w:top w:w="40" w:type="dxa"/>
              <w:left w:w="90" w:type="dxa"/>
              <w:bottom w:w="40" w:type="dxa"/>
              <w:right w:w="90" w:type="dxa"/>
            </w:tcMar>
          </w:tcPr>
          <w:p w14:paraId="65E9D8A2">
            <w:pPr>
              <w:spacing w:before="20" w:after="20" w:line="252" w:lineRule="auto"/>
              <w:jc w:val="left"/>
            </w:pPr>
            <w:r>
              <w:rPr>
                <w:rFonts w:ascii="Calibri" w:hAnsi="Calibri" w:eastAsia="Calibri" w:cs="Calibri"/>
                <w:b w:val="0"/>
                <w:bCs w:val="0"/>
                <w:color w:val="000000"/>
                <w:sz w:val="18"/>
                <w:szCs w:val="18"/>
              </w:rPr>
              <w:t>4.40-jdk16</w:t>
            </w:r>
          </w:p>
        </w:tc>
        <w:tc>
          <w:tcPr>
            <w:tcW w:w="1500" w:type="dxa"/>
            <w:shd w:val="clear" w:color="auto" w:fill="EEF1F7"/>
            <w:tcMar>
              <w:top w:w="40" w:type="dxa"/>
              <w:left w:w="90" w:type="dxa"/>
              <w:bottom w:w="40" w:type="dxa"/>
              <w:right w:w="90" w:type="dxa"/>
            </w:tcMar>
          </w:tcPr>
          <w:p w14:paraId="464CA75A">
            <w:pPr>
              <w:spacing w:before="20" w:after="20" w:line="252" w:lineRule="auto"/>
              <w:jc w:val="left"/>
            </w:pPr>
            <w:r>
              <w:rPr>
                <w:rFonts w:ascii="Calibri" w:hAnsi="Calibri" w:eastAsia="Calibri" w:cs="Calibri"/>
                <w:b w:val="0"/>
                <w:bCs w:val="0"/>
                <w:color w:val="000000"/>
                <w:sz w:val="18"/>
                <w:szCs w:val="18"/>
              </w:rPr>
              <w:t>9.37.4</w:t>
            </w:r>
          </w:p>
        </w:tc>
        <w:tc>
          <w:tcPr>
            <w:tcW w:w="4220" w:type="dxa"/>
            <w:shd w:val="clear" w:color="auto" w:fill="EEF1F7"/>
            <w:tcMar>
              <w:top w:w="40" w:type="dxa"/>
              <w:left w:w="90" w:type="dxa"/>
              <w:bottom w:w="40" w:type="dxa"/>
              <w:right w:w="90" w:type="dxa"/>
            </w:tcMar>
          </w:tcPr>
          <w:p w14:paraId="1DB73B84">
            <w:pPr>
              <w:spacing w:before="20" w:after="20" w:line="252" w:lineRule="auto"/>
              <w:jc w:val="left"/>
            </w:pPr>
            <w:r>
              <w:rPr>
                <w:rFonts w:ascii="Calibri" w:hAnsi="Calibri" w:eastAsia="Calibri" w:cs="Calibri"/>
                <w:b w:val="0"/>
                <w:bCs w:val="0"/>
                <w:color w:val="000000"/>
                <w:sz w:val="18"/>
                <w:szCs w:val="18"/>
              </w:rPr>
              <w:t>json-smart upgrades 1.3.1 → 2.5.0. accessors-smart 2.5.0 is newly introduced as a transitive companion of json-smart 2.5.0.</w:t>
            </w:r>
          </w:p>
        </w:tc>
      </w:tr>
      <w:tr w14:paraId="5DFCDCC8">
        <w:tc>
          <w:tcPr>
            <w:tcW w:w="2100" w:type="dxa"/>
            <w:shd w:val="clear" w:color="auto" w:fill="FFFFFF"/>
            <w:tcMar>
              <w:top w:w="40" w:type="dxa"/>
              <w:left w:w="90" w:type="dxa"/>
              <w:bottom w:w="40" w:type="dxa"/>
              <w:right w:w="90" w:type="dxa"/>
            </w:tcMar>
          </w:tcPr>
          <w:p w14:paraId="60AC2F1E">
            <w:pPr>
              <w:spacing w:before="20" w:after="20" w:line="252" w:lineRule="auto"/>
              <w:jc w:val="left"/>
            </w:pPr>
            <w:r>
              <w:rPr>
                <w:rFonts w:ascii="Calibri" w:hAnsi="Calibri" w:eastAsia="Calibri" w:cs="Calibri"/>
                <w:b/>
                <w:bCs/>
                <w:color w:val="000000"/>
                <w:sz w:val="18"/>
                <w:szCs w:val="18"/>
              </w:rPr>
              <w:t>log4j</w:t>
            </w:r>
          </w:p>
        </w:tc>
        <w:tc>
          <w:tcPr>
            <w:tcW w:w="1200" w:type="dxa"/>
            <w:shd w:val="clear" w:color="auto" w:fill="FFFFFF"/>
            <w:tcMar>
              <w:top w:w="40" w:type="dxa"/>
              <w:left w:w="90" w:type="dxa"/>
              <w:bottom w:w="40" w:type="dxa"/>
              <w:right w:w="90" w:type="dxa"/>
            </w:tcMar>
          </w:tcPr>
          <w:p w14:paraId="5091F606">
            <w:pPr>
              <w:spacing w:before="20" w:after="20" w:line="252" w:lineRule="auto"/>
              <w:jc w:val="left"/>
            </w:pPr>
            <w:r>
              <w:rPr>
                <w:rFonts w:ascii="Calibri" w:hAnsi="Calibri" w:eastAsia="Calibri" w:cs="Calibri"/>
                <w:b w:val="0"/>
                <w:bCs w:val="0"/>
                <w:color w:val="000000"/>
                <w:sz w:val="18"/>
                <w:szCs w:val="18"/>
              </w:rPr>
              <w:t>1.2.17</w:t>
            </w:r>
          </w:p>
        </w:tc>
        <w:tc>
          <w:tcPr>
            <w:tcW w:w="1500" w:type="dxa"/>
            <w:shd w:val="clear" w:color="auto" w:fill="FFFFFF"/>
            <w:tcMar>
              <w:top w:w="40" w:type="dxa"/>
              <w:left w:w="90" w:type="dxa"/>
              <w:bottom w:w="40" w:type="dxa"/>
              <w:right w:w="90" w:type="dxa"/>
            </w:tcMar>
          </w:tcPr>
          <w:p w14:paraId="5061DAA1">
            <w:pPr>
              <w:spacing w:before="20" w:after="20" w:line="252" w:lineRule="auto"/>
              <w:jc w:val="left"/>
            </w:pPr>
            <w:r>
              <w:rPr>
                <w:rFonts w:ascii="Calibri" w:hAnsi="Calibri" w:eastAsia="Calibri" w:cs="Calibri"/>
                <w:b w:val="0"/>
                <w:bCs w:val="0"/>
                <w:color w:val="000000"/>
                <w:sz w:val="18"/>
                <w:szCs w:val="18"/>
              </w:rPr>
              <w:t>log4j-core 2.19.0</w:t>
            </w:r>
          </w:p>
        </w:tc>
        <w:tc>
          <w:tcPr>
            <w:tcW w:w="4220" w:type="dxa"/>
            <w:shd w:val="clear" w:color="auto" w:fill="FFFFFF"/>
            <w:tcMar>
              <w:top w:w="40" w:type="dxa"/>
              <w:left w:w="90" w:type="dxa"/>
              <w:bottom w:w="40" w:type="dxa"/>
              <w:right w:w="90" w:type="dxa"/>
            </w:tcMar>
          </w:tcPr>
          <w:p w14:paraId="7B6F043F">
            <w:pPr>
              <w:spacing w:before="20" w:after="20" w:line="252" w:lineRule="auto"/>
              <w:jc w:val="left"/>
            </w:pPr>
            <w:r>
              <w:rPr>
                <w:rFonts w:ascii="Calibri" w:hAnsi="Calibri" w:eastAsia="Calibri" w:cs="Calibri"/>
                <w:b w:val="0"/>
                <w:bCs w:val="0"/>
                <w:color w:val="000000"/>
                <w:sz w:val="18"/>
                <w:szCs w:val="18"/>
              </w:rPr>
              <w:t>log4j-api 2.19.0, log4j-jcl 2.19.0 and log4j-slf4j-impl 2.19.0 as companion bridges. disruptor 3.4.4 as async logger backing (introduced if the log4j2 configuration enables async loggers).</w:t>
            </w:r>
          </w:p>
        </w:tc>
      </w:tr>
    </w:tbl>
    <w:p w14:paraId="47C37D7F">
      <w:pPr>
        <w:spacing w:after="120"/>
      </w:pPr>
    </w:p>
    <w:p w14:paraId="1C9EF77F">
      <w:pPr>
        <w:pStyle w:val="3"/>
        <w:spacing w:before="180" w:after="90"/>
      </w:pPr>
      <w:r>
        <w:rPr>
          <w:rFonts w:ascii="Calibri" w:hAnsi="Calibri" w:eastAsia="Calibri" w:cs="Calibri"/>
          <w:b/>
          <w:bCs/>
          <w:color w:val="1F3864"/>
          <w:sz w:val="22"/>
          <w:szCs w:val="22"/>
        </w:rPr>
        <w:t>4.4  Velocity — Item Held on Current Stack</w:t>
      </w:r>
    </w:p>
    <w:p w14:paraId="6BBACA0B">
      <w:pPr>
        <w:spacing w:after="120" w:line="264" w:lineRule="auto"/>
        <w:jc w:val="both"/>
      </w:pPr>
      <w:r>
        <w:rPr>
          <w:rFonts w:ascii="Calibri" w:hAnsi="Calibri" w:eastAsia="Calibri" w:cs="Calibri"/>
          <w:b w:val="0"/>
          <w:bCs w:val="0"/>
          <w:i w:val="0"/>
          <w:iCs w:val="0"/>
          <w:color w:val="000000"/>
          <w:sz w:val="20"/>
          <w:szCs w:val="20"/>
        </w:rPr>
        <w:t>The SG Portal deploys velocity 1.7, which carries CVE-2020-13936. The remediation path to velocity-engine-core 2.x requires an accompanying Turbine framework uplift, outside the current stack boundary for the August release. Velocity 1.7 therefore remains deployed for SG this cycle; exploitability analysis is in Section 8.</w:t>
      </w:r>
    </w:p>
    <w:p w14:paraId="6E3AC663">
      <w:pPr>
        <w:pageBreakBefore/>
      </w:pPr>
    </w:p>
    <w:p w14:paraId="6934F025">
      <w:pPr>
        <w:pStyle w:val="2"/>
        <w:spacing w:before="260" w:after="120"/>
      </w:pPr>
      <w:r>
        <w:rPr>
          <w:rFonts w:ascii="Calibri" w:hAnsi="Calibri" w:eastAsia="Calibri" w:cs="Calibri"/>
          <w:b/>
          <w:bCs/>
          <w:color w:val="1F3864"/>
          <w:sz w:val="26"/>
          <w:szCs w:val="26"/>
        </w:rPr>
        <w:t>5.  Spring Framework Upgrade — 4.2.9 to 5.3.34</w:t>
      </w:r>
    </w:p>
    <w:p w14:paraId="2DA3F372">
      <w:pPr>
        <w:pStyle w:val="3"/>
        <w:spacing w:before="180" w:after="90"/>
      </w:pPr>
      <w:r>
        <w:rPr>
          <w:rFonts w:ascii="Calibri" w:hAnsi="Calibri" w:eastAsia="Calibri" w:cs="Calibri"/>
          <w:b/>
          <w:bCs/>
          <w:color w:val="1F3864"/>
          <w:sz w:val="22"/>
          <w:szCs w:val="22"/>
        </w:rPr>
        <w:t>5.1  Nature of the Move</w:t>
      </w:r>
    </w:p>
    <w:p w14:paraId="3C4D498F">
      <w:pPr>
        <w:spacing w:after="120" w:line="264" w:lineRule="auto"/>
        <w:jc w:val="both"/>
      </w:pPr>
      <w:r>
        <w:rPr>
          <w:rFonts w:ascii="Calibri" w:hAnsi="Calibri" w:eastAsia="Calibri" w:cs="Calibri"/>
          <w:b w:val="0"/>
          <w:bCs w:val="0"/>
          <w:i w:val="0"/>
          <w:iCs w:val="0"/>
          <w:color w:val="000000"/>
          <w:sz w:val="20"/>
          <w:szCs w:val="20"/>
        </w:rPr>
        <w:t>The Spring Framework family for SG moves from 4.2.9 (the release train on which the SG Portal is currently built) to 5.3.34 in one integrated migration. This is a major version migration and is materially larger in effort and impact than a patch-level bump: the 4.x → 5.x transition brings API-level changes, package moves and deprecation cleanup that require code adjustments in the affected areas of the codebase.</w:t>
      </w:r>
    </w:p>
    <w:p w14:paraId="0348FE9C">
      <w:pPr>
        <w:spacing w:after="120" w:line="264" w:lineRule="auto"/>
        <w:jc w:val="both"/>
      </w:pPr>
      <w:r>
        <w:rPr>
          <w:rFonts w:ascii="Calibri" w:hAnsi="Calibri" w:eastAsia="Calibri" w:cs="Calibri"/>
          <w:b w:val="0"/>
          <w:bCs w:val="0"/>
          <w:i w:val="0"/>
          <w:iCs w:val="0"/>
          <w:color w:val="000000"/>
          <w:sz w:val="20"/>
          <w:szCs w:val="20"/>
        </w:rPr>
        <w:t>Spring 5.3.34 is on Maven Central, is Java 8 compatible and requires no JDK or application-server change. Fully CVE-free Spring versions exist only in the Spring 6.x line (requires Java 17), which is outside the current stack boundary; the residual CVEs at 5.3.34 are captured in Section 8. Reference markets run Spring 5.3.27; SG is aligned to 5.3.34 rather than 5.3.27 because 5.3.34 closes three additional High CVEs on spring-web at no incremental migration effort.</w:t>
      </w:r>
    </w:p>
    <w:p w14:paraId="01EF925A">
      <w:pPr>
        <w:pStyle w:val="3"/>
        <w:spacing w:before="180" w:after="90"/>
      </w:pPr>
      <w:r>
        <w:rPr>
          <w:rFonts w:ascii="Calibri" w:hAnsi="Calibri" w:eastAsia="Calibri" w:cs="Calibri"/>
          <w:b/>
          <w:bCs/>
          <w:color w:val="1F3864"/>
          <w:sz w:val="22"/>
          <w:szCs w:val="22"/>
        </w:rPr>
        <w:t>5.2  Version Progression</w:t>
      </w:r>
    </w:p>
    <w:p w14:paraId="71260709">
      <w:pPr>
        <w:spacing w:after="120" w:line="264" w:lineRule="auto"/>
        <w:jc w:val="both"/>
      </w:pPr>
      <w:r>
        <w:rPr>
          <w:rFonts w:ascii="Calibri" w:hAnsi="Calibri" w:eastAsia="Calibri" w:cs="Calibri"/>
          <w:b w:val="0"/>
          <w:bCs w:val="0"/>
          <w:i w:val="0"/>
          <w:iCs w:val="0"/>
          <w:color w:val="000000"/>
          <w:sz w:val="20"/>
          <w:szCs w:val="20"/>
        </w:rPr>
        <w:t>The SG position moves from the current 4.2.9 baseline, past the reference-market 5.3.27, to the 5.3.34 target. Residual CVEs per artefact — and the reason each cannot be closed on the current stack — are recorded in Section 8.</w:t>
      </w:r>
    </w:p>
    <w:p w14:paraId="5D2A30FE">
      <w:pPr>
        <w:pStyle w:val="3"/>
        <w:spacing w:before="180" w:after="90"/>
      </w:pPr>
      <w:r>
        <w:rPr>
          <w:rFonts w:ascii="Calibri" w:hAnsi="Calibri" w:eastAsia="Calibri" w:cs="Calibri"/>
          <w:b/>
          <w:bCs/>
          <w:color w:val="1F3864"/>
          <w:sz w:val="22"/>
          <w:szCs w:val="22"/>
        </w:rPr>
        <w:t>5.3  Primary Libraries Upgraded — 4 items</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100"/>
        <w:gridCol w:w="1900"/>
        <w:gridCol w:w="1200"/>
        <w:gridCol w:w="3820"/>
      </w:tblGrid>
      <w:tr w14:paraId="5EBC3BBE">
        <w:trPr>
          <w:tblHeader/>
        </w:trPr>
        <w:tc>
          <w:tcPr>
            <w:tcW w:w="2100" w:type="dxa"/>
            <w:shd w:val="clear" w:color="auto" w:fill="1F3864"/>
            <w:tcMar>
              <w:top w:w="40" w:type="dxa"/>
              <w:left w:w="90" w:type="dxa"/>
              <w:bottom w:w="40" w:type="dxa"/>
              <w:right w:w="90" w:type="dxa"/>
            </w:tcMar>
          </w:tcPr>
          <w:p w14:paraId="5EB4A087">
            <w:pPr>
              <w:spacing w:before="20" w:after="20" w:line="252" w:lineRule="auto"/>
              <w:jc w:val="left"/>
            </w:pPr>
            <w:r>
              <w:rPr>
                <w:rFonts w:ascii="Calibri" w:hAnsi="Calibri" w:eastAsia="Calibri" w:cs="Calibri"/>
                <w:b/>
                <w:bCs/>
                <w:color w:val="FFFFFF"/>
                <w:sz w:val="18"/>
                <w:szCs w:val="18"/>
              </w:rPr>
              <w:t>Library</w:t>
            </w:r>
          </w:p>
        </w:tc>
        <w:tc>
          <w:tcPr>
            <w:tcW w:w="1900" w:type="dxa"/>
            <w:shd w:val="clear" w:color="auto" w:fill="1F3864"/>
            <w:tcMar>
              <w:top w:w="40" w:type="dxa"/>
              <w:left w:w="90" w:type="dxa"/>
              <w:bottom w:w="40" w:type="dxa"/>
              <w:right w:w="90" w:type="dxa"/>
            </w:tcMar>
          </w:tcPr>
          <w:p w14:paraId="06E6B839">
            <w:pPr>
              <w:spacing w:before="20" w:after="20" w:line="252" w:lineRule="auto"/>
              <w:jc w:val="left"/>
            </w:pPr>
            <w:r>
              <w:rPr>
                <w:rFonts w:ascii="Calibri" w:hAnsi="Calibri" w:eastAsia="Calibri" w:cs="Calibri"/>
                <w:b/>
                <w:bCs/>
                <w:color w:val="FFFFFF"/>
                <w:sz w:val="18"/>
                <w:szCs w:val="18"/>
              </w:rPr>
              <w:t>Current</w:t>
            </w:r>
          </w:p>
        </w:tc>
        <w:tc>
          <w:tcPr>
            <w:tcW w:w="1200" w:type="dxa"/>
            <w:shd w:val="clear" w:color="auto" w:fill="1F3864"/>
            <w:tcMar>
              <w:top w:w="40" w:type="dxa"/>
              <w:left w:w="90" w:type="dxa"/>
              <w:bottom w:w="40" w:type="dxa"/>
              <w:right w:w="90" w:type="dxa"/>
            </w:tcMar>
          </w:tcPr>
          <w:p w14:paraId="439A0A25">
            <w:pPr>
              <w:spacing w:before="20" w:after="20" w:line="252" w:lineRule="auto"/>
              <w:jc w:val="left"/>
            </w:pPr>
            <w:r>
              <w:rPr>
                <w:rFonts w:ascii="Calibri" w:hAnsi="Calibri" w:eastAsia="Calibri" w:cs="Calibri"/>
                <w:b/>
                <w:bCs/>
                <w:color w:val="FFFFFF"/>
                <w:sz w:val="18"/>
                <w:szCs w:val="18"/>
              </w:rPr>
              <w:t>Target</w:t>
            </w:r>
          </w:p>
        </w:tc>
        <w:tc>
          <w:tcPr>
            <w:tcW w:w="3820" w:type="dxa"/>
            <w:shd w:val="clear" w:color="auto" w:fill="1F3864"/>
            <w:tcMar>
              <w:top w:w="40" w:type="dxa"/>
              <w:left w:w="90" w:type="dxa"/>
              <w:bottom w:w="40" w:type="dxa"/>
              <w:right w:w="90" w:type="dxa"/>
            </w:tcMar>
          </w:tcPr>
          <w:p w14:paraId="60B8160E">
            <w:pPr>
              <w:spacing w:before="20" w:after="20" w:line="252" w:lineRule="auto"/>
              <w:jc w:val="left"/>
            </w:pPr>
            <w:r>
              <w:rPr>
                <w:rFonts w:ascii="Calibri" w:hAnsi="Calibri" w:eastAsia="Calibri" w:cs="Calibri"/>
                <w:b/>
                <w:bCs/>
                <w:color w:val="FFFFFF"/>
                <w:sz w:val="18"/>
                <w:szCs w:val="18"/>
              </w:rPr>
              <w:t>CVEs Closed by 5.3.34</w:t>
            </w:r>
          </w:p>
        </w:tc>
      </w:tr>
      <w:tr w14:paraId="44BCE6A2">
        <w:tc>
          <w:tcPr>
            <w:tcW w:w="2100" w:type="dxa"/>
            <w:shd w:val="clear" w:color="auto" w:fill="FFFFFF"/>
            <w:tcMar>
              <w:top w:w="40" w:type="dxa"/>
              <w:left w:w="90" w:type="dxa"/>
              <w:bottom w:w="40" w:type="dxa"/>
              <w:right w:w="90" w:type="dxa"/>
            </w:tcMar>
          </w:tcPr>
          <w:p w14:paraId="5CAD6C4E">
            <w:pPr>
              <w:spacing w:before="20" w:after="20" w:line="252" w:lineRule="auto"/>
              <w:jc w:val="left"/>
            </w:pPr>
            <w:r>
              <w:rPr>
                <w:rFonts w:ascii="Calibri" w:hAnsi="Calibri" w:eastAsia="Calibri" w:cs="Calibri"/>
                <w:b/>
                <w:bCs/>
                <w:color w:val="000000"/>
                <w:sz w:val="18"/>
                <w:szCs w:val="18"/>
              </w:rPr>
              <w:t>spring-webmvc</w:t>
            </w:r>
          </w:p>
        </w:tc>
        <w:tc>
          <w:tcPr>
            <w:tcW w:w="1900" w:type="dxa"/>
            <w:shd w:val="clear" w:color="auto" w:fill="FFFFFF"/>
            <w:tcMar>
              <w:top w:w="40" w:type="dxa"/>
              <w:left w:w="90" w:type="dxa"/>
              <w:bottom w:w="40" w:type="dxa"/>
              <w:right w:w="90" w:type="dxa"/>
            </w:tcMar>
          </w:tcPr>
          <w:p w14:paraId="20D2849A">
            <w:pPr>
              <w:spacing w:before="20" w:after="20" w:line="252" w:lineRule="auto"/>
              <w:jc w:val="left"/>
            </w:pPr>
            <w:r>
              <w:rPr>
                <w:rFonts w:ascii="Calibri" w:hAnsi="Calibri" w:eastAsia="Calibri" w:cs="Calibri"/>
                <w:b w:val="0"/>
                <w:bCs w:val="0"/>
                <w:color w:val="000000"/>
                <w:sz w:val="18"/>
                <w:szCs w:val="18"/>
              </w:rPr>
              <w:t>4.2.9.RELEASE</w:t>
            </w:r>
          </w:p>
        </w:tc>
        <w:tc>
          <w:tcPr>
            <w:tcW w:w="1200" w:type="dxa"/>
            <w:shd w:val="clear" w:color="auto" w:fill="FFFFFF"/>
            <w:tcMar>
              <w:top w:w="40" w:type="dxa"/>
              <w:left w:w="90" w:type="dxa"/>
              <w:bottom w:w="40" w:type="dxa"/>
              <w:right w:w="90" w:type="dxa"/>
            </w:tcMar>
          </w:tcPr>
          <w:p w14:paraId="78AD52B6">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FFFFFF"/>
            <w:tcMar>
              <w:top w:w="40" w:type="dxa"/>
              <w:left w:w="90" w:type="dxa"/>
              <w:bottom w:w="40" w:type="dxa"/>
              <w:right w:w="90" w:type="dxa"/>
            </w:tcMar>
          </w:tcPr>
          <w:p w14:paraId="250A005D">
            <w:pPr>
              <w:spacing w:before="20" w:after="20" w:line="252" w:lineRule="auto"/>
              <w:jc w:val="left"/>
            </w:pPr>
            <w:r>
              <w:rPr>
                <w:rFonts w:ascii="Calibri" w:hAnsi="Calibri" w:eastAsia="Calibri" w:cs="Calibri"/>
                <w:b w:val="0"/>
                <w:bCs w:val="0"/>
                <w:color w:val="000000"/>
                <w:sz w:val="18"/>
                <w:szCs w:val="18"/>
              </w:rPr>
              <w:t>CVE-2018-11040, 2018-15756, 2022-22965 (Spring4Shell) and related. CVE-2024-38819 remains — see Section 8.</w:t>
            </w:r>
          </w:p>
        </w:tc>
      </w:tr>
      <w:tr w14:paraId="4374C9D0">
        <w:tc>
          <w:tcPr>
            <w:tcW w:w="2100" w:type="dxa"/>
            <w:shd w:val="clear" w:color="auto" w:fill="EEF1F7"/>
            <w:tcMar>
              <w:top w:w="40" w:type="dxa"/>
              <w:left w:w="90" w:type="dxa"/>
              <w:bottom w:w="40" w:type="dxa"/>
              <w:right w:w="90" w:type="dxa"/>
            </w:tcMar>
          </w:tcPr>
          <w:p w14:paraId="2712CA5B">
            <w:pPr>
              <w:spacing w:before="20" w:after="20" w:line="252" w:lineRule="auto"/>
              <w:jc w:val="left"/>
            </w:pPr>
            <w:r>
              <w:rPr>
                <w:rFonts w:ascii="Calibri" w:hAnsi="Calibri" w:eastAsia="Calibri" w:cs="Calibri"/>
                <w:b/>
                <w:bCs/>
                <w:color w:val="000000"/>
                <w:sz w:val="18"/>
                <w:szCs w:val="18"/>
              </w:rPr>
              <w:t>spring-beans</w:t>
            </w:r>
          </w:p>
        </w:tc>
        <w:tc>
          <w:tcPr>
            <w:tcW w:w="1900" w:type="dxa"/>
            <w:shd w:val="clear" w:color="auto" w:fill="EEF1F7"/>
            <w:tcMar>
              <w:top w:w="40" w:type="dxa"/>
              <w:left w:w="90" w:type="dxa"/>
              <w:bottom w:w="40" w:type="dxa"/>
              <w:right w:w="90" w:type="dxa"/>
            </w:tcMar>
          </w:tcPr>
          <w:p w14:paraId="068C0DB7">
            <w:pPr>
              <w:spacing w:before="20" w:after="20" w:line="252" w:lineRule="auto"/>
              <w:jc w:val="left"/>
            </w:pPr>
            <w:r>
              <w:rPr>
                <w:rFonts w:ascii="Calibri" w:hAnsi="Calibri" w:eastAsia="Calibri" w:cs="Calibri"/>
                <w:b w:val="0"/>
                <w:bCs w:val="0"/>
                <w:color w:val="000000"/>
                <w:sz w:val="18"/>
                <w:szCs w:val="18"/>
              </w:rPr>
              <w:t>4.2.9.RELEASE</w:t>
            </w:r>
          </w:p>
        </w:tc>
        <w:tc>
          <w:tcPr>
            <w:tcW w:w="1200" w:type="dxa"/>
            <w:shd w:val="clear" w:color="auto" w:fill="EEF1F7"/>
            <w:tcMar>
              <w:top w:w="40" w:type="dxa"/>
              <w:left w:w="90" w:type="dxa"/>
              <w:bottom w:w="40" w:type="dxa"/>
              <w:right w:w="90" w:type="dxa"/>
            </w:tcMar>
          </w:tcPr>
          <w:p w14:paraId="4EC06DBE">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EEF1F7"/>
            <w:tcMar>
              <w:top w:w="40" w:type="dxa"/>
              <w:left w:w="90" w:type="dxa"/>
              <w:bottom w:w="40" w:type="dxa"/>
              <w:right w:w="90" w:type="dxa"/>
            </w:tcMar>
          </w:tcPr>
          <w:p w14:paraId="167769AC">
            <w:pPr>
              <w:spacing w:before="20" w:after="20" w:line="252" w:lineRule="auto"/>
              <w:jc w:val="left"/>
            </w:pPr>
            <w:r>
              <w:rPr>
                <w:rFonts w:ascii="Calibri" w:hAnsi="Calibri" w:eastAsia="Calibri" w:cs="Calibri"/>
                <w:b w:val="0"/>
                <w:bCs w:val="0"/>
                <w:color w:val="000000"/>
                <w:sz w:val="18"/>
                <w:szCs w:val="18"/>
              </w:rPr>
              <w:t>CVE-2022-22965 (Spring4Shell). No residual on this artefact.</w:t>
            </w:r>
          </w:p>
        </w:tc>
      </w:tr>
      <w:tr w14:paraId="21FB5AA8">
        <w:tc>
          <w:tcPr>
            <w:tcW w:w="2100" w:type="dxa"/>
            <w:shd w:val="clear" w:color="auto" w:fill="FFFFFF"/>
            <w:tcMar>
              <w:top w:w="40" w:type="dxa"/>
              <w:left w:w="90" w:type="dxa"/>
              <w:bottom w:w="40" w:type="dxa"/>
              <w:right w:w="90" w:type="dxa"/>
            </w:tcMar>
          </w:tcPr>
          <w:p w14:paraId="41F9064A">
            <w:pPr>
              <w:spacing w:before="20" w:after="20" w:line="252" w:lineRule="auto"/>
              <w:jc w:val="left"/>
            </w:pPr>
            <w:r>
              <w:rPr>
                <w:rFonts w:ascii="Calibri" w:hAnsi="Calibri" w:eastAsia="Calibri" w:cs="Calibri"/>
                <w:b/>
                <w:bCs/>
                <w:color w:val="000000"/>
                <w:sz w:val="18"/>
                <w:szCs w:val="18"/>
              </w:rPr>
              <w:t>spring-web</w:t>
            </w:r>
          </w:p>
        </w:tc>
        <w:tc>
          <w:tcPr>
            <w:tcW w:w="1900" w:type="dxa"/>
            <w:shd w:val="clear" w:color="auto" w:fill="FFFFFF"/>
            <w:tcMar>
              <w:top w:w="40" w:type="dxa"/>
              <w:left w:w="90" w:type="dxa"/>
              <w:bottom w:w="40" w:type="dxa"/>
              <w:right w:w="90" w:type="dxa"/>
            </w:tcMar>
          </w:tcPr>
          <w:p w14:paraId="1DF2631C">
            <w:pPr>
              <w:spacing w:before="20" w:after="20" w:line="252" w:lineRule="auto"/>
              <w:jc w:val="left"/>
            </w:pPr>
            <w:r>
              <w:rPr>
                <w:rFonts w:ascii="Calibri" w:hAnsi="Calibri" w:eastAsia="Calibri" w:cs="Calibri"/>
                <w:b w:val="0"/>
                <w:bCs w:val="0"/>
                <w:color w:val="000000"/>
                <w:sz w:val="18"/>
                <w:szCs w:val="18"/>
              </w:rPr>
              <w:t>4.2.9.RELEASE</w:t>
            </w:r>
          </w:p>
        </w:tc>
        <w:tc>
          <w:tcPr>
            <w:tcW w:w="1200" w:type="dxa"/>
            <w:shd w:val="clear" w:color="auto" w:fill="FFFFFF"/>
            <w:tcMar>
              <w:top w:w="40" w:type="dxa"/>
              <w:left w:w="90" w:type="dxa"/>
              <w:bottom w:w="40" w:type="dxa"/>
              <w:right w:w="90" w:type="dxa"/>
            </w:tcMar>
          </w:tcPr>
          <w:p w14:paraId="1DAE44F2">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FFFFFF"/>
            <w:tcMar>
              <w:top w:w="40" w:type="dxa"/>
              <w:left w:w="90" w:type="dxa"/>
              <w:bottom w:w="40" w:type="dxa"/>
              <w:right w:w="90" w:type="dxa"/>
            </w:tcMar>
          </w:tcPr>
          <w:p w14:paraId="0B027CD3">
            <w:pPr>
              <w:spacing w:before="20" w:after="20" w:line="252" w:lineRule="auto"/>
              <w:jc w:val="left"/>
            </w:pPr>
            <w:r>
              <w:rPr>
                <w:rFonts w:ascii="Calibri" w:hAnsi="Calibri" w:eastAsia="Calibri" w:cs="Calibri"/>
                <w:b w:val="0"/>
                <w:bCs w:val="0"/>
                <w:color w:val="000000"/>
                <w:sz w:val="18"/>
                <w:szCs w:val="18"/>
              </w:rPr>
              <w:t>CVE-2018-15756, CVE-2024-22243, CVE-2024-22259, CVE-2024-22262. CVE-2016-1000027 remains — see Section 8.</w:t>
            </w:r>
          </w:p>
        </w:tc>
      </w:tr>
      <w:tr w14:paraId="2D82CC5E">
        <w:tc>
          <w:tcPr>
            <w:tcW w:w="2100" w:type="dxa"/>
            <w:shd w:val="clear" w:color="auto" w:fill="EEF1F7"/>
            <w:tcMar>
              <w:top w:w="40" w:type="dxa"/>
              <w:left w:w="90" w:type="dxa"/>
              <w:bottom w:w="40" w:type="dxa"/>
              <w:right w:w="90" w:type="dxa"/>
            </w:tcMar>
          </w:tcPr>
          <w:p w14:paraId="6FF0EB55">
            <w:pPr>
              <w:spacing w:before="20" w:after="20" w:line="252" w:lineRule="auto"/>
              <w:jc w:val="left"/>
            </w:pPr>
            <w:r>
              <w:rPr>
                <w:rFonts w:ascii="Calibri" w:hAnsi="Calibri" w:eastAsia="Calibri" w:cs="Calibri"/>
                <w:b/>
                <w:bCs/>
                <w:color w:val="000000"/>
                <w:sz w:val="18"/>
                <w:szCs w:val="18"/>
              </w:rPr>
              <w:t>spring-core</w:t>
            </w:r>
          </w:p>
        </w:tc>
        <w:tc>
          <w:tcPr>
            <w:tcW w:w="1900" w:type="dxa"/>
            <w:shd w:val="clear" w:color="auto" w:fill="EEF1F7"/>
            <w:tcMar>
              <w:top w:w="40" w:type="dxa"/>
              <w:left w:w="90" w:type="dxa"/>
              <w:bottom w:w="40" w:type="dxa"/>
              <w:right w:w="90" w:type="dxa"/>
            </w:tcMar>
          </w:tcPr>
          <w:p w14:paraId="500DBD6E">
            <w:pPr>
              <w:spacing w:before="20" w:after="20" w:line="252" w:lineRule="auto"/>
              <w:jc w:val="left"/>
            </w:pPr>
            <w:r>
              <w:rPr>
                <w:rFonts w:ascii="Calibri" w:hAnsi="Calibri" w:eastAsia="Calibri" w:cs="Calibri"/>
                <w:b w:val="0"/>
                <w:bCs w:val="0"/>
                <w:color w:val="000000"/>
                <w:sz w:val="18"/>
                <w:szCs w:val="18"/>
              </w:rPr>
              <w:t>4.2.9.RELEASE</w:t>
            </w:r>
          </w:p>
        </w:tc>
        <w:tc>
          <w:tcPr>
            <w:tcW w:w="1200" w:type="dxa"/>
            <w:shd w:val="clear" w:color="auto" w:fill="EEF1F7"/>
            <w:tcMar>
              <w:top w:w="40" w:type="dxa"/>
              <w:left w:w="90" w:type="dxa"/>
              <w:bottom w:w="40" w:type="dxa"/>
              <w:right w:w="90" w:type="dxa"/>
            </w:tcMar>
          </w:tcPr>
          <w:p w14:paraId="5576259B">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EEF1F7"/>
            <w:tcMar>
              <w:top w:w="40" w:type="dxa"/>
              <w:left w:w="90" w:type="dxa"/>
              <w:bottom w:w="40" w:type="dxa"/>
              <w:right w:w="90" w:type="dxa"/>
            </w:tcMar>
          </w:tcPr>
          <w:p w14:paraId="5B960DC1">
            <w:pPr>
              <w:spacing w:before="20" w:after="20" w:line="252" w:lineRule="auto"/>
              <w:jc w:val="left"/>
            </w:pPr>
            <w:r>
              <w:rPr>
                <w:rFonts w:ascii="Calibri" w:hAnsi="Calibri" w:eastAsia="Calibri" w:cs="Calibri"/>
                <w:b w:val="0"/>
                <w:bCs w:val="0"/>
                <w:color w:val="000000"/>
                <w:sz w:val="18"/>
                <w:szCs w:val="18"/>
              </w:rPr>
              <w:t>CVE-2016-5007, CVE-2018-1272. CVE-2025-41249 remains — see Section 8.</w:t>
            </w:r>
          </w:p>
        </w:tc>
      </w:tr>
    </w:tbl>
    <w:p w14:paraId="67A3D2B9">
      <w:pPr>
        <w:spacing w:after="120"/>
      </w:pPr>
    </w:p>
    <w:p w14:paraId="68FC8D4D">
      <w:pPr>
        <w:pStyle w:val="3"/>
        <w:spacing w:before="180" w:after="90"/>
      </w:pPr>
      <w:r>
        <w:rPr>
          <w:rFonts w:ascii="Calibri" w:hAnsi="Calibri" w:eastAsia="Calibri" w:cs="Calibri"/>
          <w:b/>
          <w:bCs/>
          <w:color w:val="1F3864"/>
          <w:sz w:val="22"/>
          <w:szCs w:val="22"/>
        </w:rPr>
        <w:t xml:space="preserve">5.4  Associated Spring and AspectJ Libraries — </w:t>
      </w:r>
      <w:r>
        <w:rPr>
          <w:rFonts w:hint="default" w:cs="Calibri"/>
          <w:b/>
          <w:bCs/>
          <w:color w:val="1F3864"/>
          <w:sz w:val="22"/>
          <w:szCs w:val="22"/>
          <w:lang w:val="en-US"/>
        </w:rPr>
        <w:t>8</w:t>
      </w:r>
      <w:r>
        <w:rPr>
          <w:rFonts w:ascii="Calibri" w:hAnsi="Calibri" w:eastAsia="Calibri" w:cs="Calibri"/>
          <w:b/>
          <w:bCs/>
          <w:color w:val="1F3864"/>
          <w:sz w:val="22"/>
          <w:szCs w:val="22"/>
        </w:rPr>
        <w:t xml:space="preserve"> items</w:t>
      </w:r>
    </w:p>
    <w:p w14:paraId="31BB8728">
      <w:pPr>
        <w:spacing w:after="120" w:line="264" w:lineRule="auto"/>
        <w:jc w:val="both"/>
      </w:pPr>
      <w:r>
        <w:rPr>
          <w:rFonts w:ascii="Calibri" w:hAnsi="Calibri" w:eastAsia="Calibri" w:cs="Calibri"/>
          <w:b w:val="0"/>
          <w:bCs w:val="0"/>
          <w:i w:val="0"/>
          <w:iCs w:val="0"/>
          <w:color w:val="000000"/>
          <w:sz w:val="20"/>
          <w:szCs w:val="20"/>
        </w:rPr>
        <w:t>The following libraries move together with the primary Spring artefacts to maintain baseline consistency.</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100"/>
        <w:gridCol w:w="1900"/>
        <w:gridCol w:w="1200"/>
        <w:gridCol w:w="3820"/>
      </w:tblGrid>
      <w:tr w14:paraId="71C314F7">
        <w:trPr>
          <w:tblHeader/>
        </w:trPr>
        <w:tc>
          <w:tcPr>
            <w:tcW w:w="2100" w:type="dxa"/>
            <w:shd w:val="clear" w:color="auto" w:fill="1F3864"/>
            <w:tcMar>
              <w:top w:w="40" w:type="dxa"/>
              <w:left w:w="90" w:type="dxa"/>
              <w:bottom w:w="40" w:type="dxa"/>
              <w:right w:w="90" w:type="dxa"/>
            </w:tcMar>
          </w:tcPr>
          <w:p w14:paraId="77A29C42">
            <w:pPr>
              <w:spacing w:before="20" w:after="20" w:line="252" w:lineRule="auto"/>
              <w:jc w:val="left"/>
            </w:pPr>
            <w:r>
              <w:rPr>
                <w:rFonts w:ascii="Calibri" w:hAnsi="Calibri" w:eastAsia="Calibri" w:cs="Calibri"/>
                <w:b/>
                <w:bCs/>
                <w:color w:val="FFFFFF"/>
                <w:sz w:val="18"/>
                <w:szCs w:val="18"/>
              </w:rPr>
              <w:t>Library</w:t>
            </w:r>
          </w:p>
        </w:tc>
        <w:tc>
          <w:tcPr>
            <w:tcW w:w="1900" w:type="dxa"/>
            <w:shd w:val="clear" w:color="auto" w:fill="1F3864"/>
            <w:tcMar>
              <w:top w:w="40" w:type="dxa"/>
              <w:left w:w="90" w:type="dxa"/>
              <w:bottom w:w="40" w:type="dxa"/>
              <w:right w:w="90" w:type="dxa"/>
            </w:tcMar>
          </w:tcPr>
          <w:p w14:paraId="4D2EAB1F">
            <w:pPr>
              <w:spacing w:before="20" w:after="20" w:line="252" w:lineRule="auto"/>
              <w:jc w:val="left"/>
            </w:pPr>
            <w:r>
              <w:rPr>
                <w:rFonts w:ascii="Calibri" w:hAnsi="Calibri" w:eastAsia="Calibri" w:cs="Calibri"/>
                <w:b/>
                <w:bCs/>
                <w:color w:val="FFFFFF"/>
                <w:sz w:val="18"/>
                <w:szCs w:val="18"/>
              </w:rPr>
              <w:t>Current</w:t>
            </w:r>
          </w:p>
        </w:tc>
        <w:tc>
          <w:tcPr>
            <w:tcW w:w="1200" w:type="dxa"/>
            <w:shd w:val="clear" w:color="auto" w:fill="1F3864"/>
            <w:tcMar>
              <w:top w:w="40" w:type="dxa"/>
              <w:left w:w="90" w:type="dxa"/>
              <w:bottom w:w="40" w:type="dxa"/>
              <w:right w:w="90" w:type="dxa"/>
            </w:tcMar>
          </w:tcPr>
          <w:p w14:paraId="7EF8C03A">
            <w:pPr>
              <w:spacing w:before="20" w:after="20" w:line="252" w:lineRule="auto"/>
              <w:jc w:val="left"/>
            </w:pPr>
            <w:r>
              <w:rPr>
                <w:rFonts w:ascii="Calibri" w:hAnsi="Calibri" w:eastAsia="Calibri" w:cs="Calibri"/>
                <w:b/>
                <w:bCs/>
                <w:color w:val="FFFFFF"/>
                <w:sz w:val="18"/>
                <w:szCs w:val="18"/>
              </w:rPr>
              <w:t>Target</w:t>
            </w:r>
          </w:p>
        </w:tc>
        <w:tc>
          <w:tcPr>
            <w:tcW w:w="3820" w:type="dxa"/>
            <w:shd w:val="clear" w:color="auto" w:fill="1F3864"/>
            <w:tcMar>
              <w:top w:w="40" w:type="dxa"/>
              <w:left w:w="90" w:type="dxa"/>
              <w:bottom w:w="40" w:type="dxa"/>
              <w:right w:w="90" w:type="dxa"/>
            </w:tcMar>
          </w:tcPr>
          <w:p w14:paraId="3326CD75">
            <w:pPr>
              <w:spacing w:before="20" w:after="20" w:line="252" w:lineRule="auto"/>
              <w:jc w:val="left"/>
            </w:pPr>
            <w:r>
              <w:rPr>
                <w:rFonts w:ascii="Calibri" w:hAnsi="Calibri" w:eastAsia="Calibri" w:cs="Calibri"/>
                <w:b/>
                <w:bCs/>
                <w:color w:val="FFFFFF"/>
                <w:sz w:val="18"/>
                <w:szCs w:val="18"/>
              </w:rPr>
              <w:t>Purpose</w:t>
            </w:r>
          </w:p>
        </w:tc>
      </w:tr>
      <w:tr w14:paraId="1C075A61">
        <w:tc>
          <w:tcPr>
            <w:tcW w:w="2100" w:type="dxa"/>
            <w:shd w:val="clear" w:color="auto" w:fill="FFFFFF"/>
            <w:tcMar>
              <w:top w:w="40" w:type="dxa"/>
              <w:left w:w="90" w:type="dxa"/>
              <w:bottom w:w="40" w:type="dxa"/>
              <w:right w:w="90" w:type="dxa"/>
            </w:tcMar>
          </w:tcPr>
          <w:p w14:paraId="60884B86">
            <w:pPr>
              <w:spacing w:before="20" w:after="20" w:line="252" w:lineRule="auto"/>
              <w:jc w:val="left"/>
            </w:pPr>
            <w:r>
              <w:rPr>
                <w:rFonts w:ascii="Calibri" w:hAnsi="Calibri" w:eastAsia="Calibri" w:cs="Calibri"/>
                <w:b/>
                <w:bCs/>
                <w:color w:val="000000"/>
                <w:sz w:val="18"/>
                <w:szCs w:val="18"/>
              </w:rPr>
              <w:t>spring-aop</w:t>
            </w:r>
          </w:p>
        </w:tc>
        <w:tc>
          <w:tcPr>
            <w:tcW w:w="1900" w:type="dxa"/>
            <w:shd w:val="clear" w:color="auto" w:fill="FFFFFF"/>
            <w:tcMar>
              <w:top w:w="40" w:type="dxa"/>
              <w:left w:w="90" w:type="dxa"/>
              <w:bottom w:w="40" w:type="dxa"/>
              <w:right w:w="90" w:type="dxa"/>
            </w:tcMar>
          </w:tcPr>
          <w:p w14:paraId="678AE306">
            <w:pPr>
              <w:spacing w:before="20" w:after="20" w:line="252" w:lineRule="auto"/>
              <w:jc w:val="left"/>
            </w:pPr>
            <w:r>
              <w:rPr>
                <w:rFonts w:ascii="Calibri" w:hAnsi="Calibri" w:eastAsia="Calibri" w:cs="Calibri"/>
                <w:b w:val="0"/>
                <w:bCs w:val="0"/>
                <w:color w:val="000000"/>
                <w:sz w:val="18"/>
                <w:szCs w:val="18"/>
              </w:rPr>
              <w:t>4.2.9.RELEASE</w:t>
            </w:r>
          </w:p>
        </w:tc>
        <w:tc>
          <w:tcPr>
            <w:tcW w:w="1200" w:type="dxa"/>
            <w:shd w:val="clear" w:color="auto" w:fill="FFFFFF"/>
            <w:tcMar>
              <w:top w:w="40" w:type="dxa"/>
              <w:left w:w="90" w:type="dxa"/>
              <w:bottom w:w="40" w:type="dxa"/>
              <w:right w:w="90" w:type="dxa"/>
            </w:tcMar>
          </w:tcPr>
          <w:p w14:paraId="76162C4D">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FFFFFF"/>
            <w:tcMar>
              <w:top w:w="40" w:type="dxa"/>
              <w:left w:w="90" w:type="dxa"/>
              <w:bottom w:w="40" w:type="dxa"/>
              <w:right w:w="90" w:type="dxa"/>
            </w:tcMar>
          </w:tcPr>
          <w:p w14:paraId="1B784FAD">
            <w:pPr>
              <w:spacing w:before="20" w:after="20" w:line="252" w:lineRule="auto"/>
              <w:jc w:val="left"/>
            </w:pPr>
            <w:r>
              <w:rPr>
                <w:rFonts w:ascii="Calibri" w:hAnsi="Calibri" w:eastAsia="Calibri" w:cs="Calibri"/>
                <w:b w:val="0"/>
                <w:bCs w:val="0"/>
                <w:color w:val="000000"/>
                <w:sz w:val="18"/>
                <w:szCs w:val="18"/>
              </w:rPr>
              <w:t>Aligned with the Spring 5.3.34 baseline.</w:t>
            </w:r>
          </w:p>
        </w:tc>
      </w:tr>
      <w:tr w14:paraId="6A0CEB3E">
        <w:tc>
          <w:tcPr>
            <w:tcW w:w="2100" w:type="dxa"/>
            <w:shd w:val="clear" w:color="auto" w:fill="FFFFFF"/>
            <w:tcMar>
              <w:top w:w="40" w:type="dxa"/>
              <w:left w:w="90" w:type="dxa"/>
              <w:bottom w:w="40" w:type="dxa"/>
              <w:right w:w="90" w:type="dxa"/>
            </w:tcMar>
          </w:tcPr>
          <w:p w14:paraId="654686D7">
            <w:pPr>
              <w:spacing w:before="20" w:after="20" w:line="252" w:lineRule="auto"/>
              <w:jc w:val="left"/>
            </w:pPr>
            <w:r>
              <w:rPr>
                <w:rFonts w:ascii="Calibri" w:hAnsi="Calibri" w:eastAsia="Calibri" w:cs="Calibri"/>
                <w:b/>
                <w:bCs/>
                <w:color w:val="000000"/>
                <w:sz w:val="18"/>
                <w:szCs w:val="18"/>
              </w:rPr>
              <w:t>spring-context</w:t>
            </w:r>
          </w:p>
        </w:tc>
        <w:tc>
          <w:tcPr>
            <w:tcW w:w="1900" w:type="dxa"/>
            <w:shd w:val="clear" w:color="auto" w:fill="FFFFFF"/>
            <w:tcMar>
              <w:top w:w="40" w:type="dxa"/>
              <w:left w:w="90" w:type="dxa"/>
              <w:bottom w:w="40" w:type="dxa"/>
              <w:right w:w="90" w:type="dxa"/>
            </w:tcMar>
          </w:tcPr>
          <w:p w14:paraId="08FD04A1">
            <w:pPr>
              <w:spacing w:before="20" w:after="20" w:line="252" w:lineRule="auto"/>
              <w:jc w:val="left"/>
            </w:pPr>
            <w:r>
              <w:rPr>
                <w:rFonts w:ascii="Calibri" w:hAnsi="Calibri" w:eastAsia="Calibri" w:cs="Calibri"/>
                <w:b w:val="0"/>
                <w:bCs w:val="0"/>
                <w:color w:val="000000"/>
                <w:sz w:val="18"/>
                <w:szCs w:val="18"/>
              </w:rPr>
              <w:t>4.2.9.RELEASE</w:t>
            </w:r>
          </w:p>
        </w:tc>
        <w:tc>
          <w:tcPr>
            <w:tcW w:w="1200" w:type="dxa"/>
            <w:shd w:val="clear" w:color="auto" w:fill="FFFFFF"/>
            <w:tcMar>
              <w:top w:w="40" w:type="dxa"/>
              <w:left w:w="90" w:type="dxa"/>
              <w:bottom w:w="40" w:type="dxa"/>
              <w:right w:w="90" w:type="dxa"/>
            </w:tcMar>
          </w:tcPr>
          <w:p w14:paraId="145B4BB0">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FFFFFF"/>
            <w:tcMar>
              <w:top w:w="40" w:type="dxa"/>
              <w:left w:w="90" w:type="dxa"/>
              <w:bottom w:w="40" w:type="dxa"/>
              <w:right w:w="90" w:type="dxa"/>
            </w:tcMar>
          </w:tcPr>
          <w:p w14:paraId="10F660BC">
            <w:pPr>
              <w:spacing w:before="20" w:after="20" w:line="252" w:lineRule="auto"/>
              <w:jc w:val="left"/>
            </w:pPr>
            <w:r>
              <w:rPr>
                <w:rFonts w:ascii="Calibri" w:hAnsi="Calibri" w:eastAsia="Calibri" w:cs="Calibri"/>
                <w:b w:val="0"/>
                <w:bCs w:val="0"/>
                <w:color w:val="000000"/>
                <w:sz w:val="18"/>
                <w:szCs w:val="18"/>
              </w:rPr>
              <w:t>Aligned with the Spring 5.3.34 baseline.</w:t>
            </w:r>
          </w:p>
        </w:tc>
      </w:tr>
      <w:tr w14:paraId="6D15C0B8">
        <w:tc>
          <w:tcPr>
            <w:tcW w:w="2100" w:type="dxa"/>
            <w:shd w:val="clear" w:color="auto" w:fill="EEF1F7"/>
            <w:tcMar>
              <w:top w:w="40" w:type="dxa"/>
              <w:left w:w="90" w:type="dxa"/>
              <w:bottom w:w="40" w:type="dxa"/>
              <w:right w:w="90" w:type="dxa"/>
            </w:tcMar>
          </w:tcPr>
          <w:p w14:paraId="3AD59C2A">
            <w:pPr>
              <w:spacing w:before="20" w:after="20" w:line="252" w:lineRule="auto"/>
              <w:jc w:val="left"/>
            </w:pPr>
            <w:r>
              <w:rPr>
                <w:rFonts w:ascii="Calibri" w:hAnsi="Calibri" w:eastAsia="Calibri" w:cs="Calibri"/>
                <w:b/>
                <w:bCs/>
                <w:color w:val="000000"/>
                <w:sz w:val="18"/>
                <w:szCs w:val="18"/>
              </w:rPr>
              <w:t>spring-expression</w:t>
            </w:r>
          </w:p>
        </w:tc>
        <w:tc>
          <w:tcPr>
            <w:tcW w:w="1900" w:type="dxa"/>
            <w:shd w:val="clear" w:color="auto" w:fill="EEF1F7"/>
            <w:tcMar>
              <w:top w:w="40" w:type="dxa"/>
              <w:left w:w="90" w:type="dxa"/>
              <w:bottom w:w="40" w:type="dxa"/>
              <w:right w:w="90" w:type="dxa"/>
            </w:tcMar>
          </w:tcPr>
          <w:p w14:paraId="760B21C6">
            <w:pPr>
              <w:spacing w:before="20" w:after="20" w:line="252" w:lineRule="auto"/>
              <w:jc w:val="left"/>
            </w:pPr>
            <w:r>
              <w:rPr>
                <w:rFonts w:ascii="Calibri" w:hAnsi="Calibri" w:eastAsia="Calibri" w:cs="Calibri"/>
                <w:b w:val="0"/>
                <w:bCs w:val="0"/>
                <w:color w:val="000000"/>
                <w:sz w:val="18"/>
                <w:szCs w:val="18"/>
              </w:rPr>
              <w:t>4.2.9.RELEASE</w:t>
            </w:r>
          </w:p>
        </w:tc>
        <w:tc>
          <w:tcPr>
            <w:tcW w:w="1200" w:type="dxa"/>
            <w:shd w:val="clear" w:color="auto" w:fill="EEF1F7"/>
            <w:tcMar>
              <w:top w:w="40" w:type="dxa"/>
              <w:left w:w="90" w:type="dxa"/>
              <w:bottom w:w="40" w:type="dxa"/>
              <w:right w:w="90" w:type="dxa"/>
            </w:tcMar>
          </w:tcPr>
          <w:p w14:paraId="704FA569">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EEF1F7"/>
            <w:tcMar>
              <w:top w:w="40" w:type="dxa"/>
              <w:left w:w="90" w:type="dxa"/>
              <w:bottom w:w="40" w:type="dxa"/>
              <w:right w:w="90" w:type="dxa"/>
            </w:tcMar>
          </w:tcPr>
          <w:p w14:paraId="7A0CE0FC">
            <w:pPr>
              <w:spacing w:before="20" w:after="20" w:line="252" w:lineRule="auto"/>
              <w:jc w:val="left"/>
            </w:pPr>
            <w:r>
              <w:rPr>
                <w:rFonts w:ascii="Calibri" w:hAnsi="Calibri" w:eastAsia="Calibri" w:cs="Calibri"/>
                <w:b w:val="0"/>
                <w:bCs w:val="0"/>
                <w:color w:val="000000"/>
                <w:sz w:val="18"/>
                <w:szCs w:val="18"/>
              </w:rPr>
              <w:t>Aligned with the Spring 5.3.34 baseline.</w:t>
            </w:r>
          </w:p>
        </w:tc>
      </w:tr>
      <w:tr w14:paraId="6E9110F8">
        <w:tc>
          <w:tcPr>
            <w:tcW w:w="2100" w:type="dxa"/>
            <w:shd w:val="clear" w:color="auto" w:fill="FFFFFF"/>
            <w:tcMar>
              <w:top w:w="40" w:type="dxa"/>
              <w:left w:w="90" w:type="dxa"/>
              <w:bottom w:w="40" w:type="dxa"/>
              <w:right w:w="90" w:type="dxa"/>
            </w:tcMar>
          </w:tcPr>
          <w:p w14:paraId="42C7B75A">
            <w:pPr>
              <w:spacing w:before="20" w:after="20" w:line="252" w:lineRule="auto"/>
              <w:jc w:val="left"/>
            </w:pPr>
            <w:r>
              <w:rPr>
                <w:rFonts w:ascii="Calibri" w:hAnsi="Calibri" w:eastAsia="Calibri" w:cs="Calibri"/>
                <w:b/>
                <w:bCs/>
                <w:color w:val="000000"/>
                <w:sz w:val="18"/>
                <w:szCs w:val="18"/>
              </w:rPr>
              <w:t>spring-tx</w:t>
            </w:r>
          </w:p>
        </w:tc>
        <w:tc>
          <w:tcPr>
            <w:tcW w:w="1900" w:type="dxa"/>
            <w:shd w:val="clear" w:color="auto" w:fill="FFFFFF"/>
            <w:tcMar>
              <w:top w:w="40" w:type="dxa"/>
              <w:left w:w="90" w:type="dxa"/>
              <w:bottom w:w="40" w:type="dxa"/>
              <w:right w:w="90" w:type="dxa"/>
            </w:tcMar>
          </w:tcPr>
          <w:p w14:paraId="2E2D6F6D">
            <w:pPr>
              <w:spacing w:before="20" w:after="20" w:line="252" w:lineRule="auto"/>
              <w:jc w:val="left"/>
            </w:pPr>
            <w:r>
              <w:rPr>
                <w:rFonts w:ascii="Calibri" w:hAnsi="Calibri" w:eastAsia="Calibri" w:cs="Calibri"/>
                <w:b w:val="0"/>
                <w:bCs w:val="0"/>
                <w:color w:val="000000"/>
                <w:sz w:val="18"/>
                <w:szCs w:val="18"/>
              </w:rPr>
              <w:t>4.2.9.RELEASE</w:t>
            </w:r>
          </w:p>
        </w:tc>
        <w:tc>
          <w:tcPr>
            <w:tcW w:w="1200" w:type="dxa"/>
            <w:shd w:val="clear" w:color="auto" w:fill="FFFFFF"/>
            <w:tcMar>
              <w:top w:w="40" w:type="dxa"/>
              <w:left w:w="90" w:type="dxa"/>
              <w:bottom w:w="40" w:type="dxa"/>
              <w:right w:w="90" w:type="dxa"/>
            </w:tcMar>
          </w:tcPr>
          <w:p w14:paraId="62A66074">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FFFFFF"/>
            <w:tcMar>
              <w:top w:w="40" w:type="dxa"/>
              <w:left w:w="90" w:type="dxa"/>
              <w:bottom w:w="40" w:type="dxa"/>
              <w:right w:w="90" w:type="dxa"/>
            </w:tcMar>
          </w:tcPr>
          <w:p w14:paraId="1A27878D">
            <w:pPr>
              <w:spacing w:before="20" w:after="20" w:line="252" w:lineRule="auto"/>
              <w:jc w:val="left"/>
            </w:pPr>
            <w:r>
              <w:rPr>
                <w:rFonts w:ascii="Calibri" w:hAnsi="Calibri" w:eastAsia="Calibri" w:cs="Calibri"/>
                <w:b w:val="0"/>
                <w:bCs w:val="0"/>
                <w:color w:val="000000"/>
                <w:sz w:val="18"/>
                <w:szCs w:val="18"/>
              </w:rPr>
              <w:t>Aligned with the Spring 5.3.34 baseline.</w:t>
            </w:r>
          </w:p>
        </w:tc>
      </w:tr>
      <w:tr w14:paraId="1BB7236B">
        <w:tc>
          <w:tcPr>
            <w:tcW w:w="2100" w:type="dxa"/>
            <w:shd w:val="clear" w:color="auto" w:fill="EEF1F7"/>
            <w:tcMar>
              <w:top w:w="40" w:type="dxa"/>
              <w:left w:w="90" w:type="dxa"/>
              <w:bottom w:w="40" w:type="dxa"/>
              <w:right w:w="90" w:type="dxa"/>
            </w:tcMar>
          </w:tcPr>
          <w:p w14:paraId="415FB5D7">
            <w:pPr>
              <w:spacing w:before="20" w:after="20" w:line="252" w:lineRule="auto"/>
              <w:jc w:val="left"/>
            </w:pPr>
            <w:r>
              <w:rPr>
                <w:rFonts w:ascii="Calibri" w:hAnsi="Calibri" w:eastAsia="Calibri" w:cs="Calibri"/>
                <w:b/>
                <w:bCs/>
                <w:color w:val="000000"/>
                <w:sz w:val="18"/>
                <w:szCs w:val="18"/>
              </w:rPr>
              <w:t>spring-oxm</w:t>
            </w:r>
          </w:p>
        </w:tc>
        <w:tc>
          <w:tcPr>
            <w:tcW w:w="1900" w:type="dxa"/>
            <w:shd w:val="clear" w:color="auto" w:fill="EEF1F7"/>
            <w:tcMar>
              <w:top w:w="40" w:type="dxa"/>
              <w:left w:w="90" w:type="dxa"/>
              <w:bottom w:w="40" w:type="dxa"/>
              <w:right w:w="90" w:type="dxa"/>
            </w:tcMar>
          </w:tcPr>
          <w:p w14:paraId="7A00EC62">
            <w:pPr>
              <w:spacing w:before="20" w:after="20" w:line="252" w:lineRule="auto"/>
              <w:jc w:val="left"/>
            </w:pPr>
            <w:r>
              <w:rPr>
                <w:rFonts w:ascii="Calibri" w:hAnsi="Calibri" w:eastAsia="Calibri" w:cs="Calibri"/>
                <w:b w:val="0"/>
                <w:bCs w:val="0"/>
                <w:color w:val="000000"/>
                <w:sz w:val="18"/>
                <w:szCs w:val="18"/>
              </w:rPr>
              <w:t>4.3.1.RELEASE</w:t>
            </w:r>
          </w:p>
        </w:tc>
        <w:tc>
          <w:tcPr>
            <w:tcW w:w="1200" w:type="dxa"/>
            <w:shd w:val="clear" w:color="auto" w:fill="EEF1F7"/>
            <w:tcMar>
              <w:top w:w="40" w:type="dxa"/>
              <w:left w:w="90" w:type="dxa"/>
              <w:bottom w:w="40" w:type="dxa"/>
              <w:right w:w="90" w:type="dxa"/>
            </w:tcMar>
          </w:tcPr>
          <w:p w14:paraId="4B4295EF">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EEF1F7"/>
            <w:tcMar>
              <w:top w:w="40" w:type="dxa"/>
              <w:left w:w="90" w:type="dxa"/>
              <w:bottom w:w="40" w:type="dxa"/>
              <w:right w:w="90" w:type="dxa"/>
            </w:tcMar>
          </w:tcPr>
          <w:p w14:paraId="7162BEBA">
            <w:pPr>
              <w:spacing w:before="20" w:after="20" w:line="252" w:lineRule="auto"/>
              <w:jc w:val="left"/>
            </w:pPr>
            <w:r>
              <w:rPr>
                <w:rFonts w:ascii="Calibri" w:hAnsi="Calibri" w:eastAsia="Calibri" w:cs="Calibri"/>
                <w:b w:val="0"/>
                <w:bCs w:val="0"/>
                <w:color w:val="000000"/>
                <w:sz w:val="18"/>
                <w:szCs w:val="18"/>
              </w:rPr>
              <w:t>Aligned with the Spring 5.3.34 baseline.</w:t>
            </w:r>
          </w:p>
        </w:tc>
      </w:tr>
      <w:tr w14:paraId="19C60F5C">
        <w:tc>
          <w:tcPr>
            <w:tcW w:w="2100" w:type="dxa"/>
            <w:shd w:val="clear" w:color="auto" w:fill="FFFFFF"/>
            <w:tcMar>
              <w:top w:w="40" w:type="dxa"/>
              <w:left w:w="90" w:type="dxa"/>
              <w:bottom w:w="40" w:type="dxa"/>
              <w:right w:w="90" w:type="dxa"/>
            </w:tcMar>
          </w:tcPr>
          <w:p w14:paraId="76BBE91D">
            <w:pPr>
              <w:spacing w:before="20" w:after="20" w:line="252" w:lineRule="auto"/>
              <w:jc w:val="left"/>
            </w:pPr>
            <w:r>
              <w:rPr>
                <w:rFonts w:ascii="Calibri" w:hAnsi="Calibri" w:eastAsia="Calibri" w:cs="Calibri"/>
                <w:b/>
                <w:bCs/>
                <w:color w:val="000000"/>
                <w:sz w:val="18"/>
                <w:szCs w:val="18"/>
              </w:rPr>
              <w:t>spring-jcl</w:t>
            </w:r>
          </w:p>
        </w:tc>
        <w:tc>
          <w:tcPr>
            <w:tcW w:w="1900" w:type="dxa"/>
            <w:shd w:val="clear" w:color="auto" w:fill="FFFFFF"/>
            <w:tcMar>
              <w:top w:w="40" w:type="dxa"/>
              <w:left w:w="90" w:type="dxa"/>
              <w:bottom w:w="40" w:type="dxa"/>
              <w:right w:w="90" w:type="dxa"/>
            </w:tcMar>
          </w:tcPr>
          <w:p w14:paraId="092A6679">
            <w:pPr>
              <w:spacing w:before="20" w:after="20" w:line="252" w:lineRule="auto"/>
              <w:jc w:val="left"/>
            </w:pPr>
            <w:r>
              <w:rPr>
                <w:rFonts w:ascii="Calibri" w:hAnsi="Calibri" w:eastAsia="Calibri" w:cs="Calibri"/>
                <w:b w:val="0"/>
                <w:bCs w:val="0"/>
                <w:color w:val="000000"/>
                <w:sz w:val="18"/>
                <w:szCs w:val="18"/>
              </w:rPr>
              <w:t>Not present</w:t>
            </w:r>
          </w:p>
        </w:tc>
        <w:tc>
          <w:tcPr>
            <w:tcW w:w="1200" w:type="dxa"/>
            <w:shd w:val="clear" w:color="auto" w:fill="FFFFFF"/>
            <w:tcMar>
              <w:top w:w="40" w:type="dxa"/>
              <w:left w:w="90" w:type="dxa"/>
              <w:bottom w:w="40" w:type="dxa"/>
              <w:right w:w="90" w:type="dxa"/>
            </w:tcMar>
          </w:tcPr>
          <w:p w14:paraId="6739FCFB">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FFFFFF"/>
            <w:tcMar>
              <w:top w:w="40" w:type="dxa"/>
              <w:left w:w="90" w:type="dxa"/>
              <w:bottom w:w="40" w:type="dxa"/>
              <w:right w:w="90" w:type="dxa"/>
            </w:tcMar>
          </w:tcPr>
          <w:p w14:paraId="4DBAF408">
            <w:pPr>
              <w:spacing w:before="20" w:after="20" w:line="252" w:lineRule="auto"/>
              <w:jc w:val="left"/>
            </w:pPr>
            <w:r>
              <w:rPr>
                <w:rFonts w:ascii="Calibri" w:hAnsi="Calibri" w:eastAsia="Calibri" w:cs="Calibri"/>
                <w:b w:val="0"/>
                <w:bCs w:val="0"/>
                <w:color w:val="000000"/>
                <w:sz w:val="18"/>
                <w:szCs w:val="18"/>
              </w:rPr>
              <w:t>Newly introduced in the SG baseline. spring-jcl replaces the commons-logging bridge in the Spring 5.x line.</w:t>
            </w:r>
          </w:p>
        </w:tc>
      </w:tr>
      <w:tr w14:paraId="3C7FEDF6">
        <w:tc>
          <w:tcPr>
            <w:tcW w:w="2100" w:type="dxa"/>
            <w:shd w:val="clear" w:color="auto" w:fill="EEF1F7"/>
            <w:tcMar>
              <w:top w:w="40" w:type="dxa"/>
              <w:left w:w="90" w:type="dxa"/>
              <w:bottom w:w="40" w:type="dxa"/>
              <w:right w:w="90" w:type="dxa"/>
            </w:tcMar>
          </w:tcPr>
          <w:p w14:paraId="28B7625E">
            <w:pPr>
              <w:spacing w:before="20" w:after="20" w:line="252" w:lineRule="auto"/>
              <w:jc w:val="left"/>
            </w:pPr>
            <w:r>
              <w:rPr>
                <w:rFonts w:ascii="Calibri" w:hAnsi="Calibri" w:eastAsia="Calibri" w:cs="Calibri"/>
                <w:b/>
                <w:bCs/>
                <w:color w:val="000000"/>
                <w:sz w:val="18"/>
                <w:szCs w:val="18"/>
              </w:rPr>
              <w:t>aspectjrt</w:t>
            </w:r>
          </w:p>
        </w:tc>
        <w:tc>
          <w:tcPr>
            <w:tcW w:w="1900" w:type="dxa"/>
            <w:shd w:val="clear" w:color="auto" w:fill="EEF1F7"/>
            <w:tcMar>
              <w:top w:w="40" w:type="dxa"/>
              <w:left w:w="90" w:type="dxa"/>
              <w:bottom w:w="40" w:type="dxa"/>
              <w:right w:w="90" w:type="dxa"/>
            </w:tcMar>
          </w:tcPr>
          <w:p w14:paraId="2992C1D9">
            <w:pPr>
              <w:spacing w:before="20" w:after="20" w:line="252" w:lineRule="auto"/>
              <w:jc w:val="left"/>
            </w:pPr>
            <w:r>
              <w:rPr>
                <w:rFonts w:ascii="Calibri" w:hAnsi="Calibri" w:eastAsia="Calibri" w:cs="Calibri"/>
                <w:b w:val="0"/>
                <w:bCs w:val="0"/>
                <w:color w:val="000000"/>
                <w:sz w:val="18"/>
                <w:szCs w:val="18"/>
              </w:rPr>
              <w:t>1.8.6</w:t>
            </w:r>
          </w:p>
        </w:tc>
        <w:tc>
          <w:tcPr>
            <w:tcW w:w="1200" w:type="dxa"/>
            <w:shd w:val="clear" w:color="auto" w:fill="EEF1F7"/>
            <w:tcMar>
              <w:top w:w="40" w:type="dxa"/>
              <w:left w:w="90" w:type="dxa"/>
              <w:bottom w:w="40" w:type="dxa"/>
              <w:right w:w="90" w:type="dxa"/>
            </w:tcMar>
          </w:tcPr>
          <w:p w14:paraId="60AD3AE4">
            <w:pPr>
              <w:spacing w:before="20" w:after="20" w:line="252" w:lineRule="auto"/>
              <w:jc w:val="left"/>
            </w:pPr>
            <w:r>
              <w:rPr>
                <w:rFonts w:ascii="Calibri" w:hAnsi="Calibri" w:eastAsia="Calibri" w:cs="Calibri"/>
                <w:b w:val="0"/>
                <w:bCs w:val="0"/>
                <w:color w:val="000000"/>
                <w:sz w:val="18"/>
                <w:szCs w:val="18"/>
              </w:rPr>
              <w:t>1.9.22</w:t>
            </w:r>
          </w:p>
        </w:tc>
        <w:tc>
          <w:tcPr>
            <w:tcW w:w="3820" w:type="dxa"/>
            <w:shd w:val="clear" w:color="auto" w:fill="EEF1F7"/>
            <w:tcMar>
              <w:top w:w="40" w:type="dxa"/>
              <w:left w:w="90" w:type="dxa"/>
              <w:bottom w:w="40" w:type="dxa"/>
              <w:right w:w="90" w:type="dxa"/>
            </w:tcMar>
          </w:tcPr>
          <w:p w14:paraId="0DCBCFC9">
            <w:pPr>
              <w:spacing w:before="20" w:after="20" w:line="252" w:lineRule="auto"/>
              <w:jc w:val="left"/>
            </w:pPr>
            <w:r>
              <w:rPr>
                <w:rFonts w:ascii="Calibri" w:hAnsi="Calibri" w:eastAsia="Calibri" w:cs="Calibri"/>
                <w:b w:val="0"/>
                <w:bCs w:val="0"/>
                <w:color w:val="000000"/>
                <w:sz w:val="18"/>
                <w:szCs w:val="18"/>
              </w:rPr>
              <w:t>AspectJ runtime aligned with the Spring 5.3.34 baseline.</w:t>
            </w:r>
          </w:p>
        </w:tc>
      </w:tr>
      <w:tr w14:paraId="00EFE4ED">
        <w:tc>
          <w:tcPr>
            <w:tcW w:w="2100" w:type="dxa"/>
            <w:shd w:val="clear" w:color="auto" w:fill="FFFFFF"/>
            <w:tcMar>
              <w:top w:w="40" w:type="dxa"/>
              <w:left w:w="90" w:type="dxa"/>
              <w:bottom w:w="40" w:type="dxa"/>
              <w:right w:w="90" w:type="dxa"/>
            </w:tcMar>
          </w:tcPr>
          <w:p w14:paraId="2AC67E41">
            <w:pPr>
              <w:spacing w:before="20" w:after="20" w:line="252" w:lineRule="auto"/>
              <w:jc w:val="left"/>
            </w:pPr>
            <w:r>
              <w:rPr>
                <w:rFonts w:ascii="Calibri" w:hAnsi="Calibri" w:eastAsia="Calibri" w:cs="Calibri"/>
                <w:b/>
                <w:bCs/>
                <w:color w:val="000000"/>
                <w:sz w:val="18"/>
                <w:szCs w:val="18"/>
              </w:rPr>
              <w:t>aspectjtools</w:t>
            </w:r>
          </w:p>
        </w:tc>
        <w:tc>
          <w:tcPr>
            <w:tcW w:w="1900" w:type="dxa"/>
            <w:shd w:val="clear" w:color="auto" w:fill="FFFFFF"/>
            <w:tcMar>
              <w:top w:w="40" w:type="dxa"/>
              <w:left w:w="90" w:type="dxa"/>
              <w:bottom w:w="40" w:type="dxa"/>
              <w:right w:w="90" w:type="dxa"/>
            </w:tcMar>
          </w:tcPr>
          <w:p w14:paraId="662924F9">
            <w:pPr>
              <w:spacing w:before="20" w:after="20" w:line="252" w:lineRule="auto"/>
              <w:jc w:val="left"/>
            </w:pPr>
            <w:r>
              <w:rPr>
                <w:rFonts w:ascii="Calibri" w:hAnsi="Calibri" w:eastAsia="Calibri" w:cs="Calibri"/>
                <w:b w:val="0"/>
                <w:bCs w:val="0"/>
                <w:color w:val="000000"/>
                <w:sz w:val="18"/>
                <w:szCs w:val="18"/>
              </w:rPr>
              <w:t>1.8.6</w:t>
            </w:r>
          </w:p>
        </w:tc>
        <w:tc>
          <w:tcPr>
            <w:tcW w:w="1200" w:type="dxa"/>
            <w:shd w:val="clear" w:color="auto" w:fill="FFFFFF"/>
            <w:tcMar>
              <w:top w:w="40" w:type="dxa"/>
              <w:left w:w="90" w:type="dxa"/>
              <w:bottom w:w="40" w:type="dxa"/>
              <w:right w:w="90" w:type="dxa"/>
            </w:tcMar>
          </w:tcPr>
          <w:p w14:paraId="12D0D97B">
            <w:pPr>
              <w:spacing w:before="20" w:after="20" w:line="252" w:lineRule="auto"/>
              <w:jc w:val="left"/>
            </w:pPr>
            <w:r>
              <w:rPr>
                <w:rFonts w:ascii="Calibri" w:hAnsi="Calibri" w:eastAsia="Calibri" w:cs="Calibri"/>
                <w:b w:val="0"/>
                <w:bCs w:val="0"/>
                <w:color w:val="000000"/>
                <w:sz w:val="18"/>
                <w:szCs w:val="18"/>
              </w:rPr>
              <w:t>1.9.22</w:t>
            </w:r>
          </w:p>
        </w:tc>
        <w:tc>
          <w:tcPr>
            <w:tcW w:w="3820" w:type="dxa"/>
            <w:shd w:val="clear" w:color="auto" w:fill="FFFFFF"/>
            <w:tcMar>
              <w:top w:w="40" w:type="dxa"/>
              <w:left w:w="90" w:type="dxa"/>
              <w:bottom w:w="40" w:type="dxa"/>
              <w:right w:w="90" w:type="dxa"/>
            </w:tcMar>
          </w:tcPr>
          <w:p w14:paraId="4129F698">
            <w:pPr>
              <w:spacing w:before="20" w:after="20" w:line="252" w:lineRule="auto"/>
              <w:jc w:val="left"/>
            </w:pPr>
            <w:r>
              <w:rPr>
                <w:rFonts w:ascii="Calibri" w:hAnsi="Calibri" w:eastAsia="Calibri" w:cs="Calibri"/>
                <w:b w:val="0"/>
                <w:bCs w:val="0"/>
                <w:color w:val="000000"/>
                <w:sz w:val="18"/>
                <w:szCs w:val="18"/>
              </w:rPr>
              <w:t>AspectJ tools aligned with the Spring 5.3.34 baseline.</w:t>
            </w:r>
          </w:p>
        </w:tc>
      </w:tr>
    </w:tbl>
    <w:p w14:paraId="005C8020">
      <w:pPr>
        <w:spacing w:after="120"/>
      </w:pPr>
    </w:p>
    <w:p w14:paraId="3E8E7199">
      <w:pPr>
        <w:pStyle w:val="3"/>
        <w:spacing w:before="180" w:after="90"/>
      </w:pPr>
      <w:r>
        <w:rPr>
          <w:rFonts w:ascii="Calibri" w:hAnsi="Calibri" w:eastAsia="Calibri" w:cs="Calibri"/>
          <w:b/>
          <w:bCs/>
          <w:color w:val="1F3864"/>
          <w:sz w:val="22"/>
          <w:szCs w:val="22"/>
        </w:rPr>
        <w:t>5.5  spring-webmvc-portlet — Separate Line</w:t>
      </w:r>
    </w:p>
    <w:p w14:paraId="2711B55B">
      <w:pPr>
        <w:spacing w:after="120" w:line="264" w:lineRule="auto"/>
        <w:jc w:val="both"/>
      </w:pPr>
      <w:r>
        <w:rPr>
          <w:rFonts w:ascii="Calibri" w:hAnsi="Calibri" w:eastAsia="Calibri" w:cs="Calibri"/>
          <w:b w:val="0"/>
          <w:bCs w:val="0"/>
          <w:i w:val="0"/>
          <w:iCs w:val="0"/>
          <w:color w:val="000000"/>
          <w:sz w:val="20"/>
          <w:szCs w:val="20"/>
        </w:rPr>
        <w:t>The spring-webmvc-portlet module was discontinued in the Spring 5.x line; the last available version is 4.3.30.RELEASE. For SG this module is upgraded on the 4.3.x line rather than moved to the 5.3.34 baseline.</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095"/>
        <w:gridCol w:w="1898"/>
        <w:gridCol w:w="1518"/>
        <w:gridCol w:w="3509"/>
      </w:tblGrid>
      <w:tr w14:paraId="4E6F0173">
        <w:trPr>
          <w:tblHeader/>
        </w:trPr>
        <w:tc>
          <w:tcPr>
            <w:tcW w:w="2100" w:type="dxa"/>
            <w:shd w:val="clear" w:color="auto" w:fill="1F3864"/>
            <w:tcMar>
              <w:top w:w="40" w:type="dxa"/>
              <w:left w:w="90" w:type="dxa"/>
              <w:bottom w:w="40" w:type="dxa"/>
              <w:right w:w="90" w:type="dxa"/>
            </w:tcMar>
          </w:tcPr>
          <w:p w14:paraId="16C7CAE8">
            <w:pPr>
              <w:spacing w:before="20" w:after="20" w:line="252" w:lineRule="auto"/>
              <w:jc w:val="left"/>
            </w:pPr>
            <w:r>
              <w:rPr>
                <w:rFonts w:ascii="Calibri" w:hAnsi="Calibri" w:eastAsia="Calibri" w:cs="Calibri"/>
                <w:b/>
                <w:bCs/>
                <w:color w:val="FFFFFF"/>
                <w:sz w:val="18"/>
                <w:szCs w:val="18"/>
              </w:rPr>
              <w:t>Library</w:t>
            </w:r>
          </w:p>
        </w:tc>
        <w:tc>
          <w:tcPr>
            <w:tcW w:w="1900" w:type="dxa"/>
            <w:shd w:val="clear" w:color="auto" w:fill="1F3864"/>
            <w:tcMar>
              <w:top w:w="40" w:type="dxa"/>
              <w:left w:w="90" w:type="dxa"/>
              <w:bottom w:w="40" w:type="dxa"/>
              <w:right w:w="90" w:type="dxa"/>
            </w:tcMar>
          </w:tcPr>
          <w:p w14:paraId="7A385E2D">
            <w:pPr>
              <w:spacing w:before="20" w:after="20" w:line="252" w:lineRule="auto"/>
              <w:jc w:val="left"/>
            </w:pPr>
            <w:r>
              <w:rPr>
                <w:rFonts w:ascii="Calibri" w:hAnsi="Calibri" w:eastAsia="Calibri" w:cs="Calibri"/>
                <w:b/>
                <w:bCs/>
                <w:color w:val="FFFFFF"/>
                <w:sz w:val="18"/>
                <w:szCs w:val="18"/>
              </w:rPr>
              <w:t>Current</w:t>
            </w:r>
          </w:p>
        </w:tc>
        <w:tc>
          <w:tcPr>
            <w:tcW w:w="1500" w:type="dxa"/>
            <w:shd w:val="clear" w:color="auto" w:fill="1F3864"/>
            <w:tcMar>
              <w:top w:w="40" w:type="dxa"/>
              <w:left w:w="90" w:type="dxa"/>
              <w:bottom w:w="40" w:type="dxa"/>
              <w:right w:w="90" w:type="dxa"/>
            </w:tcMar>
          </w:tcPr>
          <w:p w14:paraId="2193F2BD">
            <w:pPr>
              <w:spacing w:before="20" w:after="20" w:line="252" w:lineRule="auto"/>
              <w:jc w:val="left"/>
            </w:pPr>
            <w:r>
              <w:rPr>
                <w:rFonts w:ascii="Calibri" w:hAnsi="Calibri" w:eastAsia="Calibri" w:cs="Calibri"/>
                <w:b/>
                <w:bCs/>
                <w:color w:val="FFFFFF"/>
                <w:sz w:val="18"/>
                <w:szCs w:val="18"/>
              </w:rPr>
              <w:t>Target</w:t>
            </w:r>
          </w:p>
        </w:tc>
        <w:tc>
          <w:tcPr>
            <w:tcW w:w="3520" w:type="dxa"/>
            <w:shd w:val="clear" w:color="auto" w:fill="1F3864"/>
            <w:tcMar>
              <w:top w:w="40" w:type="dxa"/>
              <w:left w:w="90" w:type="dxa"/>
              <w:bottom w:w="40" w:type="dxa"/>
              <w:right w:w="90" w:type="dxa"/>
            </w:tcMar>
          </w:tcPr>
          <w:p w14:paraId="3C092B1C">
            <w:pPr>
              <w:spacing w:before="20" w:after="20" w:line="252" w:lineRule="auto"/>
              <w:jc w:val="left"/>
            </w:pPr>
            <w:r>
              <w:rPr>
                <w:rFonts w:ascii="Calibri" w:hAnsi="Calibri" w:eastAsia="Calibri" w:cs="Calibri"/>
                <w:b/>
                <w:bCs/>
                <w:color w:val="FFFFFF"/>
                <w:sz w:val="18"/>
                <w:szCs w:val="18"/>
              </w:rPr>
              <w:t>Note</w:t>
            </w:r>
          </w:p>
        </w:tc>
      </w:tr>
      <w:tr w14:paraId="07F83AAB">
        <w:tc>
          <w:tcPr>
            <w:tcW w:w="2100" w:type="dxa"/>
            <w:shd w:val="clear" w:color="auto" w:fill="FFFFFF"/>
            <w:tcMar>
              <w:top w:w="40" w:type="dxa"/>
              <w:left w:w="90" w:type="dxa"/>
              <w:bottom w:w="40" w:type="dxa"/>
              <w:right w:w="90" w:type="dxa"/>
            </w:tcMar>
          </w:tcPr>
          <w:p w14:paraId="31C80255">
            <w:pPr>
              <w:spacing w:before="20" w:after="20" w:line="252" w:lineRule="auto"/>
              <w:jc w:val="left"/>
            </w:pPr>
            <w:r>
              <w:rPr>
                <w:rFonts w:ascii="Calibri" w:hAnsi="Calibri" w:eastAsia="Calibri" w:cs="Calibri"/>
                <w:b/>
                <w:bCs/>
                <w:color w:val="000000"/>
                <w:sz w:val="18"/>
                <w:szCs w:val="18"/>
              </w:rPr>
              <w:t>spring-webmvc-portlet</w:t>
            </w:r>
          </w:p>
        </w:tc>
        <w:tc>
          <w:tcPr>
            <w:tcW w:w="1900" w:type="dxa"/>
            <w:shd w:val="clear" w:color="auto" w:fill="FFFFFF"/>
            <w:tcMar>
              <w:top w:w="40" w:type="dxa"/>
              <w:left w:w="90" w:type="dxa"/>
              <w:bottom w:w="40" w:type="dxa"/>
              <w:right w:w="90" w:type="dxa"/>
            </w:tcMar>
          </w:tcPr>
          <w:p w14:paraId="521E63BA">
            <w:pPr>
              <w:spacing w:before="20" w:after="20" w:line="252" w:lineRule="auto"/>
              <w:jc w:val="left"/>
            </w:pPr>
            <w:r>
              <w:rPr>
                <w:rFonts w:ascii="Calibri" w:hAnsi="Calibri" w:eastAsia="Calibri" w:cs="Calibri"/>
                <w:b w:val="0"/>
                <w:bCs w:val="0"/>
                <w:color w:val="000000"/>
                <w:sz w:val="18"/>
                <w:szCs w:val="18"/>
              </w:rPr>
              <w:t>4.2.9.RELEASE</w:t>
            </w:r>
          </w:p>
        </w:tc>
        <w:tc>
          <w:tcPr>
            <w:tcW w:w="1500" w:type="dxa"/>
            <w:shd w:val="clear" w:color="auto" w:fill="FFFFFF"/>
            <w:tcMar>
              <w:top w:w="40" w:type="dxa"/>
              <w:left w:w="90" w:type="dxa"/>
              <w:bottom w:w="40" w:type="dxa"/>
              <w:right w:w="90" w:type="dxa"/>
            </w:tcMar>
          </w:tcPr>
          <w:p w14:paraId="7190F695">
            <w:pPr>
              <w:spacing w:before="20" w:after="20" w:line="252" w:lineRule="auto"/>
              <w:jc w:val="left"/>
            </w:pPr>
            <w:r>
              <w:rPr>
                <w:rFonts w:ascii="Calibri" w:hAnsi="Calibri" w:eastAsia="Calibri" w:cs="Calibri"/>
                <w:b w:val="0"/>
                <w:bCs w:val="0"/>
                <w:color w:val="000000"/>
                <w:sz w:val="18"/>
                <w:szCs w:val="18"/>
              </w:rPr>
              <w:t>4.3.30.RELEASE</w:t>
            </w:r>
          </w:p>
        </w:tc>
        <w:tc>
          <w:tcPr>
            <w:tcW w:w="3520" w:type="dxa"/>
            <w:shd w:val="clear" w:color="auto" w:fill="FFFFFF"/>
            <w:tcMar>
              <w:top w:w="40" w:type="dxa"/>
              <w:left w:w="90" w:type="dxa"/>
              <w:bottom w:w="40" w:type="dxa"/>
              <w:right w:w="90" w:type="dxa"/>
            </w:tcMar>
          </w:tcPr>
          <w:p w14:paraId="58D21248">
            <w:pPr>
              <w:spacing w:before="20" w:after="20" w:line="252" w:lineRule="auto"/>
              <w:jc w:val="left"/>
            </w:pPr>
            <w:r>
              <w:rPr>
                <w:rFonts w:ascii="Calibri" w:hAnsi="Calibri" w:eastAsia="Calibri" w:cs="Calibri"/>
                <w:b w:val="0"/>
                <w:bCs w:val="0"/>
                <w:color w:val="000000"/>
                <w:sz w:val="18"/>
                <w:szCs w:val="18"/>
              </w:rPr>
              <w:t>Held on the 4.3.x line as the module is not available beyond it. Closes the CVEs flagged against the 4.2.9 baseline within the available upgrade envelope. Runtime position clarified in Section 5.6.</w:t>
            </w:r>
          </w:p>
        </w:tc>
      </w:tr>
    </w:tbl>
    <w:p w14:paraId="2F1F3EF5">
      <w:pPr>
        <w:spacing w:after="120"/>
      </w:pPr>
    </w:p>
    <w:p w14:paraId="6F19A766">
      <w:pPr>
        <w:pStyle w:val="3"/>
        <w:spacing w:before="180" w:after="90"/>
      </w:pPr>
      <w:r>
        <w:rPr>
          <w:rFonts w:ascii="Calibri" w:hAnsi="Calibri" w:eastAsia="Calibri" w:cs="Calibri"/>
          <w:b/>
          <w:bCs/>
          <w:color w:val="1F3864"/>
          <w:sz w:val="22"/>
          <w:szCs w:val="22"/>
        </w:rPr>
        <w:t>5.6  Code and Configuration Impact</w:t>
      </w:r>
    </w:p>
    <w:p w14:paraId="3F831C63">
      <w:pPr>
        <w:spacing w:after="120" w:line="264" w:lineRule="auto"/>
        <w:jc w:val="both"/>
      </w:pPr>
      <w:r>
        <w:rPr>
          <w:rFonts w:ascii="Calibri" w:hAnsi="Calibri" w:eastAsia="Calibri" w:cs="Calibri"/>
          <w:b w:val="0"/>
          <w:bCs w:val="0"/>
          <w:i w:val="0"/>
          <w:iCs w:val="0"/>
          <w:color w:val="000000"/>
          <w:sz w:val="20"/>
          <w:szCs w:val="20"/>
        </w:rPr>
        <w:t>The 4.2.9 → 5.3.34 move is a major version migration requiring code adjustments in the SG Portal codebase. Areas of impact include API surface changes in spring-web (URL parsing, request handling), bean-wiring pattern updates where legacy XML or annotation styles have been superseded, and the transition from commons-logging to spring-jcl for the internal logging bridge.</w:t>
      </w:r>
    </w:p>
    <w:p w14:paraId="371C9B05">
      <w:pPr>
        <w:spacing w:after="120" w:line="264" w:lineRule="auto"/>
        <w:jc w:val="both"/>
      </w:pPr>
      <w:r>
        <w:rPr>
          <w:rFonts w:ascii="Calibri" w:hAnsi="Calibri" w:eastAsia="Calibri" w:cs="Calibri"/>
          <w:b/>
          <w:bCs/>
          <w:i w:val="0"/>
          <w:iCs w:val="0"/>
          <w:color w:val="000000"/>
          <w:sz w:val="20"/>
          <w:szCs w:val="20"/>
        </w:rPr>
        <w:t xml:space="preserve">spring-webmvc-portlet is retained at 4.3.30.RELEASE for classpath completeness but is not invoked on the SG Portal runtime path. </w:t>
      </w:r>
      <w:r>
        <w:rPr>
          <w:rFonts w:ascii="Calibri" w:hAnsi="Calibri" w:eastAsia="Calibri" w:cs="Calibri"/>
          <w:b w:val="0"/>
          <w:bCs w:val="0"/>
          <w:i w:val="0"/>
          <w:iCs w:val="0"/>
          <w:color w:val="000000"/>
          <w:sz w:val="20"/>
          <w:szCs w:val="20"/>
        </w:rPr>
        <w:t>Source review confirms GEB does not reference the Spring Portlet MVC framework (org.springframework.web.portlet.*, including DispatcherPortlet and the portlet handler-mapping classes); the Portal's portlet layer is provided by Turbine / Jetspeed, not Spring. The mixed-version position — spring-webmvc-portlet on 4.3.30 alongside the 5.3.34 core — therefore carries no runtime linkage exposure, as the 4.3.30 module remains present-but-unused rather than resolved against the 5.3.34 APIs at runtime.</w:t>
      </w:r>
    </w:p>
    <w:p w14:paraId="24AFC5F8">
      <w:pPr>
        <w:spacing w:after="120" w:line="264" w:lineRule="auto"/>
        <w:jc w:val="both"/>
      </w:pPr>
      <w:r>
        <w:rPr>
          <w:rFonts w:ascii="Calibri" w:hAnsi="Calibri" w:eastAsia="Calibri" w:cs="Calibri"/>
          <w:b w:val="0"/>
          <w:bCs w:val="0"/>
          <w:i w:val="0"/>
          <w:iCs w:val="0"/>
          <w:color w:val="000000"/>
          <w:sz w:val="20"/>
          <w:szCs w:val="20"/>
        </w:rPr>
        <w:t>Configuration changes are limited to the Spring context bootstrap (XML or Java configuration classes), the log4j2 configuration file (as part of the log4j 1.x → 2.x transition covered in Section 4.3), and dependency version alignment in the build files. No changes to application-level business configuration are intended.</w:t>
      </w:r>
    </w:p>
    <w:p w14:paraId="04E5BF8D">
      <w:pPr>
        <w:pageBreakBefore/>
      </w:pPr>
    </w:p>
    <w:p w14:paraId="2910DD58">
      <w:pPr>
        <w:pStyle w:val="2"/>
        <w:spacing w:before="260" w:after="120"/>
      </w:pPr>
      <w:r>
        <w:rPr>
          <w:rFonts w:ascii="Calibri" w:hAnsi="Calibri" w:eastAsia="Calibri" w:cs="Calibri"/>
          <w:b/>
          <w:bCs/>
          <w:color w:val="1F3864"/>
          <w:sz w:val="26"/>
          <w:szCs w:val="26"/>
        </w:rPr>
        <w:t>6.  Non-Spring Companion Dependency Changes</w:t>
      </w:r>
    </w:p>
    <w:p w14:paraId="766EDD0C">
      <w:pPr>
        <w:spacing w:after="120" w:line="264" w:lineRule="auto"/>
        <w:jc w:val="both"/>
      </w:pPr>
      <w:r>
        <w:rPr>
          <w:rFonts w:ascii="Calibri" w:hAnsi="Calibri" w:eastAsia="Calibri" w:cs="Calibri"/>
          <w:b w:val="0"/>
          <w:bCs w:val="0"/>
          <w:i w:val="0"/>
          <w:iCs w:val="0"/>
          <w:color w:val="000000"/>
          <w:sz w:val="20"/>
          <w:szCs w:val="20"/>
        </w:rPr>
        <w:t>This section captures the companion library changes accompanying the upgrades in Sections 4.2 and 4.3. Spring internal libraries and AspectJ are covered in Section 5.4.</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100"/>
        <w:gridCol w:w="1300"/>
        <w:gridCol w:w="1300"/>
        <w:gridCol w:w="4320"/>
      </w:tblGrid>
      <w:tr w14:paraId="5AD8D876">
        <w:trPr>
          <w:tblHeader/>
        </w:trPr>
        <w:tc>
          <w:tcPr>
            <w:tcW w:w="2100" w:type="dxa"/>
            <w:shd w:val="clear" w:color="auto" w:fill="1F3864"/>
            <w:tcMar>
              <w:top w:w="40" w:type="dxa"/>
              <w:left w:w="90" w:type="dxa"/>
              <w:bottom w:w="40" w:type="dxa"/>
              <w:right w:w="90" w:type="dxa"/>
            </w:tcMar>
          </w:tcPr>
          <w:p w14:paraId="1EEE9510">
            <w:pPr>
              <w:spacing w:before="20" w:after="20" w:line="252" w:lineRule="auto"/>
              <w:jc w:val="left"/>
            </w:pPr>
            <w:r>
              <w:rPr>
                <w:rFonts w:ascii="Calibri" w:hAnsi="Calibri" w:eastAsia="Calibri" w:cs="Calibri"/>
                <w:b/>
                <w:bCs/>
                <w:color w:val="FFFFFF"/>
                <w:sz w:val="18"/>
                <w:szCs w:val="18"/>
              </w:rPr>
              <w:t>Library</w:t>
            </w:r>
          </w:p>
        </w:tc>
        <w:tc>
          <w:tcPr>
            <w:tcW w:w="1300" w:type="dxa"/>
            <w:shd w:val="clear" w:color="auto" w:fill="1F3864"/>
            <w:tcMar>
              <w:top w:w="40" w:type="dxa"/>
              <w:left w:w="90" w:type="dxa"/>
              <w:bottom w:w="40" w:type="dxa"/>
              <w:right w:w="90" w:type="dxa"/>
            </w:tcMar>
          </w:tcPr>
          <w:p w14:paraId="3EF12189">
            <w:pPr>
              <w:spacing w:before="20" w:after="20" w:line="252" w:lineRule="auto"/>
              <w:jc w:val="left"/>
            </w:pPr>
            <w:r>
              <w:rPr>
                <w:rFonts w:ascii="Calibri" w:hAnsi="Calibri" w:eastAsia="Calibri" w:cs="Calibri"/>
                <w:b/>
                <w:bCs/>
                <w:color w:val="FFFFFF"/>
                <w:sz w:val="18"/>
                <w:szCs w:val="18"/>
              </w:rPr>
              <w:t>Current</w:t>
            </w:r>
          </w:p>
        </w:tc>
        <w:tc>
          <w:tcPr>
            <w:tcW w:w="1300" w:type="dxa"/>
            <w:shd w:val="clear" w:color="auto" w:fill="1F3864"/>
            <w:tcMar>
              <w:top w:w="40" w:type="dxa"/>
              <w:left w:w="90" w:type="dxa"/>
              <w:bottom w:w="40" w:type="dxa"/>
              <w:right w:w="90" w:type="dxa"/>
            </w:tcMar>
          </w:tcPr>
          <w:p w14:paraId="4E188C97">
            <w:pPr>
              <w:spacing w:before="20" w:after="20" w:line="252" w:lineRule="auto"/>
              <w:jc w:val="left"/>
            </w:pPr>
            <w:r>
              <w:rPr>
                <w:rFonts w:ascii="Calibri" w:hAnsi="Calibri" w:eastAsia="Calibri" w:cs="Calibri"/>
                <w:b/>
                <w:bCs/>
                <w:color w:val="FFFFFF"/>
                <w:sz w:val="18"/>
                <w:szCs w:val="18"/>
              </w:rPr>
              <w:t>Target</w:t>
            </w:r>
          </w:p>
        </w:tc>
        <w:tc>
          <w:tcPr>
            <w:tcW w:w="4320" w:type="dxa"/>
            <w:shd w:val="clear" w:color="auto" w:fill="1F3864"/>
            <w:tcMar>
              <w:top w:w="40" w:type="dxa"/>
              <w:left w:w="90" w:type="dxa"/>
              <w:bottom w:w="40" w:type="dxa"/>
              <w:right w:w="90" w:type="dxa"/>
            </w:tcMar>
          </w:tcPr>
          <w:p w14:paraId="2E97AA94">
            <w:pPr>
              <w:spacing w:before="20" w:after="20" w:line="252" w:lineRule="auto"/>
              <w:jc w:val="left"/>
            </w:pPr>
            <w:r>
              <w:rPr>
                <w:rFonts w:ascii="Calibri" w:hAnsi="Calibri" w:eastAsia="Calibri" w:cs="Calibri"/>
                <w:b/>
                <w:bCs/>
                <w:color w:val="FFFFFF"/>
                <w:sz w:val="18"/>
                <w:szCs w:val="18"/>
              </w:rPr>
              <w:t>Aligned With</w:t>
            </w:r>
          </w:p>
        </w:tc>
      </w:tr>
      <w:tr w14:paraId="210DDBA4">
        <w:tc>
          <w:tcPr>
            <w:tcW w:w="2100" w:type="dxa"/>
            <w:shd w:val="clear" w:color="auto" w:fill="FFFFFF"/>
            <w:tcMar>
              <w:top w:w="40" w:type="dxa"/>
              <w:left w:w="90" w:type="dxa"/>
              <w:bottom w:w="40" w:type="dxa"/>
              <w:right w:w="90" w:type="dxa"/>
            </w:tcMar>
          </w:tcPr>
          <w:p w14:paraId="334C05F8">
            <w:pPr>
              <w:spacing w:before="20" w:after="20" w:line="252" w:lineRule="auto"/>
              <w:jc w:val="left"/>
            </w:pPr>
            <w:r>
              <w:rPr>
                <w:rFonts w:ascii="Calibri" w:hAnsi="Calibri" w:eastAsia="Calibri" w:cs="Calibri"/>
                <w:b/>
                <w:bCs/>
                <w:color w:val="000000"/>
                <w:sz w:val="18"/>
                <w:szCs w:val="18"/>
              </w:rPr>
              <w:t>log4j-api</w:t>
            </w:r>
          </w:p>
        </w:tc>
        <w:tc>
          <w:tcPr>
            <w:tcW w:w="1300" w:type="dxa"/>
            <w:shd w:val="clear" w:color="auto" w:fill="FFFFFF"/>
            <w:tcMar>
              <w:top w:w="40" w:type="dxa"/>
              <w:left w:w="90" w:type="dxa"/>
              <w:bottom w:w="40" w:type="dxa"/>
              <w:right w:w="90" w:type="dxa"/>
            </w:tcMar>
          </w:tcPr>
          <w:p w14:paraId="5D61B112">
            <w:pPr>
              <w:spacing w:before="20" w:after="20" w:line="252" w:lineRule="auto"/>
              <w:jc w:val="left"/>
            </w:pPr>
            <w:r>
              <w:rPr>
                <w:rFonts w:ascii="Calibri" w:hAnsi="Calibri" w:eastAsia="Calibri" w:cs="Calibri"/>
                <w:b w:val="0"/>
                <w:bCs w:val="0"/>
                <w:color w:val="000000"/>
                <w:sz w:val="18"/>
                <w:szCs w:val="18"/>
              </w:rPr>
              <w:t>Not present</w:t>
            </w:r>
          </w:p>
        </w:tc>
        <w:tc>
          <w:tcPr>
            <w:tcW w:w="1300" w:type="dxa"/>
            <w:shd w:val="clear" w:color="auto" w:fill="FFFFFF"/>
            <w:tcMar>
              <w:top w:w="40" w:type="dxa"/>
              <w:left w:w="90" w:type="dxa"/>
              <w:bottom w:w="40" w:type="dxa"/>
              <w:right w:w="90" w:type="dxa"/>
            </w:tcMar>
          </w:tcPr>
          <w:p w14:paraId="3C9BDA0D">
            <w:pPr>
              <w:spacing w:before="20" w:after="20" w:line="252" w:lineRule="auto"/>
              <w:jc w:val="left"/>
            </w:pPr>
            <w:r>
              <w:rPr>
                <w:rFonts w:ascii="Calibri" w:hAnsi="Calibri" w:eastAsia="Calibri" w:cs="Calibri"/>
                <w:b w:val="0"/>
                <w:bCs w:val="0"/>
                <w:color w:val="000000"/>
                <w:sz w:val="18"/>
                <w:szCs w:val="18"/>
              </w:rPr>
              <w:t>2.19.0</w:t>
            </w:r>
          </w:p>
        </w:tc>
        <w:tc>
          <w:tcPr>
            <w:tcW w:w="4320" w:type="dxa"/>
            <w:shd w:val="clear" w:color="auto" w:fill="FFFFFF"/>
            <w:tcMar>
              <w:top w:w="40" w:type="dxa"/>
              <w:left w:w="90" w:type="dxa"/>
              <w:bottom w:w="40" w:type="dxa"/>
              <w:right w:w="90" w:type="dxa"/>
            </w:tcMar>
          </w:tcPr>
          <w:p w14:paraId="14A4CA58">
            <w:pPr>
              <w:spacing w:before="20" w:after="20" w:line="252" w:lineRule="auto"/>
              <w:jc w:val="left"/>
            </w:pPr>
            <w:r>
              <w:rPr>
                <w:rFonts w:ascii="Calibri" w:hAnsi="Calibri" w:eastAsia="Calibri" w:cs="Calibri"/>
                <w:b w:val="0"/>
                <w:bCs w:val="0"/>
                <w:color w:val="000000"/>
                <w:sz w:val="18"/>
                <w:szCs w:val="18"/>
              </w:rPr>
              <w:t>Companion API surface for log4j-core 2.19.0. Introduced as part of the log4j 1.x → 2.x transition.</w:t>
            </w:r>
          </w:p>
        </w:tc>
      </w:tr>
      <w:tr w14:paraId="47C47E36">
        <w:tc>
          <w:tcPr>
            <w:tcW w:w="2100" w:type="dxa"/>
            <w:shd w:val="clear" w:color="auto" w:fill="EEF1F7"/>
            <w:tcMar>
              <w:top w:w="40" w:type="dxa"/>
              <w:left w:w="90" w:type="dxa"/>
              <w:bottom w:w="40" w:type="dxa"/>
              <w:right w:w="90" w:type="dxa"/>
            </w:tcMar>
          </w:tcPr>
          <w:p w14:paraId="523484A4">
            <w:pPr>
              <w:spacing w:before="20" w:after="20" w:line="252" w:lineRule="auto"/>
              <w:jc w:val="left"/>
            </w:pPr>
            <w:r>
              <w:rPr>
                <w:rFonts w:ascii="Calibri" w:hAnsi="Calibri" w:eastAsia="Calibri" w:cs="Calibri"/>
                <w:b/>
                <w:bCs/>
                <w:color w:val="000000"/>
                <w:sz w:val="18"/>
                <w:szCs w:val="18"/>
              </w:rPr>
              <w:t>log4j-jcl</w:t>
            </w:r>
          </w:p>
        </w:tc>
        <w:tc>
          <w:tcPr>
            <w:tcW w:w="1300" w:type="dxa"/>
            <w:shd w:val="clear" w:color="auto" w:fill="EEF1F7"/>
            <w:tcMar>
              <w:top w:w="40" w:type="dxa"/>
              <w:left w:w="90" w:type="dxa"/>
              <w:bottom w:w="40" w:type="dxa"/>
              <w:right w:w="90" w:type="dxa"/>
            </w:tcMar>
          </w:tcPr>
          <w:p w14:paraId="64424006">
            <w:pPr>
              <w:spacing w:before="20" w:after="20" w:line="252" w:lineRule="auto"/>
              <w:jc w:val="left"/>
            </w:pPr>
            <w:r>
              <w:rPr>
                <w:rFonts w:ascii="Calibri" w:hAnsi="Calibri" w:eastAsia="Calibri" w:cs="Calibri"/>
                <w:b w:val="0"/>
                <w:bCs w:val="0"/>
                <w:color w:val="000000"/>
                <w:sz w:val="18"/>
                <w:szCs w:val="18"/>
              </w:rPr>
              <w:t>Not present</w:t>
            </w:r>
          </w:p>
        </w:tc>
        <w:tc>
          <w:tcPr>
            <w:tcW w:w="1300" w:type="dxa"/>
            <w:shd w:val="clear" w:color="auto" w:fill="EEF1F7"/>
            <w:tcMar>
              <w:top w:w="40" w:type="dxa"/>
              <w:left w:w="90" w:type="dxa"/>
              <w:bottom w:w="40" w:type="dxa"/>
              <w:right w:w="90" w:type="dxa"/>
            </w:tcMar>
          </w:tcPr>
          <w:p w14:paraId="6861DE92">
            <w:pPr>
              <w:spacing w:before="20" w:after="20" w:line="252" w:lineRule="auto"/>
              <w:jc w:val="left"/>
            </w:pPr>
            <w:r>
              <w:rPr>
                <w:rFonts w:ascii="Calibri" w:hAnsi="Calibri" w:eastAsia="Calibri" w:cs="Calibri"/>
                <w:b w:val="0"/>
                <w:bCs w:val="0"/>
                <w:color w:val="000000"/>
                <w:sz w:val="18"/>
                <w:szCs w:val="18"/>
              </w:rPr>
              <w:t>2.19.0</w:t>
            </w:r>
          </w:p>
        </w:tc>
        <w:tc>
          <w:tcPr>
            <w:tcW w:w="4320" w:type="dxa"/>
            <w:shd w:val="clear" w:color="auto" w:fill="EEF1F7"/>
            <w:tcMar>
              <w:top w:w="40" w:type="dxa"/>
              <w:left w:w="90" w:type="dxa"/>
              <w:bottom w:w="40" w:type="dxa"/>
              <w:right w:w="90" w:type="dxa"/>
            </w:tcMar>
          </w:tcPr>
          <w:p w14:paraId="0E56EB5D">
            <w:pPr>
              <w:spacing w:before="20" w:after="20" w:line="252" w:lineRule="auto"/>
              <w:jc w:val="left"/>
            </w:pPr>
            <w:r>
              <w:rPr>
                <w:rFonts w:ascii="Calibri" w:hAnsi="Calibri" w:eastAsia="Calibri" w:cs="Calibri"/>
                <w:b w:val="0"/>
                <w:bCs w:val="0"/>
                <w:color w:val="000000"/>
                <w:sz w:val="18"/>
                <w:szCs w:val="18"/>
              </w:rPr>
              <w:t>Commons-logging bridge for log4j-core 2.19.0. Introduced as part of the log4j 1.x → 2.x transition.</w:t>
            </w:r>
          </w:p>
        </w:tc>
      </w:tr>
      <w:tr w14:paraId="5315AF27">
        <w:tc>
          <w:tcPr>
            <w:tcW w:w="2100" w:type="dxa"/>
            <w:shd w:val="clear" w:color="auto" w:fill="FFFFFF"/>
            <w:tcMar>
              <w:top w:w="40" w:type="dxa"/>
              <w:left w:w="90" w:type="dxa"/>
              <w:bottom w:w="40" w:type="dxa"/>
              <w:right w:w="90" w:type="dxa"/>
            </w:tcMar>
          </w:tcPr>
          <w:p w14:paraId="1E5F2F14">
            <w:pPr>
              <w:spacing w:before="20" w:after="20" w:line="252" w:lineRule="auto"/>
              <w:jc w:val="left"/>
            </w:pPr>
            <w:r>
              <w:rPr>
                <w:rFonts w:ascii="Calibri" w:hAnsi="Calibri" w:eastAsia="Calibri" w:cs="Calibri"/>
                <w:b/>
                <w:bCs/>
                <w:color w:val="000000"/>
                <w:sz w:val="18"/>
                <w:szCs w:val="18"/>
              </w:rPr>
              <w:t>log4j-slf4j-impl</w:t>
            </w:r>
          </w:p>
        </w:tc>
        <w:tc>
          <w:tcPr>
            <w:tcW w:w="1300" w:type="dxa"/>
            <w:shd w:val="clear" w:color="auto" w:fill="FFFFFF"/>
            <w:tcMar>
              <w:top w:w="40" w:type="dxa"/>
              <w:left w:w="90" w:type="dxa"/>
              <w:bottom w:w="40" w:type="dxa"/>
              <w:right w:w="90" w:type="dxa"/>
            </w:tcMar>
          </w:tcPr>
          <w:p w14:paraId="457D1B15">
            <w:pPr>
              <w:spacing w:before="20" w:after="20" w:line="252" w:lineRule="auto"/>
              <w:jc w:val="left"/>
            </w:pPr>
            <w:r>
              <w:rPr>
                <w:rFonts w:ascii="Calibri" w:hAnsi="Calibri" w:eastAsia="Calibri" w:cs="Calibri"/>
                <w:b w:val="0"/>
                <w:bCs w:val="0"/>
                <w:color w:val="000000"/>
                <w:sz w:val="18"/>
                <w:szCs w:val="18"/>
              </w:rPr>
              <w:t>Not present</w:t>
            </w:r>
          </w:p>
        </w:tc>
        <w:tc>
          <w:tcPr>
            <w:tcW w:w="1300" w:type="dxa"/>
            <w:shd w:val="clear" w:color="auto" w:fill="FFFFFF"/>
            <w:tcMar>
              <w:top w:w="40" w:type="dxa"/>
              <w:left w:w="90" w:type="dxa"/>
              <w:bottom w:w="40" w:type="dxa"/>
              <w:right w:w="90" w:type="dxa"/>
            </w:tcMar>
          </w:tcPr>
          <w:p w14:paraId="033FE13E">
            <w:pPr>
              <w:spacing w:before="20" w:after="20" w:line="252" w:lineRule="auto"/>
              <w:jc w:val="left"/>
            </w:pPr>
            <w:r>
              <w:rPr>
                <w:rFonts w:ascii="Calibri" w:hAnsi="Calibri" w:eastAsia="Calibri" w:cs="Calibri"/>
                <w:b w:val="0"/>
                <w:bCs w:val="0"/>
                <w:color w:val="000000"/>
                <w:sz w:val="18"/>
                <w:szCs w:val="18"/>
              </w:rPr>
              <w:t>2.19.0</w:t>
            </w:r>
          </w:p>
        </w:tc>
        <w:tc>
          <w:tcPr>
            <w:tcW w:w="4320" w:type="dxa"/>
            <w:shd w:val="clear" w:color="auto" w:fill="FFFFFF"/>
            <w:tcMar>
              <w:top w:w="40" w:type="dxa"/>
              <w:left w:w="90" w:type="dxa"/>
              <w:bottom w:w="40" w:type="dxa"/>
              <w:right w:w="90" w:type="dxa"/>
            </w:tcMar>
          </w:tcPr>
          <w:p w14:paraId="27376C6B">
            <w:pPr>
              <w:spacing w:before="20" w:after="20" w:line="252" w:lineRule="auto"/>
              <w:jc w:val="left"/>
            </w:pPr>
            <w:r>
              <w:rPr>
                <w:rFonts w:ascii="Calibri" w:hAnsi="Calibri" w:eastAsia="Calibri" w:cs="Calibri"/>
                <w:b w:val="0"/>
                <w:bCs w:val="0"/>
                <w:color w:val="000000"/>
                <w:sz w:val="18"/>
                <w:szCs w:val="18"/>
              </w:rPr>
              <w:t>SLF4J bridge for log4j-core 2.19.0. Introduced as part of the log4j 1.x → 2.x transition.</w:t>
            </w:r>
          </w:p>
        </w:tc>
      </w:tr>
      <w:tr w14:paraId="398072BC">
        <w:tc>
          <w:tcPr>
            <w:tcW w:w="2100" w:type="dxa"/>
            <w:shd w:val="clear" w:color="auto" w:fill="EEF1F7"/>
            <w:tcMar>
              <w:top w:w="40" w:type="dxa"/>
              <w:left w:w="90" w:type="dxa"/>
              <w:bottom w:w="40" w:type="dxa"/>
              <w:right w:w="90" w:type="dxa"/>
            </w:tcMar>
          </w:tcPr>
          <w:p w14:paraId="566BC1CC">
            <w:pPr>
              <w:spacing w:before="20" w:after="20" w:line="252" w:lineRule="auto"/>
              <w:jc w:val="left"/>
            </w:pPr>
            <w:r>
              <w:rPr>
                <w:rFonts w:ascii="Calibri" w:hAnsi="Calibri" w:eastAsia="Calibri" w:cs="Calibri"/>
                <w:b/>
                <w:bCs/>
                <w:color w:val="000000"/>
                <w:sz w:val="18"/>
                <w:szCs w:val="18"/>
              </w:rPr>
              <w:t>disruptor</w:t>
            </w:r>
          </w:p>
        </w:tc>
        <w:tc>
          <w:tcPr>
            <w:tcW w:w="1300" w:type="dxa"/>
            <w:shd w:val="clear" w:color="auto" w:fill="EEF1F7"/>
            <w:tcMar>
              <w:top w:w="40" w:type="dxa"/>
              <w:left w:w="90" w:type="dxa"/>
              <w:bottom w:w="40" w:type="dxa"/>
              <w:right w:w="90" w:type="dxa"/>
            </w:tcMar>
          </w:tcPr>
          <w:p w14:paraId="67123F4A">
            <w:pPr>
              <w:spacing w:before="20" w:after="20" w:line="252" w:lineRule="auto"/>
              <w:jc w:val="left"/>
            </w:pPr>
            <w:r>
              <w:rPr>
                <w:rFonts w:ascii="Calibri" w:hAnsi="Calibri" w:eastAsia="Calibri" w:cs="Calibri"/>
                <w:b w:val="0"/>
                <w:bCs w:val="0"/>
                <w:color w:val="000000"/>
                <w:sz w:val="18"/>
                <w:szCs w:val="18"/>
              </w:rPr>
              <w:t>Not present</w:t>
            </w:r>
          </w:p>
        </w:tc>
        <w:tc>
          <w:tcPr>
            <w:tcW w:w="1300" w:type="dxa"/>
            <w:shd w:val="clear" w:color="auto" w:fill="EEF1F7"/>
            <w:tcMar>
              <w:top w:w="40" w:type="dxa"/>
              <w:left w:w="90" w:type="dxa"/>
              <w:bottom w:w="40" w:type="dxa"/>
              <w:right w:w="90" w:type="dxa"/>
            </w:tcMar>
          </w:tcPr>
          <w:p w14:paraId="7C1CC93D">
            <w:pPr>
              <w:spacing w:before="20" w:after="20" w:line="252" w:lineRule="auto"/>
              <w:jc w:val="left"/>
            </w:pPr>
            <w:r>
              <w:rPr>
                <w:rFonts w:ascii="Calibri" w:hAnsi="Calibri" w:eastAsia="Calibri" w:cs="Calibri"/>
                <w:b w:val="0"/>
                <w:bCs w:val="0"/>
                <w:color w:val="000000"/>
                <w:sz w:val="18"/>
                <w:szCs w:val="18"/>
              </w:rPr>
              <w:t>3.4.4</w:t>
            </w:r>
          </w:p>
        </w:tc>
        <w:tc>
          <w:tcPr>
            <w:tcW w:w="4320" w:type="dxa"/>
            <w:shd w:val="clear" w:color="auto" w:fill="EEF1F7"/>
            <w:tcMar>
              <w:top w:w="40" w:type="dxa"/>
              <w:left w:w="90" w:type="dxa"/>
              <w:bottom w:w="40" w:type="dxa"/>
              <w:right w:w="90" w:type="dxa"/>
            </w:tcMar>
          </w:tcPr>
          <w:p w14:paraId="3CBF1636">
            <w:pPr>
              <w:spacing w:before="20" w:after="20" w:line="252" w:lineRule="auto"/>
              <w:jc w:val="left"/>
            </w:pPr>
            <w:r>
              <w:rPr>
                <w:rFonts w:ascii="Calibri" w:hAnsi="Calibri" w:eastAsia="Calibri" w:cs="Calibri"/>
                <w:b w:val="0"/>
                <w:bCs w:val="0"/>
                <w:color w:val="000000"/>
                <w:sz w:val="18"/>
                <w:szCs w:val="18"/>
              </w:rPr>
              <w:t>Async logger backing library for log4j-core 2.x. Introduced if the SG Portal log4j2 configuration enables async loggers.</w:t>
            </w:r>
          </w:p>
        </w:tc>
      </w:tr>
      <w:tr w14:paraId="413C2769">
        <w:tc>
          <w:tcPr>
            <w:tcW w:w="2100" w:type="dxa"/>
            <w:shd w:val="clear" w:color="auto" w:fill="FFFFFF"/>
            <w:tcMar>
              <w:top w:w="40" w:type="dxa"/>
              <w:left w:w="90" w:type="dxa"/>
              <w:bottom w:w="40" w:type="dxa"/>
              <w:right w:w="90" w:type="dxa"/>
            </w:tcMar>
          </w:tcPr>
          <w:p w14:paraId="211C7975">
            <w:pPr>
              <w:spacing w:before="20" w:after="20" w:line="252" w:lineRule="auto"/>
              <w:jc w:val="left"/>
            </w:pPr>
            <w:r>
              <w:rPr>
                <w:rFonts w:ascii="Calibri" w:hAnsi="Calibri" w:eastAsia="Calibri" w:cs="Calibri"/>
                <w:b/>
                <w:bCs/>
                <w:color w:val="000000"/>
                <w:sz w:val="18"/>
                <w:szCs w:val="18"/>
              </w:rPr>
              <w:t>failureaccess</w:t>
            </w:r>
          </w:p>
        </w:tc>
        <w:tc>
          <w:tcPr>
            <w:tcW w:w="1300" w:type="dxa"/>
            <w:shd w:val="clear" w:color="auto" w:fill="FFFFFF"/>
            <w:tcMar>
              <w:top w:w="40" w:type="dxa"/>
              <w:left w:w="90" w:type="dxa"/>
              <w:bottom w:w="40" w:type="dxa"/>
              <w:right w:w="90" w:type="dxa"/>
            </w:tcMar>
          </w:tcPr>
          <w:p w14:paraId="1FBDFE99">
            <w:pPr>
              <w:spacing w:before="20" w:after="20" w:line="252" w:lineRule="auto"/>
              <w:jc w:val="left"/>
            </w:pPr>
            <w:r>
              <w:rPr>
                <w:rFonts w:ascii="Calibri" w:hAnsi="Calibri" w:eastAsia="Calibri" w:cs="Calibri"/>
                <w:b w:val="0"/>
                <w:bCs w:val="0"/>
                <w:color w:val="000000"/>
                <w:sz w:val="18"/>
                <w:szCs w:val="18"/>
              </w:rPr>
              <w:t>Not present</w:t>
            </w:r>
          </w:p>
        </w:tc>
        <w:tc>
          <w:tcPr>
            <w:tcW w:w="1300" w:type="dxa"/>
            <w:shd w:val="clear" w:color="auto" w:fill="FFFFFF"/>
            <w:tcMar>
              <w:top w:w="40" w:type="dxa"/>
              <w:left w:w="90" w:type="dxa"/>
              <w:bottom w:w="40" w:type="dxa"/>
              <w:right w:w="90" w:type="dxa"/>
            </w:tcMar>
          </w:tcPr>
          <w:p w14:paraId="2397202C">
            <w:pPr>
              <w:spacing w:before="20" w:after="20" w:line="252" w:lineRule="auto"/>
              <w:jc w:val="left"/>
            </w:pPr>
            <w:r>
              <w:rPr>
                <w:rFonts w:ascii="Calibri" w:hAnsi="Calibri" w:eastAsia="Calibri" w:cs="Calibri"/>
                <w:b w:val="0"/>
                <w:bCs w:val="0"/>
                <w:color w:val="000000"/>
                <w:sz w:val="18"/>
                <w:szCs w:val="18"/>
              </w:rPr>
              <w:t>1.0.1</w:t>
            </w:r>
          </w:p>
        </w:tc>
        <w:tc>
          <w:tcPr>
            <w:tcW w:w="4320" w:type="dxa"/>
            <w:shd w:val="clear" w:color="auto" w:fill="FFFFFF"/>
            <w:tcMar>
              <w:top w:w="40" w:type="dxa"/>
              <w:left w:w="90" w:type="dxa"/>
              <w:bottom w:w="40" w:type="dxa"/>
              <w:right w:w="90" w:type="dxa"/>
            </w:tcMar>
          </w:tcPr>
          <w:p w14:paraId="06E75B14">
            <w:pPr>
              <w:spacing w:before="20" w:after="20" w:line="252" w:lineRule="auto"/>
              <w:jc w:val="left"/>
            </w:pPr>
            <w:r>
              <w:rPr>
                <w:rFonts w:ascii="Calibri" w:hAnsi="Calibri" w:eastAsia="Calibri" w:cs="Calibri"/>
                <w:b w:val="0"/>
                <w:bCs w:val="0"/>
                <w:color w:val="000000"/>
                <w:sz w:val="18"/>
                <w:szCs w:val="18"/>
              </w:rPr>
              <w:t>Required runtime helper for guava 32.0.1-jre. Newly introduced.</w:t>
            </w:r>
          </w:p>
        </w:tc>
      </w:tr>
      <w:tr w14:paraId="7D04A519">
        <w:tc>
          <w:tcPr>
            <w:tcW w:w="2100" w:type="dxa"/>
            <w:shd w:val="clear" w:color="auto" w:fill="EEF1F7"/>
            <w:tcMar>
              <w:top w:w="40" w:type="dxa"/>
              <w:left w:w="90" w:type="dxa"/>
              <w:bottom w:w="40" w:type="dxa"/>
              <w:right w:w="90" w:type="dxa"/>
            </w:tcMar>
          </w:tcPr>
          <w:p w14:paraId="69C797F2">
            <w:pPr>
              <w:spacing w:before="20" w:after="20" w:line="252" w:lineRule="auto"/>
              <w:jc w:val="left"/>
            </w:pPr>
            <w:r>
              <w:rPr>
                <w:rFonts w:ascii="Calibri" w:hAnsi="Calibri" w:eastAsia="Calibri" w:cs="Calibri"/>
                <w:b/>
                <w:bCs/>
                <w:color w:val="000000"/>
                <w:sz w:val="18"/>
                <w:szCs w:val="18"/>
              </w:rPr>
              <w:t>json-smart</w:t>
            </w:r>
          </w:p>
        </w:tc>
        <w:tc>
          <w:tcPr>
            <w:tcW w:w="1300" w:type="dxa"/>
            <w:shd w:val="clear" w:color="auto" w:fill="EEF1F7"/>
            <w:tcMar>
              <w:top w:w="40" w:type="dxa"/>
              <w:left w:w="90" w:type="dxa"/>
              <w:bottom w:w="40" w:type="dxa"/>
              <w:right w:w="90" w:type="dxa"/>
            </w:tcMar>
          </w:tcPr>
          <w:p w14:paraId="7725EA7C">
            <w:pPr>
              <w:spacing w:before="20" w:after="20" w:line="252" w:lineRule="auto"/>
              <w:jc w:val="left"/>
            </w:pPr>
            <w:r>
              <w:rPr>
                <w:rFonts w:ascii="Calibri" w:hAnsi="Calibri" w:eastAsia="Calibri" w:cs="Calibri"/>
                <w:b w:val="0"/>
                <w:bCs w:val="0"/>
                <w:color w:val="000000"/>
                <w:sz w:val="18"/>
                <w:szCs w:val="18"/>
              </w:rPr>
              <w:t>1.3.1</w:t>
            </w:r>
          </w:p>
        </w:tc>
        <w:tc>
          <w:tcPr>
            <w:tcW w:w="1300" w:type="dxa"/>
            <w:shd w:val="clear" w:color="auto" w:fill="EEF1F7"/>
            <w:tcMar>
              <w:top w:w="40" w:type="dxa"/>
              <w:left w:w="90" w:type="dxa"/>
              <w:bottom w:w="40" w:type="dxa"/>
              <w:right w:w="90" w:type="dxa"/>
            </w:tcMar>
          </w:tcPr>
          <w:p w14:paraId="56C70A05">
            <w:pPr>
              <w:spacing w:before="20" w:after="20" w:line="252" w:lineRule="auto"/>
              <w:jc w:val="left"/>
            </w:pPr>
            <w:r>
              <w:rPr>
                <w:rFonts w:ascii="Calibri" w:hAnsi="Calibri" w:eastAsia="Calibri" w:cs="Calibri"/>
                <w:b w:val="0"/>
                <w:bCs w:val="0"/>
                <w:color w:val="000000"/>
                <w:sz w:val="18"/>
                <w:szCs w:val="18"/>
              </w:rPr>
              <w:t>2.5.0</w:t>
            </w:r>
          </w:p>
        </w:tc>
        <w:tc>
          <w:tcPr>
            <w:tcW w:w="4320" w:type="dxa"/>
            <w:shd w:val="clear" w:color="auto" w:fill="EEF1F7"/>
            <w:tcMar>
              <w:top w:w="40" w:type="dxa"/>
              <w:left w:w="90" w:type="dxa"/>
              <w:bottom w:w="40" w:type="dxa"/>
              <w:right w:w="90" w:type="dxa"/>
            </w:tcMar>
          </w:tcPr>
          <w:p w14:paraId="3246CF8B">
            <w:pPr>
              <w:spacing w:before="20" w:after="20" w:line="252" w:lineRule="auto"/>
              <w:jc w:val="left"/>
            </w:pPr>
            <w:r>
              <w:rPr>
                <w:rFonts w:ascii="Calibri" w:hAnsi="Calibri" w:eastAsia="Calibri" w:cs="Calibri"/>
                <w:b w:val="0"/>
                <w:bCs w:val="0"/>
                <w:color w:val="000000"/>
                <w:sz w:val="18"/>
                <w:szCs w:val="18"/>
              </w:rPr>
              <w:t>Declared dependency of nimbus-jose-jwt 9.37.4.</w:t>
            </w:r>
          </w:p>
        </w:tc>
      </w:tr>
      <w:tr w14:paraId="195C551A">
        <w:tc>
          <w:tcPr>
            <w:tcW w:w="2100" w:type="dxa"/>
            <w:shd w:val="clear" w:color="auto" w:fill="FFFFFF"/>
            <w:tcMar>
              <w:top w:w="40" w:type="dxa"/>
              <w:left w:w="90" w:type="dxa"/>
              <w:bottom w:w="40" w:type="dxa"/>
              <w:right w:w="90" w:type="dxa"/>
            </w:tcMar>
          </w:tcPr>
          <w:p w14:paraId="0B5B9C06">
            <w:pPr>
              <w:spacing w:before="20" w:after="20" w:line="252" w:lineRule="auto"/>
              <w:jc w:val="left"/>
            </w:pPr>
            <w:r>
              <w:rPr>
                <w:rFonts w:ascii="Calibri" w:hAnsi="Calibri" w:eastAsia="Calibri" w:cs="Calibri"/>
                <w:b/>
                <w:bCs/>
                <w:color w:val="000000"/>
                <w:sz w:val="18"/>
                <w:szCs w:val="18"/>
              </w:rPr>
              <w:t>accessors-smart</w:t>
            </w:r>
          </w:p>
        </w:tc>
        <w:tc>
          <w:tcPr>
            <w:tcW w:w="1300" w:type="dxa"/>
            <w:shd w:val="clear" w:color="auto" w:fill="FFFFFF"/>
            <w:tcMar>
              <w:top w:w="40" w:type="dxa"/>
              <w:left w:w="90" w:type="dxa"/>
              <w:bottom w:w="40" w:type="dxa"/>
              <w:right w:w="90" w:type="dxa"/>
            </w:tcMar>
          </w:tcPr>
          <w:p w14:paraId="1FEE88EE">
            <w:pPr>
              <w:spacing w:before="20" w:after="20" w:line="252" w:lineRule="auto"/>
              <w:jc w:val="left"/>
            </w:pPr>
            <w:r>
              <w:rPr>
                <w:rFonts w:ascii="Calibri" w:hAnsi="Calibri" w:eastAsia="Calibri" w:cs="Calibri"/>
                <w:b w:val="0"/>
                <w:bCs w:val="0"/>
                <w:color w:val="000000"/>
                <w:sz w:val="18"/>
                <w:szCs w:val="18"/>
              </w:rPr>
              <w:t>Not present</w:t>
            </w:r>
          </w:p>
        </w:tc>
        <w:tc>
          <w:tcPr>
            <w:tcW w:w="1300" w:type="dxa"/>
            <w:shd w:val="clear" w:color="auto" w:fill="FFFFFF"/>
            <w:tcMar>
              <w:top w:w="40" w:type="dxa"/>
              <w:left w:w="90" w:type="dxa"/>
              <w:bottom w:w="40" w:type="dxa"/>
              <w:right w:w="90" w:type="dxa"/>
            </w:tcMar>
          </w:tcPr>
          <w:p w14:paraId="583B2E5B">
            <w:pPr>
              <w:spacing w:before="20" w:after="20" w:line="252" w:lineRule="auto"/>
              <w:jc w:val="left"/>
            </w:pPr>
            <w:r>
              <w:rPr>
                <w:rFonts w:ascii="Calibri" w:hAnsi="Calibri" w:eastAsia="Calibri" w:cs="Calibri"/>
                <w:b w:val="0"/>
                <w:bCs w:val="0"/>
                <w:color w:val="000000"/>
                <w:sz w:val="18"/>
                <w:szCs w:val="18"/>
              </w:rPr>
              <w:t>2.5.0</w:t>
            </w:r>
          </w:p>
        </w:tc>
        <w:tc>
          <w:tcPr>
            <w:tcW w:w="4320" w:type="dxa"/>
            <w:shd w:val="clear" w:color="auto" w:fill="FFFFFF"/>
            <w:tcMar>
              <w:top w:w="40" w:type="dxa"/>
              <w:left w:w="90" w:type="dxa"/>
              <w:bottom w:w="40" w:type="dxa"/>
              <w:right w:w="90" w:type="dxa"/>
            </w:tcMar>
          </w:tcPr>
          <w:p w14:paraId="588113F1">
            <w:pPr>
              <w:spacing w:before="20" w:after="20" w:line="252" w:lineRule="auto"/>
              <w:jc w:val="left"/>
            </w:pPr>
            <w:r>
              <w:rPr>
                <w:rFonts w:ascii="Calibri" w:hAnsi="Calibri" w:eastAsia="Calibri" w:cs="Calibri"/>
                <w:b w:val="0"/>
                <w:bCs w:val="0"/>
                <w:color w:val="000000"/>
                <w:sz w:val="18"/>
                <w:szCs w:val="18"/>
              </w:rPr>
              <w:t>Newly introduced. Transitive companion of json-smart 2.5.0.</w:t>
            </w:r>
          </w:p>
        </w:tc>
      </w:tr>
      <w:tr w14:paraId="27635E8E">
        <w:tc>
          <w:tcPr>
            <w:tcW w:w="2100" w:type="dxa"/>
            <w:shd w:val="clear" w:color="auto" w:fill="EEF1F7"/>
            <w:tcMar>
              <w:top w:w="40" w:type="dxa"/>
              <w:left w:w="90" w:type="dxa"/>
              <w:bottom w:w="40" w:type="dxa"/>
              <w:right w:w="90" w:type="dxa"/>
            </w:tcMar>
          </w:tcPr>
          <w:p w14:paraId="6356BDF2">
            <w:pPr>
              <w:spacing w:before="20" w:after="20" w:line="252" w:lineRule="auto"/>
              <w:jc w:val="left"/>
            </w:pPr>
            <w:r>
              <w:rPr>
                <w:rFonts w:ascii="Calibri" w:hAnsi="Calibri" w:eastAsia="Calibri" w:cs="Calibri"/>
                <w:b/>
                <w:bCs/>
                <w:color w:val="000000"/>
                <w:sz w:val="18"/>
                <w:szCs w:val="18"/>
              </w:rPr>
              <w:t>commons-io</w:t>
            </w:r>
          </w:p>
        </w:tc>
        <w:tc>
          <w:tcPr>
            <w:tcW w:w="1300" w:type="dxa"/>
            <w:shd w:val="clear" w:color="auto" w:fill="EEF1F7"/>
            <w:tcMar>
              <w:top w:w="40" w:type="dxa"/>
              <w:left w:w="90" w:type="dxa"/>
              <w:bottom w:w="40" w:type="dxa"/>
              <w:right w:w="90" w:type="dxa"/>
            </w:tcMar>
          </w:tcPr>
          <w:p w14:paraId="74F5EDDA">
            <w:pPr>
              <w:spacing w:before="20" w:after="20" w:line="252" w:lineRule="auto"/>
              <w:jc w:val="left"/>
            </w:pPr>
            <w:r>
              <w:rPr>
                <w:rFonts w:ascii="Calibri" w:hAnsi="Calibri" w:eastAsia="Calibri" w:cs="Calibri"/>
                <w:b w:val="0"/>
                <w:bCs w:val="0"/>
                <w:color w:val="000000"/>
                <w:sz w:val="18"/>
                <w:szCs w:val="18"/>
              </w:rPr>
              <w:t>1.3.1</w:t>
            </w:r>
          </w:p>
        </w:tc>
        <w:tc>
          <w:tcPr>
            <w:tcW w:w="1300" w:type="dxa"/>
            <w:shd w:val="clear" w:color="auto" w:fill="EEF1F7"/>
            <w:tcMar>
              <w:top w:w="40" w:type="dxa"/>
              <w:left w:w="90" w:type="dxa"/>
              <w:bottom w:w="40" w:type="dxa"/>
              <w:right w:w="90" w:type="dxa"/>
            </w:tcMar>
          </w:tcPr>
          <w:p w14:paraId="7DDDBBA1">
            <w:pPr>
              <w:spacing w:before="20" w:after="20" w:line="252" w:lineRule="auto"/>
              <w:jc w:val="left"/>
            </w:pPr>
            <w:r>
              <w:rPr>
                <w:rFonts w:ascii="Calibri" w:hAnsi="Calibri" w:eastAsia="Calibri" w:cs="Calibri"/>
                <w:b w:val="0"/>
                <w:bCs w:val="0"/>
                <w:color w:val="000000"/>
                <w:sz w:val="18"/>
                <w:szCs w:val="18"/>
              </w:rPr>
              <w:t>2.14</w:t>
            </w:r>
          </w:p>
        </w:tc>
        <w:tc>
          <w:tcPr>
            <w:tcW w:w="4320" w:type="dxa"/>
            <w:shd w:val="clear" w:color="auto" w:fill="EEF1F7"/>
            <w:tcMar>
              <w:top w:w="40" w:type="dxa"/>
              <w:left w:w="90" w:type="dxa"/>
              <w:bottom w:w="40" w:type="dxa"/>
              <w:right w:w="90" w:type="dxa"/>
            </w:tcMar>
          </w:tcPr>
          <w:p w14:paraId="5A9BB437">
            <w:pPr>
              <w:spacing w:before="20" w:after="20" w:line="252" w:lineRule="auto"/>
              <w:jc w:val="left"/>
            </w:pPr>
            <w:r>
              <w:rPr>
                <w:rFonts w:ascii="Calibri" w:hAnsi="Calibri" w:eastAsia="Calibri" w:cs="Calibri"/>
                <w:b w:val="0"/>
                <w:bCs w:val="0"/>
                <w:color w:val="000000"/>
                <w:sz w:val="18"/>
                <w:szCs w:val="18"/>
              </w:rPr>
              <w:t>Companion of commons-fileupload 1.6.</w:t>
            </w:r>
          </w:p>
        </w:tc>
      </w:tr>
      <w:tr w14:paraId="4AD57824">
        <w:tc>
          <w:tcPr>
            <w:tcW w:w="2100" w:type="dxa"/>
            <w:shd w:val="clear" w:color="auto" w:fill="FFFFFF"/>
            <w:tcMar>
              <w:top w:w="40" w:type="dxa"/>
              <w:left w:w="90" w:type="dxa"/>
              <w:bottom w:w="40" w:type="dxa"/>
              <w:right w:w="90" w:type="dxa"/>
            </w:tcMar>
          </w:tcPr>
          <w:p w14:paraId="3E3A3AE4">
            <w:pPr>
              <w:spacing w:before="20" w:after="20" w:line="252" w:lineRule="auto"/>
              <w:jc w:val="left"/>
            </w:pPr>
            <w:r>
              <w:rPr>
                <w:rFonts w:ascii="Calibri" w:hAnsi="Calibri" w:eastAsia="Calibri" w:cs="Calibri"/>
                <w:b/>
                <w:bCs/>
                <w:color w:val="000000"/>
                <w:sz w:val="18"/>
                <w:szCs w:val="18"/>
              </w:rPr>
              <w:t>commons-logging</w:t>
            </w:r>
          </w:p>
        </w:tc>
        <w:tc>
          <w:tcPr>
            <w:tcW w:w="1300" w:type="dxa"/>
            <w:shd w:val="clear" w:color="auto" w:fill="FFFFFF"/>
            <w:tcMar>
              <w:top w:w="40" w:type="dxa"/>
              <w:left w:w="90" w:type="dxa"/>
              <w:bottom w:w="40" w:type="dxa"/>
              <w:right w:w="90" w:type="dxa"/>
            </w:tcMar>
          </w:tcPr>
          <w:p w14:paraId="704314EB">
            <w:pPr>
              <w:spacing w:before="20" w:after="20" w:line="252" w:lineRule="auto"/>
              <w:jc w:val="left"/>
            </w:pPr>
            <w:r>
              <w:rPr>
                <w:rFonts w:ascii="Calibri" w:hAnsi="Calibri" w:eastAsia="Calibri" w:cs="Calibri"/>
                <w:b w:val="0"/>
                <w:bCs w:val="0"/>
                <w:color w:val="000000"/>
                <w:sz w:val="18"/>
                <w:szCs w:val="18"/>
              </w:rPr>
              <w:t>1.1.1</w:t>
            </w:r>
          </w:p>
        </w:tc>
        <w:tc>
          <w:tcPr>
            <w:tcW w:w="1300" w:type="dxa"/>
            <w:shd w:val="clear" w:color="auto" w:fill="FFFFFF"/>
            <w:tcMar>
              <w:top w:w="40" w:type="dxa"/>
              <w:left w:w="90" w:type="dxa"/>
              <w:bottom w:w="40" w:type="dxa"/>
              <w:right w:w="90" w:type="dxa"/>
            </w:tcMar>
          </w:tcPr>
          <w:p w14:paraId="34BD3CB0">
            <w:pPr>
              <w:spacing w:before="20" w:after="20" w:line="252" w:lineRule="auto"/>
              <w:jc w:val="left"/>
            </w:pPr>
            <w:r>
              <w:rPr>
                <w:rFonts w:ascii="Calibri" w:hAnsi="Calibri" w:eastAsia="Calibri" w:cs="Calibri"/>
                <w:b w:val="0"/>
                <w:bCs w:val="0"/>
                <w:color w:val="000000"/>
                <w:sz w:val="18"/>
                <w:szCs w:val="18"/>
              </w:rPr>
              <w:t>1.2</w:t>
            </w:r>
          </w:p>
        </w:tc>
        <w:tc>
          <w:tcPr>
            <w:tcW w:w="4320" w:type="dxa"/>
            <w:shd w:val="clear" w:color="auto" w:fill="FFFFFF"/>
            <w:tcMar>
              <w:top w:w="40" w:type="dxa"/>
              <w:left w:w="90" w:type="dxa"/>
              <w:bottom w:w="40" w:type="dxa"/>
              <w:right w:w="90" w:type="dxa"/>
            </w:tcMar>
          </w:tcPr>
          <w:p w14:paraId="42948F68">
            <w:pPr>
              <w:spacing w:before="20" w:after="20" w:line="252" w:lineRule="auto"/>
              <w:jc w:val="left"/>
            </w:pPr>
            <w:r>
              <w:rPr>
                <w:rFonts w:ascii="Calibri" w:hAnsi="Calibri" w:eastAsia="Calibri" w:cs="Calibri"/>
                <w:b w:val="0"/>
                <w:bCs w:val="0"/>
                <w:color w:val="000000"/>
                <w:sz w:val="18"/>
                <w:szCs w:val="18"/>
              </w:rPr>
              <w:t>Companion of commons-beanutils 1.9.4.</w:t>
            </w:r>
          </w:p>
        </w:tc>
      </w:tr>
    </w:tbl>
    <w:p w14:paraId="05A7C4E3">
      <w:pPr>
        <w:pageBreakBefore/>
      </w:pPr>
    </w:p>
    <w:p w14:paraId="74F6EFC6">
      <w:pPr>
        <w:pStyle w:val="2"/>
        <w:spacing w:before="260" w:after="120"/>
      </w:pPr>
      <w:r>
        <w:rPr>
          <w:rFonts w:ascii="Calibri" w:hAnsi="Calibri" w:eastAsia="Calibri" w:cs="Calibri"/>
          <w:b/>
          <w:bCs/>
          <w:color w:val="1F3864"/>
          <w:sz w:val="26"/>
          <w:szCs w:val="26"/>
        </w:rPr>
        <w:t>7.  Bank-Owned Modules — Reference</w:t>
      </w:r>
    </w:p>
    <w:p w14:paraId="4AD57183">
      <w:pPr>
        <w:spacing w:after="120" w:line="264" w:lineRule="auto"/>
        <w:jc w:val="both"/>
      </w:pPr>
      <w:r>
        <w:rPr>
          <w:rFonts w:ascii="Calibri" w:hAnsi="Calibri" w:eastAsia="Calibri" w:cs="Calibri"/>
          <w:b w:val="0"/>
          <w:bCs w:val="0"/>
          <w:i w:val="0"/>
          <w:iCs w:val="0"/>
          <w:color w:val="000000"/>
          <w:sz w:val="20"/>
          <w:szCs w:val="20"/>
        </w:rPr>
        <w:t>The following two libraries appear in the Veracode scan for the SG Portal server layout, but their source sits with the UOB technical team and is not shared with Wipro. Remediation for these items sits with the UOB team and is not part of the Wipro delivery scope for this cycle. They are recorded here for completeness.</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00"/>
        <w:gridCol w:w="1200"/>
        <w:gridCol w:w="5220"/>
      </w:tblGrid>
      <w:tr w14:paraId="649ECD47">
        <w:trPr>
          <w:tblHeader/>
        </w:trPr>
        <w:tc>
          <w:tcPr>
            <w:tcW w:w="2600" w:type="dxa"/>
            <w:shd w:val="clear" w:color="auto" w:fill="1F3864"/>
            <w:tcMar>
              <w:top w:w="40" w:type="dxa"/>
              <w:left w:w="90" w:type="dxa"/>
              <w:bottom w:w="40" w:type="dxa"/>
              <w:right w:w="90" w:type="dxa"/>
            </w:tcMar>
          </w:tcPr>
          <w:p w14:paraId="62CAAF22">
            <w:pPr>
              <w:spacing w:before="20" w:after="20" w:line="252" w:lineRule="auto"/>
              <w:jc w:val="left"/>
            </w:pPr>
            <w:r>
              <w:rPr>
                <w:rFonts w:ascii="Calibri" w:hAnsi="Calibri" w:eastAsia="Calibri" w:cs="Calibri"/>
                <w:b/>
                <w:bCs/>
                <w:color w:val="FFFFFF"/>
                <w:sz w:val="18"/>
                <w:szCs w:val="18"/>
              </w:rPr>
              <w:t>Library</w:t>
            </w:r>
          </w:p>
        </w:tc>
        <w:tc>
          <w:tcPr>
            <w:tcW w:w="1200" w:type="dxa"/>
            <w:shd w:val="clear" w:color="auto" w:fill="1F3864"/>
            <w:tcMar>
              <w:top w:w="40" w:type="dxa"/>
              <w:left w:w="90" w:type="dxa"/>
              <w:bottom w:w="40" w:type="dxa"/>
              <w:right w:w="90" w:type="dxa"/>
            </w:tcMar>
          </w:tcPr>
          <w:p w14:paraId="73831197">
            <w:pPr>
              <w:spacing w:before="20" w:after="20" w:line="252" w:lineRule="auto"/>
              <w:jc w:val="left"/>
            </w:pPr>
            <w:r>
              <w:rPr>
                <w:rFonts w:ascii="Calibri" w:hAnsi="Calibri" w:eastAsia="Calibri" w:cs="Calibri"/>
                <w:b/>
                <w:bCs/>
                <w:color w:val="FFFFFF"/>
                <w:sz w:val="18"/>
                <w:szCs w:val="18"/>
              </w:rPr>
              <w:t>Version</w:t>
            </w:r>
          </w:p>
        </w:tc>
        <w:tc>
          <w:tcPr>
            <w:tcW w:w="5220" w:type="dxa"/>
            <w:shd w:val="clear" w:color="auto" w:fill="1F3864"/>
            <w:tcMar>
              <w:top w:w="40" w:type="dxa"/>
              <w:left w:w="90" w:type="dxa"/>
              <w:bottom w:w="40" w:type="dxa"/>
              <w:right w:w="90" w:type="dxa"/>
            </w:tcMar>
          </w:tcPr>
          <w:p w14:paraId="391EB6FD">
            <w:pPr>
              <w:spacing w:before="20" w:after="20" w:line="252" w:lineRule="auto"/>
              <w:jc w:val="left"/>
            </w:pPr>
            <w:r>
              <w:rPr>
                <w:rFonts w:ascii="Calibri" w:hAnsi="Calibri" w:eastAsia="Calibri" w:cs="Calibri"/>
                <w:b/>
                <w:bCs/>
                <w:color w:val="FFFFFF"/>
                <w:sz w:val="18"/>
                <w:szCs w:val="18"/>
              </w:rPr>
              <w:t>Status and Ownership</w:t>
            </w:r>
          </w:p>
        </w:tc>
      </w:tr>
      <w:tr w14:paraId="3E9076F6">
        <w:tc>
          <w:tcPr>
            <w:tcW w:w="2600" w:type="dxa"/>
            <w:shd w:val="clear" w:color="auto" w:fill="FFFFFF"/>
            <w:tcMar>
              <w:top w:w="40" w:type="dxa"/>
              <w:left w:w="90" w:type="dxa"/>
              <w:bottom w:w="40" w:type="dxa"/>
              <w:right w:w="90" w:type="dxa"/>
            </w:tcMar>
          </w:tcPr>
          <w:p w14:paraId="6A39CE8D">
            <w:pPr>
              <w:spacing w:before="20" w:after="20" w:line="252" w:lineRule="auto"/>
              <w:jc w:val="left"/>
            </w:pPr>
            <w:r>
              <w:rPr>
                <w:rFonts w:ascii="Calibri" w:hAnsi="Calibri" w:eastAsia="Calibri" w:cs="Calibri"/>
                <w:b/>
                <w:bCs/>
                <w:color w:val="000000"/>
                <w:sz w:val="18"/>
                <w:szCs w:val="18"/>
              </w:rPr>
              <w:t>batik-svgrasterizer</w:t>
            </w:r>
          </w:p>
        </w:tc>
        <w:tc>
          <w:tcPr>
            <w:tcW w:w="1200" w:type="dxa"/>
            <w:shd w:val="clear" w:color="auto" w:fill="FFFFFF"/>
            <w:tcMar>
              <w:top w:w="40" w:type="dxa"/>
              <w:left w:w="90" w:type="dxa"/>
              <w:bottom w:w="40" w:type="dxa"/>
              <w:right w:w="90" w:type="dxa"/>
            </w:tcMar>
          </w:tcPr>
          <w:p w14:paraId="77F525B5">
            <w:pPr>
              <w:spacing w:before="20" w:after="20" w:line="252" w:lineRule="auto"/>
              <w:jc w:val="left"/>
            </w:pPr>
            <w:r>
              <w:rPr>
                <w:rFonts w:ascii="Calibri" w:hAnsi="Calibri" w:eastAsia="Calibri" w:cs="Calibri"/>
                <w:b w:val="0"/>
                <w:bCs w:val="0"/>
                <w:color w:val="000000"/>
                <w:sz w:val="18"/>
                <w:szCs w:val="18"/>
              </w:rPr>
              <w:t>1.11</w:t>
            </w:r>
          </w:p>
        </w:tc>
        <w:tc>
          <w:tcPr>
            <w:tcW w:w="5220" w:type="dxa"/>
            <w:shd w:val="clear" w:color="auto" w:fill="FFFFFF"/>
            <w:tcMar>
              <w:top w:w="40" w:type="dxa"/>
              <w:left w:w="90" w:type="dxa"/>
              <w:bottom w:w="40" w:type="dxa"/>
              <w:right w:w="90" w:type="dxa"/>
            </w:tcMar>
          </w:tcPr>
          <w:p w14:paraId="7DDB1DEF">
            <w:pPr>
              <w:spacing w:before="20" w:after="20" w:line="252" w:lineRule="auto"/>
              <w:jc w:val="left"/>
            </w:pPr>
            <w:r>
              <w:rPr>
                <w:rFonts w:ascii="Calibri" w:hAnsi="Calibri" w:eastAsia="Calibri" w:cs="Calibri"/>
                <w:b w:val="0"/>
                <w:bCs w:val="0"/>
                <w:color w:val="000000"/>
                <w:sz w:val="18"/>
                <w:szCs w:val="18"/>
              </w:rPr>
              <w:t>Server-side artefact maintained by the UOB technical team. Not shipped from the Wipro build path; source not available to Wipro. Remediation coordinated under the UOB technical team.</w:t>
            </w:r>
          </w:p>
        </w:tc>
      </w:tr>
      <w:tr w14:paraId="1D83A8F7">
        <w:tc>
          <w:tcPr>
            <w:tcW w:w="2600" w:type="dxa"/>
            <w:shd w:val="clear" w:color="auto" w:fill="EEF1F7"/>
            <w:tcMar>
              <w:top w:w="40" w:type="dxa"/>
              <w:left w:w="90" w:type="dxa"/>
              <w:bottom w:w="40" w:type="dxa"/>
              <w:right w:w="90" w:type="dxa"/>
            </w:tcMar>
          </w:tcPr>
          <w:p w14:paraId="230641A4">
            <w:pPr>
              <w:spacing w:before="20" w:after="20" w:line="252" w:lineRule="auto"/>
              <w:jc w:val="left"/>
            </w:pPr>
            <w:r>
              <w:rPr>
                <w:rFonts w:ascii="Calibri" w:hAnsi="Calibri" w:eastAsia="Calibri" w:cs="Calibri"/>
                <w:b/>
                <w:bCs/>
                <w:color w:val="000000"/>
                <w:sz w:val="18"/>
                <w:szCs w:val="18"/>
              </w:rPr>
              <w:t>batik-svgbrowser</w:t>
            </w:r>
          </w:p>
        </w:tc>
        <w:tc>
          <w:tcPr>
            <w:tcW w:w="1200" w:type="dxa"/>
            <w:shd w:val="clear" w:color="auto" w:fill="EEF1F7"/>
            <w:tcMar>
              <w:top w:w="40" w:type="dxa"/>
              <w:left w:w="90" w:type="dxa"/>
              <w:bottom w:w="40" w:type="dxa"/>
              <w:right w:w="90" w:type="dxa"/>
            </w:tcMar>
          </w:tcPr>
          <w:p w14:paraId="2145FD9A">
            <w:pPr>
              <w:spacing w:before="20" w:after="20" w:line="252" w:lineRule="auto"/>
              <w:jc w:val="left"/>
            </w:pPr>
            <w:r>
              <w:rPr>
                <w:rFonts w:ascii="Calibri" w:hAnsi="Calibri" w:eastAsia="Calibri" w:cs="Calibri"/>
                <w:b w:val="0"/>
                <w:bCs w:val="0"/>
                <w:color w:val="000000"/>
                <w:sz w:val="18"/>
                <w:szCs w:val="18"/>
              </w:rPr>
              <w:t>1.11</w:t>
            </w:r>
          </w:p>
        </w:tc>
        <w:tc>
          <w:tcPr>
            <w:tcW w:w="5220" w:type="dxa"/>
            <w:shd w:val="clear" w:color="auto" w:fill="EEF1F7"/>
            <w:tcMar>
              <w:top w:w="40" w:type="dxa"/>
              <w:left w:w="90" w:type="dxa"/>
              <w:bottom w:w="40" w:type="dxa"/>
              <w:right w:w="90" w:type="dxa"/>
            </w:tcMar>
          </w:tcPr>
          <w:p w14:paraId="63523D97">
            <w:pPr>
              <w:spacing w:before="20" w:after="20" w:line="252" w:lineRule="auto"/>
              <w:jc w:val="left"/>
            </w:pPr>
            <w:r>
              <w:rPr>
                <w:rFonts w:ascii="Calibri" w:hAnsi="Calibri" w:eastAsia="Calibri" w:cs="Calibri"/>
                <w:b w:val="0"/>
                <w:bCs w:val="0"/>
                <w:color w:val="000000"/>
                <w:sz w:val="18"/>
                <w:szCs w:val="18"/>
              </w:rPr>
              <w:t>Server-side artefact maintained by the UOB technical team. Remediation coordinated under the UOB technical team.</w:t>
            </w:r>
          </w:p>
        </w:tc>
      </w:tr>
    </w:tbl>
    <w:p w14:paraId="38FD8E44">
      <w:pPr>
        <w:pageBreakBefore/>
      </w:pPr>
    </w:p>
    <w:p w14:paraId="0230B165">
      <w:pPr>
        <w:pStyle w:val="2"/>
        <w:spacing w:before="260" w:after="120"/>
      </w:pPr>
      <w:r>
        <w:rPr>
          <w:rFonts w:ascii="Calibri" w:hAnsi="Calibri" w:eastAsia="Calibri" w:cs="Calibri"/>
          <w:b/>
          <w:bCs/>
          <w:color w:val="1F3864"/>
          <w:sz w:val="26"/>
          <w:szCs w:val="26"/>
        </w:rPr>
        <w:t>8.  Residual CVEs and Exploitability Position</w:t>
      </w:r>
    </w:p>
    <w:p w14:paraId="7ABAE3A8">
      <w:pPr>
        <w:spacing w:after="120" w:line="264" w:lineRule="auto"/>
        <w:jc w:val="both"/>
      </w:pPr>
      <w:r>
        <w:rPr>
          <w:rFonts w:ascii="Calibri" w:hAnsi="Calibri" w:eastAsia="Calibri" w:cs="Calibri"/>
          <w:b w:val="0"/>
          <w:bCs w:val="0"/>
          <w:i w:val="0"/>
          <w:iCs w:val="0"/>
          <w:color w:val="000000"/>
          <w:sz w:val="20"/>
          <w:szCs w:val="20"/>
        </w:rPr>
        <w:t>The remediation in Sections 4 and 5 achieves the maximum CVE closure possible for the SG Portal within the Java 8 / JBoss EAP 7.3 stack using open-source library versions. Four flagged CVEs cannot be fully closed within these constraints. The exploitability position for each, prepared by Wipro and cross-referenced against the bank-provided input, is recorded below.</w:t>
      </w:r>
    </w:p>
    <w:p w14:paraId="7A3F7E8B">
      <w:pPr>
        <w:pStyle w:val="3"/>
        <w:spacing w:before="180" w:after="90"/>
      </w:pPr>
      <w:r>
        <w:rPr>
          <w:rFonts w:ascii="Calibri" w:hAnsi="Calibri" w:eastAsia="Calibri" w:cs="Calibri"/>
          <w:b/>
          <w:bCs/>
          <w:color w:val="1F3864"/>
          <w:sz w:val="22"/>
          <w:szCs w:val="22"/>
        </w:rPr>
        <w:t>8.1  Residual CVE Summary</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700"/>
        <w:gridCol w:w="1900"/>
        <w:gridCol w:w="5420"/>
      </w:tblGrid>
      <w:tr w14:paraId="6AF5851D">
        <w:trPr>
          <w:tblHeader/>
        </w:trPr>
        <w:tc>
          <w:tcPr>
            <w:tcW w:w="1700" w:type="dxa"/>
            <w:shd w:val="clear" w:color="auto" w:fill="1F3864"/>
            <w:tcMar>
              <w:top w:w="40" w:type="dxa"/>
              <w:left w:w="90" w:type="dxa"/>
              <w:bottom w:w="40" w:type="dxa"/>
              <w:right w:w="90" w:type="dxa"/>
            </w:tcMar>
          </w:tcPr>
          <w:p w14:paraId="7501C3EF">
            <w:pPr>
              <w:spacing w:before="20" w:after="20" w:line="252" w:lineRule="auto"/>
              <w:jc w:val="left"/>
            </w:pPr>
            <w:r>
              <w:rPr>
                <w:rFonts w:ascii="Calibri" w:hAnsi="Calibri" w:eastAsia="Calibri" w:cs="Calibri"/>
                <w:b/>
                <w:bCs/>
                <w:color w:val="FFFFFF"/>
                <w:sz w:val="18"/>
                <w:szCs w:val="18"/>
              </w:rPr>
              <w:t>Library</w:t>
            </w:r>
          </w:p>
        </w:tc>
        <w:tc>
          <w:tcPr>
            <w:tcW w:w="1900" w:type="dxa"/>
            <w:shd w:val="clear" w:color="auto" w:fill="1F3864"/>
            <w:tcMar>
              <w:top w:w="40" w:type="dxa"/>
              <w:left w:w="90" w:type="dxa"/>
              <w:bottom w:w="40" w:type="dxa"/>
              <w:right w:w="90" w:type="dxa"/>
            </w:tcMar>
          </w:tcPr>
          <w:p w14:paraId="047FDCEF">
            <w:pPr>
              <w:spacing w:before="20" w:after="20" w:line="252" w:lineRule="auto"/>
              <w:jc w:val="left"/>
            </w:pPr>
            <w:r>
              <w:rPr>
                <w:rFonts w:ascii="Calibri" w:hAnsi="Calibri" w:eastAsia="Calibri" w:cs="Calibri"/>
                <w:b/>
                <w:bCs/>
                <w:color w:val="FFFFFF"/>
                <w:sz w:val="18"/>
                <w:szCs w:val="18"/>
              </w:rPr>
              <w:t>Residual CVE</w:t>
            </w:r>
          </w:p>
        </w:tc>
        <w:tc>
          <w:tcPr>
            <w:tcW w:w="5420" w:type="dxa"/>
            <w:shd w:val="clear" w:color="auto" w:fill="1F3864"/>
            <w:tcMar>
              <w:top w:w="40" w:type="dxa"/>
              <w:left w:w="90" w:type="dxa"/>
              <w:bottom w:w="40" w:type="dxa"/>
              <w:right w:w="90" w:type="dxa"/>
            </w:tcMar>
          </w:tcPr>
          <w:p w14:paraId="22A9388A">
            <w:pPr>
              <w:spacing w:before="20" w:after="20" w:line="252" w:lineRule="auto"/>
              <w:jc w:val="left"/>
            </w:pPr>
            <w:r>
              <w:rPr>
                <w:rFonts w:ascii="Calibri" w:hAnsi="Calibri" w:eastAsia="Calibri" w:cs="Calibri"/>
                <w:b/>
                <w:bCs/>
                <w:color w:val="FFFFFF"/>
                <w:sz w:val="18"/>
                <w:szCs w:val="18"/>
              </w:rPr>
              <w:t>Exploitability Position</w:t>
            </w:r>
          </w:p>
        </w:tc>
      </w:tr>
      <w:tr w14:paraId="726C69E6">
        <w:tc>
          <w:tcPr>
            <w:tcW w:w="1700" w:type="dxa"/>
            <w:shd w:val="clear" w:color="auto" w:fill="FFFFFF"/>
            <w:tcMar>
              <w:top w:w="40" w:type="dxa"/>
              <w:left w:w="90" w:type="dxa"/>
              <w:bottom w:w="40" w:type="dxa"/>
              <w:right w:w="90" w:type="dxa"/>
            </w:tcMar>
          </w:tcPr>
          <w:p w14:paraId="0A9007AE">
            <w:pPr>
              <w:spacing w:before="20" w:after="20" w:line="252" w:lineRule="auto"/>
              <w:jc w:val="left"/>
            </w:pPr>
            <w:r>
              <w:rPr>
                <w:rFonts w:ascii="Calibri" w:hAnsi="Calibri" w:eastAsia="Calibri" w:cs="Calibri"/>
                <w:b/>
                <w:bCs/>
                <w:color w:val="000000"/>
                <w:sz w:val="18"/>
                <w:szCs w:val="18"/>
              </w:rPr>
              <w:t>spring-web</w:t>
            </w:r>
          </w:p>
        </w:tc>
        <w:tc>
          <w:tcPr>
            <w:tcW w:w="1900" w:type="dxa"/>
            <w:shd w:val="clear" w:color="auto" w:fill="FFFFFF"/>
            <w:tcMar>
              <w:top w:w="40" w:type="dxa"/>
              <w:left w:w="90" w:type="dxa"/>
              <w:bottom w:w="40" w:type="dxa"/>
              <w:right w:w="90" w:type="dxa"/>
            </w:tcMar>
          </w:tcPr>
          <w:p w14:paraId="19246155">
            <w:pPr>
              <w:spacing w:before="20" w:after="20" w:line="252" w:lineRule="auto"/>
              <w:jc w:val="left"/>
            </w:pPr>
            <w:r>
              <w:rPr>
                <w:rFonts w:ascii="Calibri" w:hAnsi="Calibri" w:eastAsia="Calibri" w:cs="Calibri"/>
                <w:b w:val="0"/>
                <w:bCs w:val="0"/>
                <w:color w:val="000000"/>
                <w:sz w:val="18"/>
                <w:szCs w:val="18"/>
              </w:rPr>
              <w:t>CVE-2016-1000027</w:t>
            </w:r>
          </w:p>
        </w:tc>
        <w:tc>
          <w:tcPr>
            <w:tcW w:w="5420" w:type="dxa"/>
            <w:shd w:val="clear" w:color="auto" w:fill="FFFFFF"/>
            <w:tcMar>
              <w:top w:w="40" w:type="dxa"/>
              <w:left w:w="90" w:type="dxa"/>
              <w:bottom w:w="40" w:type="dxa"/>
              <w:right w:w="90" w:type="dxa"/>
            </w:tcMar>
          </w:tcPr>
          <w:p w14:paraId="3ABD93C8">
            <w:pPr>
              <w:spacing w:before="20" w:after="20" w:line="252" w:lineRule="auto"/>
              <w:jc w:val="left"/>
            </w:pPr>
            <w:r>
              <w:rPr>
                <w:rFonts w:ascii="Calibri" w:hAnsi="Calibri" w:eastAsia="Calibri" w:cs="Calibri"/>
                <w:b w:val="0"/>
                <w:bCs w:val="0"/>
                <w:color w:val="000000"/>
                <w:sz w:val="18"/>
                <w:szCs w:val="18"/>
              </w:rPr>
              <w:t>The vulnerability is in Spring's HttpInvokerServiceExporter class. The fix is present only in Spring 6.x, not viable on the Java 8 stack. Source review confirms HttpInvokerServiceExporter is not instantiated or exposed in the SG Portal execution path. Assessed as not exploitable in SG's deployed configuration.</w:t>
            </w:r>
          </w:p>
        </w:tc>
      </w:tr>
      <w:tr w14:paraId="071EC1E8">
        <w:tc>
          <w:tcPr>
            <w:tcW w:w="1700" w:type="dxa"/>
            <w:shd w:val="clear" w:color="auto" w:fill="EEF1F7"/>
            <w:tcMar>
              <w:top w:w="40" w:type="dxa"/>
              <w:left w:w="90" w:type="dxa"/>
              <w:bottom w:w="40" w:type="dxa"/>
              <w:right w:w="90" w:type="dxa"/>
            </w:tcMar>
          </w:tcPr>
          <w:p w14:paraId="64B24735">
            <w:pPr>
              <w:spacing w:before="20" w:after="20" w:line="252" w:lineRule="auto"/>
              <w:jc w:val="left"/>
            </w:pPr>
            <w:r>
              <w:rPr>
                <w:rFonts w:ascii="Calibri" w:hAnsi="Calibri" w:eastAsia="Calibri" w:cs="Calibri"/>
                <w:b/>
                <w:bCs/>
                <w:color w:val="000000"/>
                <w:sz w:val="18"/>
                <w:szCs w:val="18"/>
              </w:rPr>
              <w:t>spring-webmvc</w:t>
            </w:r>
          </w:p>
        </w:tc>
        <w:tc>
          <w:tcPr>
            <w:tcW w:w="1900" w:type="dxa"/>
            <w:shd w:val="clear" w:color="auto" w:fill="EEF1F7"/>
            <w:tcMar>
              <w:top w:w="40" w:type="dxa"/>
              <w:left w:w="90" w:type="dxa"/>
              <w:bottom w:w="40" w:type="dxa"/>
              <w:right w:w="90" w:type="dxa"/>
            </w:tcMar>
          </w:tcPr>
          <w:p w14:paraId="23CFC3B9">
            <w:pPr>
              <w:spacing w:before="20" w:after="20" w:line="252" w:lineRule="auto"/>
              <w:jc w:val="left"/>
            </w:pPr>
            <w:r>
              <w:rPr>
                <w:rFonts w:ascii="Calibri" w:hAnsi="Calibri" w:eastAsia="Calibri" w:cs="Calibri"/>
                <w:b w:val="0"/>
                <w:bCs w:val="0"/>
                <w:color w:val="000000"/>
                <w:sz w:val="18"/>
                <w:szCs w:val="18"/>
              </w:rPr>
              <w:t>CVE-2024-38819</w:t>
            </w:r>
          </w:p>
        </w:tc>
        <w:tc>
          <w:tcPr>
            <w:tcW w:w="5420" w:type="dxa"/>
            <w:shd w:val="clear" w:color="auto" w:fill="EEF1F7"/>
            <w:tcMar>
              <w:top w:w="40" w:type="dxa"/>
              <w:left w:w="90" w:type="dxa"/>
              <w:bottom w:w="40" w:type="dxa"/>
              <w:right w:w="90" w:type="dxa"/>
            </w:tcMar>
          </w:tcPr>
          <w:p w14:paraId="1FD637CD">
            <w:pPr>
              <w:spacing w:before="20" w:after="20" w:line="252" w:lineRule="auto"/>
              <w:jc w:val="left"/>
            </w:pPr>
            <w:r>
              <w:rPr>
                <w:rFonts w:ascii="Calibri" w:hAnsi="Calibri" w:eastAsia="Calibri" w:cs="Calibri"/>
                <w:b w:val="0"/>
                <w:bCs w:val="0"/>
                <w:color w:val="000000"/>
                <w:sz w:val="18"/>
                <w:szCs w:val="18"/>
              </w:rPr>
              <w:t>The fix is in Spring 5.3.41 and above, beyond the open-source line. The SG Portal does not expose the resource-handling path required to reach the traversal precondition. Assessed as not exploitable in SG Portal usage.</w:t>
            </w:r>
          </w:p>
        </w:tc>
      </w:tr>
      <w:tr w14:paraId="1C03E536">
        <w:tc>
          <w:tcPr>
            <w:tcW w:w="1700" w:type="dxa"/>
            <w:shd w:val="clear" w:color="auto" w:fill="FFFFFF"/>
            <w:tcMar>
              <w:top w:w="40" w:type="dxa"/>
              <w:left w:w="90" w:type="dxa"/>
              <w:bottom w:w="40" w:type="dxa"/>
              <w:right w:w="90" w:type="dxa"/>
            </w:tcMar>
          </w:tcPr>
          <w:p w14:paraId="2D08C431">
            <w:pPr>
              <w:spacing w:before="20" w:after="20" w:line="252" w:lineRule="auto"/>
              <w:jc w:val="left"/>
            </w:pPr>
            <w:r>
              <w:rPr>
                <w:rFonts w:ascii="Calibri" w:hAnsi="Calibri" w:eastAsia="Calibri" w:cs="Calibri"/>
                <w:b/>
                <w:bCs/>
                <w:color w:val="000000"/>
                <w:sz w:val="18"/>
                <w:szCs w:val="18"/>
              </w:rPr>
              <w:t>spring-core</w:t>
            </w:r>
          </w:p>
        </w:tc>
        <w:tc>
          <w:tcPr>
            <w:tcW w:w="1900" w:type="dxa"/>
            <w:shd w:val="clear" w:color="auto" w:fill="FFFFFF"/>
            <w:tcMar>
              <w:top w:w="40" w:type="dxa"/>
              <w:left w:w="90" w:type="dxa"/>
              <w:bottom w:w="40" w:type="dxa"/>
              <w:right w:w="90" w:type="dxa"/>
            </w:tcMar>
          </w:tcPr>
          <w:p w14:paraId="680F942A">
            <w:pPr>
              <w:spacing w:before="20" w:after="20" w:line="252" w:lineRule="auto"/>
              <w:jc w:val="left"/>
            </w:pPr>
            <w:r>
              <w:rPr>
                <w:rFonts w:ascii="Calibri" w:hAnsi="Calibri" w:eastAsia="Calibri" w:cs="Calibri"/>
                <w:b w:val="0"/>
                <w:bCs w:val="0"/>
                <w:color w:val="000000"/>
                <w:sz w:val="18"/>
                <w:szCs w:val="18"/>
              </w:rPr>
              <w:t>CVE-2025-41249</w:t>
            </w:r>
          </w:p>
        </w:tc>
        <w:tc>
          <w:tcPr>
            <w:tcW w:w="5420" w:type="dxa"/>
            <w:shd w:val="clear" w:color="auto" w:fill="FFFFFF"/>
            <w:tcMar>
              <w:top w:w="40" w:type="dxa"/>
              <w:left w:w="90" w:type="dxa"/>
              <w:bottom w:w="40" w:type="dxa"/>
              <w:right w:w="90" w:type="dxa"/>
            </w:tcMar>
          </w:tcPr>
          <w:p w14:paraId="4E5B958D">
            <w:pPr>
              <w:spacing w:before="20" w:after="20" w:line="252" w:lineRule="auto"/>
              <w:jc w:val="left"/>
            </w:pPr>
            <w:r>
              <w:rPr>
                <w:rFonts w:ascii="Calibri" w:hAnsi="Calibri" w:eastAsia="Calibri" w:cs="Calibri"/>
                <w:b w:val="0"/>
                <w:bCs w:val="0"/>
                <w:color w:val="000000"/>
                <w:sz w:val="18"/>
                <w:szCs w:val="18"/>
              </w:rPr>
              <w:t>Affects the annotation-detection mechanism on parameterised super types. The reflection-driven surface required for exploitation is not exercised in the SG Portal. Assessed as not exploitable in SG Portal usage.</w:t>
            </w:r>
          </w:p>
        </w:tc>
      </w:tr>
      <w:tr w14:paraId="539A8A14">
        <w:tc>
          <w:tcPr>
            <w:tcW w:w="1700" w:type="dxa"/>
            <w:shd w:val="clear" w:color="auto" w:fill="EEF1F7"/>
            <w:tcMar>
              <w:top w:w="40" w:type="dxa"/>
              <w:left w:w="90" w:type="dxa"/>
              <w:bottom w:w="40" w:type="dxa"/>
              <w:right w:w="90" w:type="dxa"/>
            </w:tcMar>
          </w:tcPr>
          <w:p w14:paraId="684F8C09">
            <w:pPr>
              <w:spacing w:before="20" w:after="20" w:line="252" w:lineRule="auto"/>
              <w:jc w:val="left"/>
            </w:pPr>
            <w:r>
              <w:rPr>
                <w:rFonts w:ascii="Calibri" w:hAnsi="Calibri" w:eastAsia="Calibri" w:cs="Calibri"/>
                <w:b/>
                <w:bCs/>
                <w:color w:val="000000"/>
                <w:sz w:val="18"/>
                <w:szCs w:val="18"/>
              </w:rPr>
              <w:t>velocity</w:t>
            </w:r>
          </w:p>
        </w:tc>
        <w:tc>
          <w:tcPr>
            <w:tcW w:w="1900" w:type="dxa"/>
            <w:shd w:val="clear" w:color="auto" w:fill="EEF1F7"/>
            <w:tcMar>
              <w:top w:w="40" w:type="dxa"/>
              <w:left w:w="90" w:type="dxa"/>
              <w:bottom w:w="40" w:type="dxa"/>
              <w:right w:w="90" w:type="dxa"/>
            </w:tcMar>
          </w:tcPr>
          <w:p w14:paraId="32CF6183">
            <w:pPr>
              <w:spacing w:before="20" w:after="20" w:line="252" w:lineRule="auto"/>
              <w:jc w:val="left"/>
            </w:pPr>
            <w:r>
              <w:rPr>
                <w:rFonts w:ascii="Calibri" w:hAnsi="Calibri" w:eastAsia="Calibri" w:cs="Calibri"/>
                <w:b w:val="0"/>
                <w:bCs w:val="0"/>
                <w:color w:val="000000"/>
                <w:sz w:val="18"/>
                <w:szCs w:val="18"/>
              </w:rPr>
              <w:t>CVE-2020-13936</w:t>
            </w:r>
          </w:p>
        </w:tc>
        <w:tc>
          <w:tcPr>
            <w:tcW w:w="5420" w:type="dxa"/>
            <w:shd w:val="clear" w:color="auto" w:fill="EEF1F7"/>
            <w:tcMar>
              <w:top w:w="40" w:type="dxa"/>
              <w:left w:w="90" w:type="dxa"/>
              <w:bottom w:w="40" w:type="dxa"/>
              <w:right w:w="90" w:type="dxa"/>
            </w:tcMar>
          </w:tcPr>
          <w:p w14:paraId="7B7BE13C">
            <w:pPr>
              <w:spacing w:before="20" w:after="20" w:line="252" w:lineRule="auto"/>
              <w:jc w:val="left"/>
            </w:pPr>
            <w:r>
              <w:rPr>
                <w:rFonts w:ascii="Calibri" w:hAnsi="Calibri" w:eastAsia="Calibri" w:cs="Calibri"/>
                <w:b w:val="0"/>
                <w:bCs w:val="0"/>
                <w:color w:val="000000"/>
                <w:sz w:val="18"/>
                <w:szCs w:val="18"/>
              </w:rPr>
              <w:t>The SG Portal uses Velocity only for server-side static templates packaged in the deployment. No Portal function permits user- or bank-editable template content to reach the engine. Assessed as not exploitable in SG Portal usage.</w:t>
            </w:r>
          </w:p>
        </w:tc>
      </w:tr>
    </w:tbl>
    <w:p w14:paraId="2BFE7E98">
      <w:pPr>
        <w:spacing w:after="120"/>
      </w:pPr>
    </w:p>
    <w:p w14:paraId="57F9CB04">
      <w:pPr>
        <w:pStyle w:val="3"/>
        <w:spacing w:before="180" w:after="90"/>
      </w:pPr>
      <w:r>
        <w:rPr>
          <w:rFonts w:ascii="Calibri" w:hAnsi="Calibri" w:eastAsia="Calibri" w:cs="Calibri"/>
          <w:b/>
          <w:bCs/>
          <w:color w:val="1F3864"/>
          <w:sz w:val="22"/>
          <w:szCs w:val="22"/>
        </w:rPr>
        <w:t>8.2  Acknowledgment Requested</w:t>
      </w:r>
    </w:p>
    <w:p w14:paraId="46298CC4">
      <w:pPr>
        <w:spacing w:after="120" w:line="264" w:lineRule="auto"/>
        <w:jc w:val="both"/>
      </w:pPr>
      <w:r>
        <w:rPr>
          <w:rFonts w:ascii="Calibri" w:hAnsi="Calibri" w:eastAsia="Calibri" w:cs="Calibri"/>
          <w:b w:val="0"/>
          <w:bCs w:val="0"/>
          <w:i w:val="0"/>
          <w:iCs w:val="0"/>
          <w:color w:val="000000"/>
          <w:sz w:val="20"/>
          <w:szCs w:val="20"/>
        </w:rPr>
        <w:t>Full closure of the residual items would require a stack-level uplift (Java 17 with Spring 6.x for the Spring items; a Turbine framework uplift for velocity), which sits outside the August 2026 release cycle. The exploitability position above is placed formally on record so the SG release proceeds with the position acknowledged by both organisations. A signature block is provided in Section 12.</w:t>
      </w:r>
    </w:p>
    <w:p w14:paraId="061D98A2">
      <w:pPr>
        <w:pageBreakBefore/>
      </w:pPr>
    </w:p>
    <w:p w14:paraId="08691E93">
      <w:pPr>
        <w:pStyle w:val="2"/>
        <w:spacing w:before="260" w:after="120"/>
      </w:pPr>
      <w:r>
        <w:rPr>
          <w:rFonts w:ascii="Calibri" w:hAnsi="Calibri" w:eastAsia="Calibri" w:cs="Calibri"/>
          <w:b/>
          <w:bCs/>
          <w:color w:val="1F3864"/>
          <w:sz w:val="26"/>
          <w:szCs w:val="26"/>
        </w:rPr>
        <w:t>9.  Testing Scope and Responsibility</w:t>
      </w:r>
    </w:p>
    <w:p w14:paraId="73310497">
      <w:pPr>
        <w:pStyle w:val="3"/>
        <w:spacing w:before="180" w:after="90"/>
      </w:pPr>
      <w:r>
        <w:rPr>
          <w:rFonts w:ascii="Calibri" w:hAnsi="Calibri" w:eastAsia="Calibri" w:cs="Calibri"/>
          <w:b/>
          <w:bCs/>
          <w:color w:val="1F3864"/>
          <w:sz w:val="22"/>
          <w:szCs w:val="22"/>
        </w:rPr>
        <w:t>9.1  Environment Ownership</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100"/>
        <w:gridCol w:w="3000"/>
        <w:gridCol w:w="3920"/>
      </w:tblGrid>
      <w:tr w14:paraId="17243330">
        <w:trPr>
          <w:tblHeader/>
        </w:trPr>
        <w:tc>
          <w:tcPr>
            <w:tcW w:w="2100" w:type="dxa"/>
            <w:shd w:val="clear" w:color="auto" w:fill="1F3864"/>
            <w:tcMar>
              <w:top w:w="40" w:type="dxa"/>
              <w:left w:w="90" w:type="dxa"/>
              <w:bottom w:w="40" w:type="dxa"/>
              <w:right w:w="90" w:type="dxa"/>
            </w:tcMar>
          </w:tcPr>
          <w:p w14:paraId="68FB3E89">
            <w:pPr>
              <w:spacing w:before="20" w:after="20" w:line="252" w:lineRule="auto"/>
              <w:jc w:val="left"/>
            </w:pPr>
            <w:r>
              <w:rPr>
                <w:rFonts w:ascii="Calibri" w:hAnsi="Calibri" w:eastAsia="Calibri" w:cs="Calibri"/>
                <w:b/>
                <w:bCs/>
                <w:color w:val="FFFFFF"/>
                <w:sz w:val="18"/>
                <w:szCs w:val="18"/>
              </w:rPr>
              <w:t>Environment</w:t>
            </w:r>
          </w:p>
        </w:tc>
        <w:tc>
          <w:tcPr>
            <w:tcW w:w="3000" w:type="dxa"/>
            <w:shd w:val="clear" w:color="auto" w:fill="1F3864"/>
            <w:tcMar>
              <w:top w:w="40" w:type="dxa"/>
              <w:left w:w="90" w:type="dxa"/>
              <w:bottom w:w="40" w:type="dxa"/>
              <w:right w:w="90" w:type="dxa"/>
            </w:tcMar>
          </w:tcPr>
          <w:p w14:paraId="5F3EF5AF">
            <w:pPr>
              <w:spacing w:before="20" w:after="20" w:line="252" w:lineRule="auto"/>
              <w:jc w:val="left"/>
            </w:pPr>
            <w:r>
              <w:rPr>
                <w:rFonts w:ascii="Calibri" w:hAnsi="Calibri" w:eastAsia="Calibri" w:cs="Calibri"/>
                <w:b/>
                <w:bCs/>
                <w:color w:val="FFFFFF"/>
                <w:sz w:val="18"/>
                <w:szCs w:val="18"/>
              </w:rPr>
              <w:t>Ownership</w:t>
            </w:r>
          </w:p>
        </w:tc>
        <w:tc>
          <w:tcPr>
            <w:tcW w:w="3920" w:type="dxa"/>
            <w:shd w:val="clear" w:color="auto" w:fill="1F3864"/>
            <w:tcMar>
              <w:top w:w="40" w:type="dxa"/>
              <w:left w:w="90" w:type="dxa"/>
              <w:bottom w:w="40" w:type="dxa"/>
              <w:right w:w="90" w:type="dxa"/>
            </w:tcMar>
          </w:tcPr>
          <w:p w14:paraId="07EA3C0E">
            <w:pPr>
              <w:spacing w:before="20" w:after="20" w:line="252" w:lineRule="auto"/>
              <w:jc w:val="left"/>
            </w:pPr>
            <w:r>
              <w:rPr>
                <w:rFonts w:ascii="Calibri" w:hAnsi="Calibri" w:eastAsia="Calibri" w:cs="Calibri"/>
                <w:b/>
                <w:bCs/>
                <w:color w:val="FFFFFF"/>
                <w:sz w:val="18"/>
                <w:szCs w:val="18"/>
              </w:rPr>
              <w:t>Purpose</w:t>
            </w:r>
          </w:p>
        </w:tc>
      </w:tr>
      <w:tr w14:paraId="3F3C9A48">
        <w:tc>
          <w:tcPr>
            <w:tcW w:w="2100" w:type="dxa"/>
            <w:shd w:val="clear" w:color="auto" w:fill="FFFFFF"/>
            <w:tcMar>
              <w:top w:w="40" w:type="dxa"/>
              <w:left w:w="90" w:type="dxa"/>
              <w:bottom w:w="40" w:type="dxa"/>
              <w:right w:w="90" w:type="dxa"/>
            </w:tcMar>
          </w:tcPr>
          <w:p w14:paraId="627A9A6B">
            <w:pPr>
              <w:spacing w:before="20" w:after="20" w:line="252" w:lineRule="auto"/>
              <w:jc w:val="left"/>
            </w:pPr>
            <w:r>
              <w:rPr>
                <w:rFonts w:ascii="Calibri" w:hAnsi="Calibri" w:eastAsia="Calibri" w:cs="Calibri"/>
                <w:b/>
                <w:bCs/>
                <w:color w:val="000000"/>
                <w:sz w:val="18"/>
                <w:szCs w:val="18"/>
              </w:rPr>
              <w:t>Local Dev</w:t>
            </w:r>
          </w:p>
        </w:tc>
        <w:tc>
          <w:tcPr>
            <w:tcW w:w="3000" w:type="dxa"/>
            <w:shd w:val="clear" w:color="auto" w:fill="FFFFFF"/>
            <w:tcMar>
              <w:top w:w="40" w:type="dxa"/>
              <w:left w:w="90" w:type="dxa"/>
              <w:bottom w:w="40" w:type="dxa"/>
              <w:right w:w="90" w:type="dxa"/>
            </w:tcMar>
          </w:tcPr>
          <w:p w14:paraId="6FDF2C69">
            <w:pPr>
              <w:spacing w:before="20" w:after="20" w:line="252" w:lineRule="auto"/>
              <w:jc w:val="left"/>
            </w:pPr>
            <w:r>
              <w:rPr>
                <w:rFonts w:ascii="Calibri" w:hAnsi="Calibri" w:eastAsia="Calibri" w:cs="Calibri"/>
                <w:b w:val="0"/>
                <w:bCs w:val="0"/>
                <w:color w:val="000000"/>
                <w:sz w:val="18"/>
                <w:szCs w:val="18"/>
              </w:rPr>
              <w:t>Wipro (limited connectivity)</w:t>
            </w:r>
          </w:p>
        </w:tc>
        <w:tc>
          <w:tcPr>
            <w:tcW w:w="3920" w:type="dxa"/>
            <w:shd w:val="clear" w:color="auto" w:fill="FFFFFF"/>
            <w:tcMar>
              <w:top w:w="40" w:type="dxa"/>
              <w:left w:w="90" w:type="dxa"/>
              <w:bottom w:w="40" w:type="dxa"/>
              <w:right w:w="90" w:type="dxa"/>
            </w:tcMar>
          </w:tcPr>
          <w:p w14:paraId="1151337E">
            <w:pPr>
              <w:spacing w:before="20" w:after="20" w:line="252" w:lineRule="auto"/>
              <w:jc w:val="left"/>
            </w:pPr>
            <w:r>
              <w:rPr>
                <w:rFonts w:ascii="Calibri" w:hAnsi="Calibri" w:eastAsia="Calibri" w:cs="Calibri"/>
                <w:b w:val="0"/>
                <w:bCs w:val="0"/>
                <w:color w:val="000000"/>
                <w:sz w:val="18"/>
                <w:szCs w:val="18"/>
              </w:rPr>
              <w:t>Build validation and smoke checks on the reachable Portal paths.</w:t>
            </w:r>
          </w:p>
        </w:tc>
      </w:tr>
      <w:tr w14:paraId="411AD5F9">
        <w:tc>
          <w:tcPr>
            <w:tcW w:w="2100" w:type="dxa"/>
            <w:shd w:val="clear" w:color="auto" w:fill="EEF1F7"/>
            <w:tcMar>
              <w:top w:w="40" w:type="dxa"/>
              <w:left w:w="90" w:type="dxa"/>
              <w:bottom w:w="40" w:type="dxa"/>
              <w:right w:w="90" w:type="dxa"/>
            </w:tcMar>
          </w:tcPr>
          <w:p w14:paraId="3029C3EB">
            <w:pPr>
              <w:spacing w:before="20" w:after="20" w:line="252" w:lineRule="auto"/>
              <w:jc w:val="left"/>
            </w:pPr>
            <w:r>
              <w:rPr>
                <w:rFonts w:ascii="Calibri" w:hAnsi="Calibri" w:eastAsia="Calibri" w:cs="Calibri"/>
                <w:b/>
                <w:bCs/>
                <w:color w:val="000000"/>
                <w:sz w:val="18"/>
                <w:szCs w:val="18"/>
              </w:rPr>
              <w:t>SIT</w:t>
            </w:r>
          </w:p>
        </w:tc>
        <w:tc>
          <w:tcPr>
            <w:tcW w:w="3000" w:type="dxa"/>
            <w:shd w:val="clear" w:color="auto" w:fill="EEF1F7"/>
            <w:tcMar>
              <w:top w:w="40" w:type="dxa"/>
              <w:left w:w="90" w:type="dxa"/>
              <w:bottom w:w="40" w:type="dxa"/>
              <w:right w:w="90" w:type="dxa"/>
            </w:tcMar>
          </w:tcPr>
          <w:p w14:paraId="07519992">
            <w:pPr>
              <w:spacing w:before="20" w:after="20" w:line="252" w:lineRule="auto"/>
              <w:jc w:val="left"/>
            </w:pPr>
            <w:r>
              <w:rPr>
                <w:rFonts w:ascii="Calibri" w:hAnsi="Calibri" w:eastAsia="Calibri" w:cs="Calibri"/>
                <w:b w:val="0"/>
                <w:bCs w:val="0"/>
                <w:color w:val="000000"/>
                <w:sz w:val="18"/>
                <w:szCs w:val="18"/>
              </w:rPr>
              <w:t>Joint — bank hosts, Wipro supports</w:t>
            </w:r>
          </w:p>
        </w:tc>
        <w:tc>
          <w:tcPr>
            <w:tcW w:w="3920" w:type="dxa"/>
            <w:shd w:val="clear" w:color="auto" w:fill="EEF1F7"/>
            <w:tcMar>
              <w:top w:w="40" w:type="dxa"/>
              <w:left w:w="90" w:type="dxa"/>
              <w:bottom w:w="40" w:type="dxa"/>
              <w:right w:w="90" w:type="dxa"/>
            </w:tcMar>
          </w:tcPr>
          <w:p w14:paraId="401F0147">
            <w:pPr>
              <w:spacing w:before="20" w:after="20" w:line="252" w:lineRule="auto"/>
              <w:jc w:val="left"/>
            </w:pPr>
            <w:r>
              <w:rPr>
                <w:rFonts w:ascii="Calibri" w:hAnsi="Calibri" w:eastAsia="Calibri" w:cs="Calibri"/>
                <w:b w:val="0"/>
                <w:bCs w:val="0"/>
                <w:color w:val="000000"/>
                <w:sz w:val="18"/>
                <w:szCs w:val="18"/>
              </w:rPr>
              <w:t>Functional and integration validation across the SG Portal surface.</w:t>
            </w:r>
          </w:p>
        </w:tc>
      </w:tr>
      <w:tr w14:paraId="373BB569">
        <w:tc>
          <w:tcPr>
            <w:tcW w:w="2100" w:type="dxa"/>
            <w:shd w:val="clear" w:color="auto" w:fill="FFFFFF"/>
            <w:tcMar>
              <w:top w:w="40" w:type="dxa"/>
              <w:left w:w="90" w:type="dxa"/>
              <w:bottom w:w="40" w:type="dxa"/>
              <w:right w:w="90" w:type="dxa"/>
            </w:tcMar>
          </w:tcPr>
          <w:p w14:paraId="7C1DD11A">
            <w:pPr>
              <w:spacing w:before="20" w:after="20" w:line="252" w:lineRule="auto"/>
              <w:jc w:val="left"/>
            </w:pPr>
            <w:r>
              <w:rPr>
                <w:rFonts w:ascii="Calibri" w:hAnsi="Calibri" w:eastAsia="Calibri" w:cs="Calibri"/>
                <w:b/>
                <w:bCs/>
                <w:color w:val="000000"/>
                <w:sz w:val="18"/>
                <w:szCs w:val="18"/>
              </w:rPr>
              <w:t>UAT</w:t>
            </w:r>
          </w:p>
        </w:tc>
        <w:tc>
          <w:tcPr>
            <w:tcW w:w="3000" w:type="dxa"/>
            <w:shd w:val="clear" w:color="auto" w:fill="FFFFFF"/>
            <w:tcMar>
              <w:top w:w="40" w:type="dxa"/>
              <w:left w:w="90" w:type="dxa"/>
              <w:bottom w:w="40" w:type="dxa"/>
              <w:right w:w="90" w:type="dxa"/>
            </w:tcMar>
          </w:tcPr>
          <w:p w14:paraId="2016813F">
            <w:pPr>
              <w:spacing w:before="20" w:after="20" w:line="252" w:lineRule="auto"/>
              <w:jc w:val="left"/>
            </w:pPr>
            <w:r>
              <w:rPr>
                <w:rFonts w:ascii="Calibri" w:hAnsi="Calibri" w:eastAsia="Calibri" w:cs="Calibri"/>
                <w:b w:val="0"/>
                <w:bCs w:val="0"/>
                <w:color w:val="000000"/>
                <w:sz w:val="18"/>
                <w:szCs w:val="18"/>
              </w:rPr>
              <w:t>Bank-led with Wipro support</w:t>
            </w:r>
          </w:p>
        </w:tc>
        <w:tc>
          <w:tcPr>
            <w:tcW w:w="3920" w:type="dxa"/>
            <w:shd w:val="clear" w:color="auto" w:fill="FFFFFF"/>
            <w:tcMar>
              <w:top w:w="40" w:type="dxa"/>
              <w:left w:w="90" w:type="dxa"/>
              <w:bottom w:w="40" w:type="dxa"/>
              <w:right w:w="90" w:type="dxa"/>
            </w:tcMar>
          </w:tcPr>
          <w:p w14:paraId="66D34B51">
            <w:pPr>
              <w:spacing w:before="20" w:after="20" w:line="252" w:lineRule="auto"/>
              <w:jc w:val="left"/>
            </w:pPr>
            <w:r>
              <w:rPr>
                <w:rFonts w:ascii="Calibri" w:hAnsi="Calibri" w:eastAsia="Calibri" w:cs="Calibri"/>
                <w:b w:val="0"/>
                <w:bCs w:val="0"/>
                <w:color w:val="000000"/>
                <w:sz w:val="18"/>
                <w:szCs w:val="18"/>
              </w:rPr>
              <w:t>Business-flow validation and regression.</w:t>
            </w:r>
          </w:p>
        </w:tc>
      </w:tr>
      <w:tr w14:paraId="43D0B523">
        <w:tc>
          <w:tcPr>
            <w:tcW w:w="2100" w:type="dxa"/>
            <w:shd w:val="clear" w:color="auto" w:fill="EEF1F7"/>
            <w:tcMar>
              <w:top w:w="40" w:type="dxa"/>
              <w:left w:w="90" w:type="dxa"/>
              <w:bottom w:w="40" w:type="dxa"/>
              <w:right w:w="90" w:type="dxa"/>
            </w:tcMar>
          </w:tcPr>
          <w:p w14:paraId="69C8425F">
            <w:pPr>
              <w:spacing w:before="20" w:after="20" w:line="252" w:lineRule="auto"/>
              <w:jc w:val="left"/>
            </w:pPr>
            <w:r>
              <w:rPr>
                <w:rFonts w:ascii="Calibri" w:hAnsi="Calibri" w:eastAsia="Calibri" w:cs="Calibri"/>
                <w:b/>
                <w:bCs/>
                <w:color w:val="000000"/>
                <w:sz w:val="18"/>
                <w:szCs w:val="18"/>
              </w:rPr>
              <w:t>Production</w:t>
            </w:r>
          </w:p>
        </w:tc>
        <w:tc>
          <w:tcPr>
            <w:tcW w:w="3000" w:type="dxa"/>
            <w:shd w:val="clear" w:color="auto" w:fill="EEF1F7"/>
            <w:tcMar>
              <w:top w:w="40" w:type="dxa"/>
              <w:left w:w="90" w:type="dxa"/>
              <w:bottom w:w="40" w:type="dxa"/>
              <w:right w:w="90" w:type="dxa"/>
            </w:tcMar>
          </w:tcPr>
          <w:p w14:paraId="510DDC27">
            <w:pPr>
              <w:spacing w:before="20" w:after="20" w:line="252" w:lineRule="auto"/>
              <w:jc w:val="left"/>
            </w:pPr>
            <w:r>
              <w:rPr>
                <w:rFonts w:ascii="Calibri" w:hAnsi="Calibri" w:eastAsia="Calibri" w:cs="Calibri"/>
                <w:b w:val="0"/>
                <w:bCs w:val="0"/>
                <w:color w:val="000000"/>
                <w:sz w:val="18"/>
                <w:szCs w:val="18"/>
              </w:rPr>
              <w:t>Bank</w:t>
            </w:r>
          </w:p>
        </w:tc>
        <w:tc>
          <w:tcPr>
            <w:tcW w:w="3920" w:type="dxa"/>
            <w:shd w:val="clear" w:color="auto" w:fill="EEF1F7"/>
            <w:tcMar>
              <w:top w:w="40" w:type="dxa"/>
              <w:left w:w="90" w:type="dxa"/>
              <w:bottom w:w="40" w:type="dxa"/>
              <w:right w:w="90" w:type="dxa"/>
            </w:tcMar>
          </w:tcPr>
          <w:p w14:paraId="274587F2">
            <w:pPr>
              <w:spacing w:before="20" w:after="20" w:line="252" w:lineRule="auto"/>
              <w:jc w:val="left"/>
            </w:pPr>
            <w:r>
              <w:rPr>
                <w:rFonts w:ascii="Calibri" w:hAnsi="Calibri" w:eastAsia="Calibri" w:cs="Calibri"/>
                <w:b w:val="0"/>
                <w:bCs w:val="0"/>
                <w:color w:val="000000"/>
                <w:sz w:val="18"/>
                <w:szCs w:val="18"/>
              </w:rPr>
              <w:t>Post-deployment monitoring.</w:t>
            </w:r>
          </w:p>
        </w:tc>
      </w:tr>
    </w:tbl>
    <w:p w14:paraId="6108E944">
      <w:pPr>
        <w:spacing w:after="120"/>
      </w:pPr>
    </w:p>
    <w:p w14:paraId="2C50E38C">
      <w:pPr>
        <w:pStyle w:val="3"/>
        <w:spacing w:before="180" w:after="90"/>
      </w:pPr>
      <w:r>
        <w:rPr>
          <w:rFonts w:ascii="Calibri" w:hAnsi="Calibri" w:eastAsia="Calibri" w:cs="Calibri"/>
          <w:b/>
          <w:bCs/>
          <w:color w:val="1F3864"/>
          <w:sz w:val="22"/>
          <w:szCs w:val="22"/>
        </w:rPr>
        <w:t>9.2  Wipro's Testing Responsibility</w:t>
      </w:r>
    </w:p>
    <w:p w14:paraId="7CEE469D">
      <w:pPr>
        <w:spacing w:after="120" w:line="264" w:lineRule="auto"/>
        <w:jc w:val="both"/>
      </w:pPr>
      <w:r>
        <w:rPr>
          <w:rFonts w:ascii="Calibri" w:hAnsi="Calibri" w:eastAsia="Calibri" w:cs="Calibri"/>
          <w:b w:val="0"/>
          <w:bCs w:val="0"/>
          <w:i w:val="0"/>
          <w:iCs w:val="0"/>
          <w:color w:val="000000"/>
          <w:sz w:val="20"/>
          <w:szCs w:val="20"/>
        </w:rPr>
        <w:t>Wipro's testing on the SG deliverable is scoped to what can be verified in the local dev environment given its restricted downstream connectivity, and is anchored to the actual libraries touched by this release. For SG this is materially larger than a patch-level release because of the Spring 4.x → 5.x migration and the log4j 1.x → 2.x transition.</w:t>
      </w:r>
    </w:p>
    <w:p w14:paraId="5B0D3253">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Build validation — </w:t>
      </w:r>
      <w:r>
        <w:rPr>
          <w:rFonts w:ascii="Calibri" w:hAnsi="Calibri" w:eastAsia="Calibri" w:cs="Calibri"/>
          <w:b w:val="0"/>
          <w:bCs w:val="0"/>
          <w:i w:val="0"/>
          <w:iCs w:val="0"/>
          <w:color w:val="000000"/>
          <w:sz w:val="20"/>
          <w:szCs w:val="20"/>
        </w:rPr>
        <w:t>successful compilation, dependency resolution and EAR packaging for the SG artefact set; confirmation that no version conflicts arise from the log4j 2.19.0 family, the Spring 5.3.34 family, or the newly introduced companions (spring-jcl, disruptor, failureaccess, accessors-smart).</w:t>
      </w:r>
    </w:p>
    <w:p w14:paraId="5FCCA413">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Spring context initialisation — </w:t>
      </w:r>
      <w:r>
        <w:rPr>
          <w:rFonts w:ascii="Calibri" w:hAnsi="Calibri" w:eastAsia="Calibri" w:cs="Calibri"/>
          <w:b w:val="0"/>
          <w:bCs w:val="0"/>
          <w:i w:val="0"/>
          <w:iCs w:val="0"/>
          <w:color w:val="000000"/>
          <w:sz w:val="20"/>
          <w:szCs w:val="20"/>
        </w:rPr>
        <w:t>Portal boot on local dev with the Spring 5.3.34 baseline replacing 4.2.9. Bean wiring for reachable controllers, services and AOP-annotated components verified without dependency-injection or context-startup errors. Code adjustments arising from the 4.x → 5.x API changes verified as compiling and initialising cleanly.</w:t>
      </w:r>
    </w:p>
    <w:p w14:paraId="25C5A215">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log4j 2.x initialisation — </w:t>
      </w:r>
      <w:r>
        <w:rPr>
          <w:rFonts w:ascii="Calibri" w:hAnsi="Calibri" w:eastAsia="Calibri" w:cs="Calibri"/>
          <w:b w:val="0"/>
          <w:bCs w:val="0"/>
          <w:i w:val="0"/>
          <w:iCs w:val="0"/>
          <w:color w:val="000000"/>
          <w:sz w:val="20"/>
          <w:szCs w:val="20"/>
        </w:rPr>
        <w:t>Portal boot verified with log4j-core 2.19.0 and its companion set (log4j-api, log4j-jcl, log4j-slf4j-impl). Where async loggers are configured, disruptor-backed queue engagement is verified at startup. Log routing to configured appenders exercised on local dev.</w:t>
      </w:r>
    </w:p>
    <w:p w14:paraId="6CD6D91B">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Direct retrofit smoke checks — </w:t>
      </w:r>
      <w:r>
        <w:rPr>
          <w:rFonts w:ascii="Calibri" w:hAnsi="Calibri" w:eastAsia="Calibri" w:cs="Calibri"/>
          <w:b w:val="0"/>
          <w:bCs w:val="0"/>
          <w:i w:val="0"/>
          <w:iCs w:val="0"/>
          <w:color w:val="000000"/>
          <w:sz w:val="20"/>
          <w:szCs w:val="20"/>
        </w:rPr>
        <w:t>for the nine libraries in Section 4.2, the reachable code paths that consume each library are exercised on local dev to confirm the drop-in replacement does not break reachable functionality.</w:t>
      </w:r>
    </w:p>
    <w:p w14:paraId="2C3DCEC0">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File upload path — </w:t>
      </w:r>
      <w:r>
        <w:rPr>
          <w:rFonts w:ascii="Calibri" w:hAnsi="Calibri" w:eastAsia="Calibri" w:cs="Calibri"/>
          <w:b w:val="0"/>
          <w:bCs w:val="0"/>
          <w:i w:val="0"/>
          <w:iCs w:val="0"/>
          <w:color w:val="000000"/>
          <w:sz w:val="20"/>
          <w:szCs w:val="20"/>
        </w:rPr>
        <w:t>commons-fileupload 1.2.2 → 1.6 verified on the file upload endpoints reachable from local dev. Multipart handling and basic size boundary conditions exercised.</w:t>
      </w:r>
    </w:p>
    <w:p w14:paraId="47405488">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JWT flow — </w:t>
      </w:r>
      <w:r>
        <w:rPr>
          <w:rFonts w:ascii="Calibri" w:hAnsi="Calibri" w:eastAsia="Calibri" w:cs="Calibri"/>
          <w:b w:val="0"/>
          <w:bCs w:val="0"/>
          <w:i w:val="0"/>
          <w:iCs w:val="0"/>
          <w:color w:val="000000"/>
          <w:sz w:val="20"/>
          <w:szCs w:val="20"/>
        </w:rPr>
        <w:t>nimbus-jose-jwt 4.40 → 9.37.4 verified through the JWT signing and verification paths reachable from local dev. Token generation and validation exercised with representative inputs.</w:t>
      </w:r>
    </w:p>
    <w:p w14:paraId="31E66AFE">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Velocity template rendering — </w:t>
      </w:r>
      <w:r>
        <w:rPr>
          <w:rFonts w:ascii="Calibri" w:hAnsi="Calibri" w:eastAsia="Calibri" w:cs="Calibri"/>
          <w:b w:val="0"/>
          <w:bCs w:val="0"/>
          <w:i w:val="0"/>
          <w:iCs w:val="0"/>
          <w:color w:val="000000"/>
          <w:sz w:val="20"/>
          <w:szCs w:val="20"/>
        </w:rPr>
        <w:t>Portal screens using Velocity 1.7 templates exercised to confirm no regression against current behaviour, given velocity is held on the current stack.</w:t>
      </w:r>
    </w:p>
    <w:p w14:paraId="48E79880">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Decommission verification — </w:t>
      </w:r>
      <w:r>
        <w:rPr>
          <w:rFonts w:ascii="Calibri" w:hAnsi="Calibri" w:eastAsia="Calibri" w:cs="Calibri"/>
          <w:b w:val="0"/>
          <w:bCs w:val="0"/>
          <w:i w:val="0"/>
          <w:iCs w:val="0"/>
          <w:color w:val="000000"/>
          <w:sz w:val="20"/>
          <w:szCs w:val="20"/>
        </w:rPr>
        <w:t>classpath inspection and Portal boot confirm that the removed activemq-core 5.4.1 and activemq-jaas 5.4.3 are no longer loaded and that no runtime path references them.</w:t>
      </w:r>
    </w:p>
    <w:p w14:paraId="5AA0F482">
      <w:pPr>
        <w:pStyle w:val="3"/>
        <w:spacing w:before="180" w:after="90"/>
      </w:pPr>
      <w:r>
        <w:rPr>
          <w:rFonts w:ascii="Calibri" w:hAnsi="Calibri" w:eastAsia="Calibri" w:cs="Calibri"/>
          <w:b/>
          <w:bCs/>
          <w:color w:val="1F3864"/>
          <w:sz w:val="22"/>
          <w:szCs w:val="22"/>
        </w:rPr>
        <w:t>9.3  Bank's Testing Responsibility</w:t>
      </w:r>
    </w:p>
    <w:p w14:paraId="22FAFDD3">
      <w:pPr>
        <w:spacing w:after="120" w:line="264" w:lineRule="auto"/>
        <w:jc w:val="both"/>
      </w:pPr>
      <w:r>
        <w:rPr>
          <w:rFonts w:ascii="Calibri" w:hAnsi="Calibri" w:eastAsia="Calibri" w:cs="Calibri"/>
          <w:b w:val="0"/>
          <w:bCs w:val="0"/>
          <w:i w:val="0"/>
          <w:iCs w:val="0"/>
          <w:color w:val="000000"/>
          <w:sz w:val="20"/>
          <w:szCs w:val="20"/>
        </w:rPr>
        <w:t>Functional regression of the SG Portal on SIT and UAT sits with the UOB SG test team. Given this release covers a Spring major-version migration, the log4j 1.x → 2.x transition, and a set of direct retrofits, the bank test focus is anchored to the specific touchpoints below. A detailed QA / test-case document will be shared separately by Wipro to guide the mapping to specific Portal screens and flows.</w:t>
      </w:r>
    </w:p>
    <w:p w14:paraId="145A5BCC">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Portal boot and Spring context initialisation on SIT — </w:t>
      </w:r>
      <w:r>
        <w:rPr>
          <w:rFonts w:ascii="Calibri" w:hAnsi="Calibri" w:eastAsia="Calibri" w:cs="Calibri"/>
          <w:b w:val="0"/>
          <w:bCs w:val="0"/>
          <w:i w:val="0"/>
          <w:iCs w:val="0"/>
          <w:color w:val="000000"/>
          <w:sz w:val="20"/>
          <w:szCs w:val="20"/>
        </w:rPr>
        <w:t>full application startup, bean wiring, dependency injection and AOP interceptor engagement. Touchpoint: Spring family 4.2.9 → 5.3.34. The largest touchpoint in the SG release.</w:t>
      </w:r>
    </w:p>
    <w:p w14:paraId="2F0845CA">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Spring-driven request handling — </w:t>
      </w:r>
      <w:r>
        <w:rPr>
          <w:rFonts w:ascii="Calibri" w:hAnsi="Calibri" w:eastAsia="Calibri" w:cs="Calibri"/>
          <w:b w:val="0"/>
          <w:bCs w:val="0"/>
          <w:i w:val="0"/>
          <w:iCs w:val="0"/>
          <w:color w:val="000000"/>
          <w:sz w:val="20"/>
          <w:szCs w:val="20"/>
        </w:rPr>
        <w:t>controller endpoints, request mapping, data binding, view resolution, exception handling and transaction boundaries. Touchpoint: Spring family 4.2.9 → 5.3.34 and spring-webmvc-portlet 4.2.9 → 4.3.30.RELEASE.</w:t>
      </w:r>
    </w:p>
    <w:p w14:paraId="57B19FB0">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Async logging and log routing — </w:t>
      </w:r>
      <w:r>
        <w:rPr>
          <w:rFonts w:ascii="Calibri" w:hAnsi="Calibri" w:eastAsia="Calibri" w:cs="Calibri"/>
          <w:b w:val="0"/>
          <w:bCs w:val="0"/>
          <w:i w:val="0"/>
          <w:iCs w:val="0"/>
          <w:color w:val="000000"/>
          <w:sz w:val="20"/>
          <w:szCs w:val="20"/>
        </w:rPr>
        <w:t>application boot with log4j 2.19.0, sustained logging under representative load, routing to configured appenders and downstream (SIEM, monitoring) integrations. Touchpoint: log4j 1.2.17 → log4j-core 2.19.0.</w:t>
      </w:r>
    </w:p>
    <w:p w14:paraId="2254094B">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JSON serialisation / deserialisation across REST endpoints — </w:t>
      </w:r>
      <w:r>
        <w:rPr>
          <w:rFonts w:ascii="Calibri" w:hAnsi="Calibri" w:eastAsia="Calibri" w:cs="Calibri"/>
          <w:b w:val="0"/>
          <w:bCs w:val="0"/>
          <w:i w:val="0"/>
          <w:iCs w:val="0"/>
          <w:color w:val="000000"/>
          <w:sz w:val="20"/>
          <w:szCs w:val="20"/>
        </w:rPr>
        <w:t>every Portal endpoint that produces or consumes JSON. Touchpoint: jackson-databind 2.10.0 → 2.15.0 and jackson-core 2.10.4 → 2.15.0.</w:t>
      </w:r>
    </w:p>
    <w:p w14:paraId="2D2F2425">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Authentication and authorisation via JWT — </w:t>
      </w:r>
      <w:r>
        <w:rPr>
          <w:rFonts w:ascii="Calibri" w:hAnsi="Calibri" w:eastAsia="Calibri" w:cs="Calibri"/>
          <w:b w:val="0"/>
          <w:bCs w:val="0"/>
          <w:i w:val="0"/>
          <w:iCs w:val="0"/>
          <w:color w:val="000000"/>
          <w:sz w:val="20"/>
          <w:szCs w:val="20"/>
        </w:rPr>
        <w:t>token issuance at login, validation on every authenticated request, JWKSet parsing and refresh. Touchpoint: nimbus-jose-jwt 4.40 → 9.37.4.</w:t>
      </w:r>
    </w:p>
    <w:p w14:paraId="60AABF60">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File upload flows — </w:t>
      </w:r>
      <w:r>
        <w:rPr>
          <w:rFonts w:ascii="Calibri" w:hAnsi="Calibri" w:eastAsia="Calibri" w:cs="Calibri"/>
          <w:b w:val="0"/>
          <w:bCs w:val="0"/>
          <w:i w:val="0"/>
          <w:iCs w:val="0"/>
          <w:color w:val="000000"/>
          <w:sz w:val="20"/>
          <w:szCs w:val="20"/>
        </w:rPr>
        <w:t>every Portal function that accepts a file upload. Multipart handling, realistic file sizes, unusual filenames and boundary conditions. Touchpoint: commons-fileupload 1.2.2 → 1.6.</w:t>
      </w:r>
    </w:p>
    <w:p w14:paraId="1CE2D0E4">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SVG / image rendering paths that use batik — </w:t>
      </w:r>
      <w:r>
        <w:rPr>
          <w:rFonts w:ascii="Calibri" w:hAnsi="Calibri" w:eastAsia="Calibri" w:cs="Calibri"/>
          <w:b w:val="0"/>
          <w:bCs w:val="0"/>
          <w:i w:val="0"/>
          <w:iCs w:val="0"/>
          <w:color w:val="000000"/>
          <w:sz w:val="20"/>
          <w:szCs w:val="20"/>
        </w:rPr>
        <w:t>Portal functions that generate or render SVG. Touchpoint: batik-all 1.11 + 1.6 → 1.15.</w:t>
      </w:r>
    </w:p>
    <w:p w14:paraId="4ABB4F49">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Velocity template screens — </w:t>
      </w:r>
      <w:r>
        <w:rPr>
          <w:rFonts w:ascii="Calibri" w:hAnsi="Calibri" w:eastAsia="Calibri" w:cs="Calibri"/>
          <w:b w:val="0"/>
          <w:bCs w:val="0"/>
          <w:i w:val="0"/>
          <w:iCs w:val="0"/>
          <w:color w:val="000000"/>
          <w:sz w:val="20"/>
          <w:szCs w:val="20"/>
        </w:rPr>
        <w:t>regression check to confirm no unexpected change in rendered output. Touchpoint: velocity held on the current stack (Section 4.4).</w:t>
      </w:r>
    </w:p>
    <w:p w14:paraId="249C76AA">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Bank-environment integration paths — </w:t>
      </w:r>
      <w:r>
        <w:rPr>
          <w:rFonts w:ascii="Calibri" w:hAnsi="Calibri" w:eastAsia="Calibri" w:cs="Calibri"/>
          <w:b w:val="0"/>
          <w:bCs w:val="0"/>
          <w:i w:val="0"/>
          <w:iCs w:val="0"/>
          <w:color w:val="000000"/>
          <w:sz w:val="20"/>
          <w:szCs w:val="20"/>
        </w:rPr>
        <w:t>upstream / downstream connections that interact with the Portal via any of the upgraded surfaces above.</w:t>
      </w:r>
    </w:p>
    <w:p w14:paraId="5A60D1D5">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Business acceptance on UAT — </w:t>
      </w:r>
      <w:r>
        <w:rPr>
          <w:rFonts w:ascii="Calibri" w:hAnsi="Calibri" w:eastAsia="Calibri" w:cs="Calibri"/>
          <w:b w:val="0"/>
          <w:bCs w:val="0"/>
          <w:i w:val="0"/>
          <w:iCs w:val="0"/>
          <w:color w:val="000000"/>
          <w:sz w:val="20"/>
          <w:szCs w:val="20"/>
        </w:rPr>
        <w:t>for the flows identified above.</w:t>
      </w:r>
    </w:p>
    <w:p w14:paraId="0C469282">
      <w:pPr>
        <w:spacing w:after="120" w:line="264" w:lineRule="auto"/>
        <w:jc w:val="both"/>
      </w:pPr>
      <w:r>
        <w:rPr>
          <w:rFonts w:ascii="Calibri" w:hAnsi="Calibri" w:eastAsia="Calibri" w:cs="Calibri"/>
          <w:b w:val="0"/>
          <w:bCs w:val="0"/>
          <w:i w:val="0"/>
          <w:iCs w:val="0"/>
          <w:color w:val="000000"/>
          <w:sz w:val="20"/>
          <w:szCs w:val="20"/>
        </w:rPr>
        <w:t>Portal areas not touched by any library change in Sections 4 and 5 do not require re-regression as part of this release. The scope is deliberately bounded by what has changed — but for SG the footprint is broad given the Spring and log4j migrations.</w:t>
      </w:r>
    </w:p>
    <w:p w14:paraId="6C139D7A">
      <w:pPr>
        <w:pStyle w:val="3"/>
        <w:spacing w:before="180" w:after="90"/>
      </w:pPr>
      <w:r>
        <w:rPr>
          <w:rFonts w:ascii="Calibri" w:hAnsi="Calibri" w:eastAsia="Calibri" w:cs="Calibri"/>
          <w:b/>
          <w:bCs/>
          <w:color w:val="1F3864"/>
          <w:sz w:val="22"/>
          <w:szCs w:val="22"/>
        </w:rPr>
        <w:t>9.4  Impact Assessment</w:t>
      </w:r>
    </w:p>
    <w:p w14:paraId="062012D6">
      <w:pPr>
        <w:spacing w:after="120" w:line="264" w:lineRule="auto"/>
        <w:jc w:val="both"/>
      </w:pPr>
      <w:r>
        <w:rPr>
          <w:rFonts w:ascii="Calibri" w:hAnsi="Calibri" w:eastAsia="Calibri" w:cs="Calibri"/>
          <w:b w:val="0"/>
          <w:bCs w:val="0"/>
          <w:i w:val="0"/>
          <w:iCs w:val="0"/>
          <w:color w:val="000000"/>
          <w:sz w:val="20"/>
          <w:szCs w:val="20"/>
        </w:rPr>
        <w:t>The change footprint for the SG release is scoped as follows, to guide the SG test team's regression coverage planning.</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00"/>
        <w:gridCol w:w="6420"/>
      </w:tblGrid>
      <w:tr w14:paraId="124D9DFC">
        <w:trPr>
          <w:tblHeader/>
        </w:trPr>
        <w:tc>
          <w:tcPr>
            <w:tcW w:w="2600" w:type="dxa"/>
            <w:shd w:val="clear" w:color="auto" w:fill="1F3864"/>
            <w:tcMar>
              <w:top w:w="40" w:type="dxa"/>
              <w:left w:w="90" w:type="dxa"/>
              <w:bottom w:w="40" w:type="dxa"/>
              <w:right w:w="90" w:type="dxa"/>
            </w:tcMar>
          </w:tcPr>
          <w:p w14:paraId="3D4F3B08">
            <w:pPr>
              <w:spacing w:before="20" w:after="20" w:line="252" w:lineRule="auto"/>
              <w:jc w:val="left"/>
            </w:pPr>
            <w:r>
              <w:rPr>
                <w:rFonts w:ascii="Calibri" w:hAnsi="Calibri" w:eastAsia="Calibri" w:cs="Calibri"/>
                <w:b/>
                <w:bCs/>
                <w:color w:val="FFFFFF"/>
                <w:sz w:val="18"/>
                <w:szCs w:val="18"/>
              </w:rPr>
              <w:t>Change Type</w:t>
            </w:r>
          </w:p>
        </w:tc>
        <w:tc>
          <w:tcPr>
            <w:tcW w:w="6420" w:type="dxa"/>
            <w:shd w:val="clear" w:color="auto" w:fill="1F3864"/>
            <w:tcMar>
              <w:top w:w="40" w:type="dxa"/>
              <w:left w:w="90" w:type="dxa"/>
              <w:bottom w:w="40" w:type="dxa"/>
              <w:right w:w="90" w:type="dxa"/>
            </w:tcMar>
          </w:tcPr>
          <w:p w14:paraId="269FFA9C">
            <w:pPr>
              <w:spacing w:before="20" w:after="20" w:line="252" w:lineRule="auto"/>
              <w:jc w:val="left"/>
            </w:pPr>
            <w:r>
              <w:rPr>
                <w:rFonts w:ascii="Calibri" w:hAnsi="Calibri" w:eastAsia="Calibri" w:cs="Calibri"/>
                <w:b/>
                <w:bCs/>
                <w:color w:val="FFFFFF"/>
                <w:sz w:val="18"/>
                <w:szCs w:val="18"/>
              </w:rPr>
              <w:t>Impact Assessment for SG</w:t>
            </w:r>
          </w:p>
        </w:tc>
      </w:tr>
      <w:tr w14:paraId="68AC519E">
        <w:tc>
          <w:tcPr>
            <w:tcW w:w="2600" w:type="dxa"/>
            <w:shd w:val="clear" w:color="auto" w:fill="FFFFFF"/>
            <w:tcMar>
              <w:top w:w="40" w:type="dxa"/>
              <w:left w:w="90" w:type="dxa"/>
              <w:bottom w:w="40" w:type="dxa"/>
              <w:right w:w="90" w:type="dxa"/>
            </w:tcMar>
          </w:tcPr>
          <w:p w14:paraId="752EA10D">
            <w:pPr>
              <w:spacing w:before="20" w:after="20" w:line="252" w:lineRule="auto"/>
              <w:jc w:val="left"/>
            </w:pPr>
            <w:r>
              <w:rPr>
                <w:rFonts w:ascii="Calibri" w:hAnsi="Calibri" w:eastAsia="Calibri" w:cs="Calibri"/>
                <w:b/>
                <w:bCs/>
                <w:color w:val="000000"/>
                <w:sz w:val="18"/>
                <w:szCs w:val="18"/>
              </w:rPr>
              <w:t>Business logic</w:t>
            </w:r>
          </w:p>
        </w:tc>
        <w:tc>
          <w:tcPr>
            <w:tcW w:w="6420" w:type="dxa"/>
            <w:shd w:val="clear" w:color="auto" w:fill="FFFFFF"/>
            <w:tcMar>
              <w:top w:w="40" w:type="dxa"/>
              <w:left w:w="90" w:type="dxa"/>
              <w:bottom w:w="40" w:type="dxa"/>
              <w:right w:w="90" w:type="dxa"/>
            </w:tcMar>
          </w:tcPr>
          <w:p w14:paraId="61F2E145">
            <w:pPr>
              <w:spacing w:before="20" w:after="20" w:line="252" w:lineRule="auto"/>
              <w:jc w:val="left"/>
            </w:pPr>
            <w:r>
              <w:rPr>
                <w:rFonts w:ascii="Calibri" w:hAnsi="Calibri" w:eastAsia="Calibri" w:cs="Calibri"/>
                <w:b w:val="0"/>
                <w:bCs w:val="0"/>
                <w:color w:val="000000"/>
                <w:sz w:val="18"/>
                <w:szCs w:val="18"/>
              </w:rPr>
              <w:t>No change intended. Scope is library and dependency alignment only.</w:t>
            </w:r>
          </w:p>
        </w:tc>
      </w:tr>
      <w:tr w14:paraId="3A6EEF9A">
        <w:tc>
          <w:tcPr>
            <w:tcW w:w="2600" w:type="dxa"/>
            <w:shd w:val="clear" w:color="auto" w:fill="EEF1F7"/>
            <w:tcMar>
              <w:top w:w="40" w:type="dxa"/>
              <w:left w:w="90" w:type="dxa"/>
              <w:bottom w:w="40" w:type="dxa"/>
              <w:right w:w="90" w:type="dxa"/>
            </w:tcMar>
          </w:tcPr>
          <w:p w14:paraId="3E71DBFF">
            <w:pPr>
              <w:spacing w:before="20" w:after="20" w:line="252" w:lineRule="auto"/>
              <w:jc w:val="left"/>
            </w:pPr>
            <w:r>
              <w:rPr>
                <w:rFonts w:ascii="Calibri" w:hAnsi="Calibri" w:eastAsia="Calibri" w:cs="Calibri"/>
                <w:b/>
                <w:bCs/>
                <w:color w:val="000000"/>
                <w:sz w:val="18"/>
                <w:szCs w:val="18"/>
              </w:rPr>
              <w:t>Database schema and data</w:t>
            </w:r>
          </w:p>
        </w:tc>
        <w:tc>
          <w:tcPr>
            <w:tcW w:w="6420" w:type="dxa"/>
            <w:shd w:val="clear" w:color="auto" w:fill="EEF1F7"/>
            <w:tcMar>
              <w:top w:w="40" w:type="dxa"/>
              <w:left w:w="90" w:type="dxa"/>
              <w:bottom w:w="40" w:type="dxa"/>
              <w:right w:w="90" w:type="dxa"/>
            </w:tcMar>
          </w:tcPr>
          <w:p w14:paraId="193F2644">
            <w:pPr>
              <w:spacing w:before="20" w:after="20" w:line="252" w:lineRule="auto"/>
              <w:jc w:val="left"/>
            </w:pPr>
            <w:r>
              <w:rPr>
                <w:rFonts w:ascii="Calibri" w:hAnsi="Calibri" w:eastAsia="Calibri" w:cs="Calibri"/>
                <w:b w:val="0"/>
                <w:bCs w:val="0"/>
                <w:color w:val="000000"/>
                <w:sz w:val="18"/>
                <w:szCs w:val="18"/>
              </w:rPr>
              <w:t>No change intended.</w:t>
            </w:r>
          </w:p>
        </w:tc>
      </w:tr>
      <w:tr w14:paraId="12B38EC4">
        <w:tc>
          <w:tcPr>
            <w:tcW w:w="2600" w:type="dxa"/>
            <w:shd w:val="clear" w:color="auto" w:fill="FFFFFF"/>
            <w:tcMar>
              <w:top w:w="40" w:type="dxa"/>
              <w:left w:w="90" w:type="dxa"/>
              <w:bottom w:w="40" w:type="dxa"/>
              <w:right w:w="90" w:type="dxa"/>
            </w:tcMar>
          </w:tcPr>
          <w:p w14:paraId="3ADD0CFE">
            <w:pPr>
              <w:spacing w:before="20" w:after="20" w:line="252" w:lineRule="auto"/>
              <w:jc w:val="left"/>
            </w:pPr>
            <w:r>
              <w:rPr>
                <w:rFonts w:ascii="Calibri" w:hAnsi="Calibri" w:eastAsia="Calibri" w:cs="Calibri"/>
                <w:b/>
                <w:bCs/>
                <w:color w:val="000000"/>
                <w:sz w:val="18"/>
                <w:szCs w:val="18"/>
              </w:rPr>
              <w:t>External interfaces and APIs</w:t>
            </w:r>
          </w:p>
        </w:tc>
        <w:tc>
          <w:tcPr>
            <w:tcW w:w="6420" w:type="dxa"/>
            <w:shd w:val="clear" w:color="auto" w:fill="FFFFFF"/>
            <w:tcMar>
              <w:top w:w="40" w:type="dxa"/>
              <w:left w:w="90" w:type="dxa"/>
              <w:bottom w:w="40" w:type="dxa"/>
              <w:right w:w="90" w:type="dxa"/>
            </w:tcMar>
          </w:tcPr>
          <w:p w14:paraId="3000DFA9">
            <w:pPr>
              <w:spacing w:before="20" w:after="20" w:line="252" w:lineRule="auto"/>
              <w:jc w:val="left"/>
            </w:pPr>
            <w:r>
              <w:rPr>
                <w:rFonts w:ascii="Calibri" w:hAnsi="Calibri" w:eastAsia="Calibri" w:cs="Calibri"/>
                <w:b w:val="0"/>
                <w:bCs w:val="0"/>
                <w:color w:val="000000"/>
                <w:sz w:val="18"/>
                <w:szCs w:val="18"/>
              </w:rPr>
              <w:t>No change intended in contract or schema.</w:t>
            </w:r>
          </w:p>
        </w:tc>
      </w:tr>
      <w:tr w14:paraId="1BA8BD06">
        <w:tc>
          <w:tcPr>
            <w:tcW w:w="2600" w:type="dxa"/>
            <w:shd w:val="clear" w:color="auto" w:fill="EEF1F7"/>
            <w:tcMar>
              <w:top w:w="40" w:type="dxa"/>
              <w:left w:w="90" w:type="dxa"/>
              <w:bottom w:w="40" w:type="dxa"/>
              <w:right w:w="90" w:type="dxa"/>
            </w:tcMar>
          </w:tcPr>
          <w:p w14:paraId="3CF56970">
            <w:pPr>
              <w:spacing w:before="20" w:after="20" w:line="252" w:lineRule="auto"/>
              <w:jc w:val="left"/>
            </w:pPr>
            <w:r>
              <w:rPr>
                <w:rFonts w:ascii="Calibri" w:hAnsi="Calibri" w:eastAsia="Calibri" w:cs="Calibri"/>
                <w:b/>
                <w:bCs/>
                <w:color w:val="000000"/>
                <w:sz w:val="18"/>
                <w:szCs w:val="18"/>
              </w:rPr>
              <w:t>Runtime configuration</w:t>
            </w:r>
          </w:p>
        </w:tc>
        <w:tc>
          <w:tcPr>
            <w:tcW w:w="6420" w:type="dxa"/>
            <w:shd w:val="clear" w:color="auto" w:fill="EEF1F7"/>
            <w:tcMar>
              <w:top w:w="40" w:type="dxa"/>
              <w:left w:w="90" w:type="dxa"/>
              <w:bottom w:w="40" w:type="dxa"/>
              <w:right w:w="90" w:type="dxa"/>
            </w:tcMar>
          </w:tcPr>
          <w:p w14:paraId="6D133C4B">
            <w:pPr>
              <w:spacing w:before="20" w:after="20" w:line="252" w:lineRule="auto"/>
              <w:jc w:val="left"/>
            </w:pPr>
            <w:r>
              <w:rPr>
                <w:rFonts w:ascii="Calibri" w:hAnsi="Calibri" w:eastAsia="Calibri" w:cs="Calibri"/>
                <w:b w:val="0"/>
                <w:bCs w:val="0"/>
                <w:color w:val="000000"/>
                <w:sz w:val="18"/>
                <w:szCs w:val="18"/>
              </w:rPr>
              <w:t>Limited to Spring context bootstrap (XML or Java configuration classes) and the log4j2 configuration file (transition from the log4j 1.2.17 properties format to the log4j2 XML or properties format).</w:t>
            </w:r>
          </w:p>
        </w:tc>
      </w:tr>
      <w:tr w14:paraId="7E3EDD4E">
        <w:tc>
          <w:tcPr>
            <w:tcW w:w="2600" w:type="dxa"/>
            <w:shd w:val="clear" w:color="auto" w:fill="FFFFFF"/>
            <w:tcMar>
              <w:top w:w="40" w:type="dxa"/>
              <w:left w:w="90" w:type="dxa"/>
              <w:bottom w:w="40" w:type="dxa"/>
              <w:right w:w="90" w:type="dxa"/>
            </w:tcMar>
          </w:tcPr>
          <w:p w14:paraId="37560196">
            <w:pPr>
              <w:spacing w:before="20" w:after="20" w:line="252" w:lineRule="auto"/>
              <w:jc w:val="left"/>
            </w:pPr>
            <w:r>
              <w:rPr>
                <w:rFonts w:ascii="Calibri" w:hAnsi="Calibri" w:eastAsia="Calibri" w:cs="Calibri"/>
                <w:b/>
                <w:bCs/>
                <w:color w:val="000000"/>
                <w:sz w:val="18"/>
                <w:szCs w:val="18"/>
              </w:rPr>
              <w:t>Library and dependency versions</w:t>
            </w:r>
          </w:p>
        </w:tc>
        <w:tc>
          <w:tcPr>
            <w:tcW w:w="6420" w:type="dxa"/>
            <w:shd w:val="clear" w:color="auto" w:fill="FFFFFF"/>
            <w:tcMar>
              <w:top w:w="40" w:type="dxa"/>
              <w:left w:w="90" w:type="dxa"/>
              <w:bottom w:w="40" w:type="dxa"/>
              <w:right w:w="90" w:type="dxa"/>
            </w:tcMar>
          </w:tcPr>
          <w:p w14:paraId="013B4A4A">
            <w:pPr>
              <w:spacing w:before="20" w:after="20" w:line="252" w:lineRule="auto"/>
              <w:jc w:val="left"/>
            </w:pPr>
            <w:r>
              <w:rPr>
                <w:rFonts w:ascii="Calibri" w:hAnsi="Calibri" w:eastAsia="Calibri" w:cs="Calibri"/>
                <w:b w:val="0"/>
                <w:bCs w:val="0"/>
                <w:color w:val="000000"/>
                <w:sz w:val="18"/>
                <w:szCs w:val="18"/>
              </w:rPr>
              <w:t>Central focus of the change — per Sections 4, 5 and 6.</w:t>
            </w:r>
          </w:p>
        </w:tc>
      </w:tr>
      <w:tr w14:paraId="79220223">
        <w:tc>
          <w:tcPr>
            <w:tcW w:w="2600" w:type="dxa"/>
            <w:shd w:val="clear" w:color="auto" w:fill="EEF1F7"/>
            <w:tcMar>
              <w:top w:w="40" w:type="dxa"/>
              <w:left w:w="90" w:type="dxa"/>
              <w:bottom w:w="40" w:type="dxa"/>
              <w:right w:w="90" w:type="dxa"/>
            </w:tcMar>
          </w:tcPr>
          <w:p w14:paraId="32C35CD5">
            <w:pPr>
              <w:spacing w:before="20" w:after="20" w:line="252" w:lineRule="auto"/>
              <w:jc w:val="left"/>
            </w:pPr>
            <w:r>
              <w:rPr>
                <w:rFonts w:ascii="Calibri" w:hAnsi="Calibri" w:eastAsia="Calibri" w:cs="Calibri"/>
                <w:b/>
                <w:bCs/>
                <w:color w:val="000000"/>
                <w:sz w:val="18"/>
                <w:szCs w:val="18"/>
              </w:rPr>
              <w:t>Application code</w:t>
            </w:r>
          </w:p>
        </w:tc>
        <w:tc>
          <w:tcPr>
            <w:tcW w:w="6420" w:type="dxa"/>
            <w:shd w:val="clear" w:color="auto" w:fill="EEF1F7"/>
            <w:tcMar>
              <w:top w:w="40" w:type="dxa"/>
              <w:left w:w="90" w:type="dxa"/>
              <w:bottom w:w="40" w:type="dxa"/>
              <w:right w:w="90" w:type="dxa"/>
            </w:tcMar>
          </w:tcPr>
          <w:p w14:paraId="30353E95">
            <w:pPr>
              <w:spacing w:before="20" w:after="20" w:line="252" w:lineRule="auto"/>
              <w:jc w:val="left"/>
            </w:pPr>
            <w:r>
              <w:rPr>
                <w:rFonts w:ascii="Calibri" w:hAnsi="Calibri" w:eastAsia="Calibri" w:cs="Calibri"/>
                <w:b w:val="0"/>
                <w:bCs w:val="0"/>
                <w:color w:val="000000"/>
                <w:sz w:val="18"/>
                <w:szCs w:val="18"/>
              </w:rPr>
              <w:t>Code adjustments arising from the Spring 4.x → 5.x API surface changes, focused on areas that use the changed APIs — none intended to alter business behaviour. log4j logger initialisation code updated for the 2.x API pattern.</w:t>
            </w:r>
          </w:p>
        </w:tc>
      </w:tr>
    </w:tbl>
    <w:p w14:paraId="5ECA72A5">
      <w:pPr>
        <w:spacing w:after="120"/>
      </w:pPr>
    </w:p>
    <w:p w14:paraId="327C0301">
      <w:pPr>
        <w:pStyle w:val="3"/>
        <w:spacing w:before="180" w:after="90"/>
      </w:pPr>
      <w:r>
        <w:rPr>
          <w:rFonts w:ascii="Calibri" w:hAnsi="Calibri" w:eastAsia="Calibri" w:cs="Calibri"/>
          <w:b/>
          <w:bCs/>
          <w:color w:val="1F3864"/>
          <w:sz w:val="22"/>
          <w:szCs w:val="22"/>
        </w:rPr>
        <w:t>9.5  Regression Attention by Library Family</w:t>
      </w:r>
    </w:p>
    <w:p w14:paraId="7EDD5119">
      <w:pPr>
        <w:spacing w:after="120" w:line="264" w:lineRule="auto"/>
        <w:jc w:val="both"/>
      </w:pPr>
      <w:r>
        <w:rPr>
          <w:rFonts w:ascii="Calibri" w:hAnsi="Calibri" w:eastAsia="Calibri" w:cs="Calibri"/>
          <w:b w:val="0"/>
          <w:bCs w:val="0"/>
          <w:i w:val="0"/>
          <w:iCs w:val="0"/>
          <w:color w:val="000000"/>
          <w:sz w:val="20"/>
          <w:szCs w:val="20"/>
        </w:rPr>
        <w:t>Category-level guidance for the SG test team. Functional scenario mapping remains the test team's exercise.</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6620"/>
      </w:tblGrid>
      <w:tr w14:paraId="0EA15393">
        <w:trPr>
          <w:tblHeader/>
        </w:trPr>
        <w:tc>
          <w:tcPr>
            <w:tcW w:w="2400" w:type="dxa"/>
            <w:shd w:val="clear" w:color="auto" w:fill="1F3864"/>
            <w:tcMar>
              <w:top w:w="40" w:type="dxa"/>
              <w:left w:w="90" w:type="dxa"/>
              <w:bottom w:w="40" w:type="dxa"/>
              <w:right w:w="90" w:type="dxa"/>
            </w:tcMar>
          </w:tcPr>
          <w:p w14:paraId="044AA1A1">
            <w:pPr>
              <w:spacing w:before="20" w:after="20" w:line="252" w:lineRule="auto"/>
              <w:jc w:val="left"/>
            </w:pPr>
            <w:r>
              <w:rPr>
                <w:rFonts w:ascii="Calibri" w:hAnsi="Calibri" w:eastAsia="Calibri" w:cs="Calibri"/>
                <w:b/>
                <w:bCs/>
                <w:color w:val="FFFFFF"/>
                <w:sz w:val="18"/>
                <w:szCs w:val="18"/>
              </w:rPr>
              <w:t>Library Family</w:t>
            </w:r>
          </w:p>
        </w:tc>
        <w:tc>
          <w:tcPr>
            <w:tcW w:w="6620" w:type="dxa"/>
            <w:shd w:val="clear" w:color="auto" w:fill="1F3864"/>
            <w:tcMar>
              <w:top w:w="40" w:type="dxa"/>
              <w:left w:w="90" w:type="dxa"/>
              <w:bottom w:w="40" w:type="dxa"/>
              <w:right w:w="90" w:type="dxa"/>
            </w:tcMar>
          </w:tcPr>
          <w:p w14:paraId="5D50A37E">
            <w:pPr>
              <w:spacing w:before="20" w:after="20" w:line="252" w:lineRule="auto"/>
              <w:jc w:val="left"/>
            </w:pPr>
            <w:r>
              <w:rPr>
                <w:rFonts w:ascii="Calibri" w:hAnsi="Calibri" w:eastAsia="Calibri" w:cs="Calibri"/>
                <w:b/>
                <w:bCs/>
                <w:color w:val="FFFFFF"/>
                <w:sz w:val="18"/>
                <w:szCs w:val="18"/>
              </w:rPr>
              <w:t>Where Regression Attention Is Warranted</w:t>
            </w:r>
          </w:p>
        </w:tc>
      </w:tr>
      <w:tr w14:paraId="12B29C63">
        <w:tc>
          <w:tcPr>
            <w:tcW w:w="2400" w:type="dxa"/>
            <w:shd w:val="clear" w:color="auto" w:fill="FFFFFF"/>
            <w:tcMar>
              <w:top w:w="40" w:type="dxa"/>
              <w:left w:w="90" w:type="dxa"/>
              <w:bottom w:w="40" w:type="dxa"/>
              <w:right w:w="90" w:type="dxa"/>
            </w:tcMar>
          </w:tcPr>
          <w:p w14:paraId="1DFE94F1">
            <w:pPr>
              <w:spacing w:before="20" w:after="20" w:line="252" w:lineRule="auto"/>
              <w:jc w:val="left"/>
            </w:pPr>
            <w:r>
              <w:rPr>
                <w:rFonts w:ascii="Calibri" w:hAnsi="Calibri" w:eastAsia="Calibri" w:cs="Calibri"/>
                <w:b/>
                <w:bCs/>
                <w:color w:val="000000"/>
                <w:sz w:val="18"/>
                <w:szCs w:val="18"/>
              </w:rPr>
              <w:t>Spring family</w:t>
            </w:r>
          </w:p>
        </w:tc>
        <w:tc>
          <w:tcPr>
            <w:tcW w:w="6620" w:type="dxa"/>
            <w:shd w:val="clear" w:color="auto" w:fill="FFFFFF"/>
            <w:tcMar>
              <w:top w:w="40" w:type="dxa"/>
              <w:left w:w="90" w:type="dxa"/>
              <w:bottom w:w="40" w:type="dxa"/>
              <w:right w:w="90" w:type="dxa"/>
            </w:tcMar>
          </w:tcPr>
          <w:p w14:paraId="7D531265">
            <w:pPr>
              <w:spacing w:before="20" w:after="20" w:line="252" w:lineRule="auto"/>
              <w:jc w:val="left"/>
            </w:pPr>
            <w:r>
              <w:rPr>
                <w:rFonts w:ascii="Calibri" w:hAnsi="Calibri" w:eastAsia="Calibri" w:cs="Calibri"/>
                <w:b w:val="0"/>
                <w:bCs w:val="0"/>
                <w:color w:val="000000"/>
                <w:sz w:val="18"/>
                <w:szCs w:val="18"/>
              </w:rPr>
              <w:t>Application boot and Spring context initialisation. Bean wiring for controllers, services and AOP-annotated interceptors. Data-binding and validation flows. HTTP request handling paths. The largest regression surface for the SG release.</w:t>
            </w:r>
          </w:p>
        </w:tc>
      </w:tr>
      <w:tr w14:paraId="04838CC4">
        <w:tc>
          <w:tcPr>
            <w:tcW w:w="2400" w:type="dxa"/>
            <w:shd w:val="clear" w:color="auto" w:fill="EEF1F7"/>
            <w:tcMar>
              <w:top w:w="40" w:type="dxa"/>
              <w:left w:w="90" w:type="dxa"/>
              <w:bottom w:w="40" w:type="dxa"/>
              <w:right w:w="90" w:type="dxa"/>
            </w:tcMar>
          </w:tcPr>
          <w:p w14:paraId="20665721">
            <w:pPr>
              <w:spacing w:before="20" w:after="20" w:line="252" w:lineRule="auto"/>
              <w:jc w:val="left"/>
            </w:pPr>
            <w:r>
              <w:rPr>
                <w:rFonts w:ascii="Calibri" w:hAnsi="Calibri" w:eastAsia="Calibri" w:cs="Calibri"/>
                <w:b/>
                <w:bCs/>
                <w:color w:val="000000"/>
                <w:sz w:val="18"/>
                <w:szCs w:val="18"/>
              </w:rPr>
              <w:t>log4j 2.x family</w:t>
            </w:r>
          </w:p>
        </w:tc>
        <w:tc>
          <w:tcPr>
            <w:tcW w:w="6620" w:type="dxa"/>
            <w:shd w:val="clear" w:color="auto" w:fill="EEF1F7"/>
            <w:tcMar>
              <w:top w:w="40" w:type="dxa"/>
              <w:left w:w="90" w:type="dxa"/>
              <w:bottom w:w="40" w:type="dxa"/>
              <w:right w:w="90" w:type="dxa"/>
            </w:tcMar>
          </w:tcPr>
          <w:p w14:paraId="698F14C5">
            <w:pPr>
              <w:spacing w:before="20" w:after="20" w:line="252" w:lineRule="auto"/>
              <w:jc w:val="left"/>
            </w:pPr>
            <w:r>
              <w:rPr>
                <w:rFonts w:ascii="Calibri" w:hAnsi="Calibri" w:eastAsia="Calibri" w:cs="Calibri"/>
                <w:b w:val="0"/>
                <w:bCs w:val="0"/>
                <w:color w:val="000000"/>
                <w:sz w:val="18"/>
                <w:szCs w:val="18"/>
              </w:rPr>
              <w:t>Application boot log initialisation. Async logging behaviour under load. Log routing to configured appenders. Any log-driven downstream (SIEM, monitoring) integration paths.</w:t>
            </w:r>
          </w:p>
        </w:tc>
      </w:tr>
      <w:tr w14:paraId="29F804AA">
        <w:tc>
          <w:tcPr>
            <w:tcW w:w="2400" w:type="dxa"/>
            <w:shd w:val="clear" w:color="auto" w:fill="FFFFFF"/>
            <w:tcMar>
              <w:top w:w="40" w:type="dxa"/>
              <w:left w:w="90" w:type="dxa"/>
              <w:bottom w:w="40" w:type="dxa"/>
              <w:right w:w="90" w:type="dxa"/>
            </w:tcMar>
          </w:tcPr>
          <w:p w14:paraId="295F17AA">
            <w:pPr>
              <w:spacing w:before="20" w:after="20" w:line="252" w:lineRule="auto"/>
              <w:jc w:val="left"/>
            </w:pPr>
            <w:r>
              <w:rPr>
                <w:rFonts w:ascii="Calibri" w:hAnsi="Calibri" w:eastAsia="Calibri" w:cs="Calibri"/>
                <w:b/>
                <w:bCs/>
                <w:color w:val="000000"/>
                <w:sz w:val="18"/>
                <w:szCs w:val="18"/>
              </w:rPr>
              <w:t>jackson family</w:t>
            </w:r>
          </w:p>
        </w:tc>
        <w:tc>
          <w:tcPr>
            <w:tcW w:w="6620" w:type="dxa"/>
            <w:shd w:val="clear" w:color="auto" w:fill="FFFFFF"/>
            <w:tcMar>
              <w:top w:w="40" w:type="dxa"/>
              <w:left w:w="90" w:type="dxa"/>
              <w:bottom w:w="40" w:type="dxa"/>
              <w:right w:w="90" w:type="dxa"/>
            </w:tcMar>
          </w:tcPr>
          <w:p w14:paraId="276FEF9A">
            <w:pPr>
              <w:spacing w:before="20" w:after="20" w:line="252" w:lineRule="auto"/>
              <w:jc w:val="left"/>
            </w:pPr>
            <w:r>
              <w:rPr>
                <w:rFonts w:ascii="Calibri" w:hAnsi="Calibri" w:eastAsia="Calibri" w:cs="Calibri"/>
                <w:b w:val="0"/>
                <w:bCs w:val="0"/>
                <w:color w:val="000000"/>
                <w:sz w:val="18"/>
                <w:szCs w:val="18"/>
              </w:rPr>
              <w:t>JSON serialisation and deserialisation across REST endpoints. Any custom Jackson modules or annotations in the SG Portal code.</w:t>
            </w:r>
          </w:p>
        </w:tc>
      </w:tr>
      <w:tr w14:paraId="52294A17">
        <w:tc>
          <w:tcPr>
            <w:tcW w:w="2400" w:type="dxa"/>
            <w:shd w:val="clear" w:color="auto" w:fill="EEF1F7"/>
            <w:tcMar>
              <w:top w:w="40" w:type="dxa"/>
              <w:left w:w="90" w:type="dxa"/>
              <w:bottom w:w="40" w:type="dxa"/>
              <w:right w:w="90" w:type="dxa"/>
            </w:tcMar>
          </w:tcPr>
          <w:p w14:paraId="69B6F774">
            <w:pPr>
              <w:spacing w:before="20" w:after="20" w:line="252" w:lineRule="auto"/>
              <w:jc w:val="left"/>
            </w:pPr>
            <w:r>
              <w:rPr>
                <w:rFonts w:ascii="Calibri" w:hAnsi="Calibri" w:eastAsia="Calibri" w:cs="Calibri"/>
                <w:b/>
                <w:bCs/>
                <w:color w:val="000000"/>
                <w:sz w:val="18"/>
                <w:szCs w:val="18"/>
              </w:rPr>
              <w:t>nimbus-jose-jwt</w:t>
            </w:r>
          </w:p>
        </w:tc>
        <w:tc>
          <w:tcPr>
            <w:tcW w:w="6620" w:type="dxa"/>
            <w:shd w:val="clear" w:color="auto" w:fill="EEF1F7"/>
            <w:tcMar>
              <w:top w:w="40" w:type="dxa"/>
              <w:left w:w="90" w:type="dxa"/>
              <w:bottom w:w="40" w:type="dxa"/>
              <w:right w:w="90" w:type="dxa"/>
            </w:tcMar>
          </w:tcPr>
          <w:p w14:paraId="015EB449">
            <w:pPr>
              <w:spacing w:before="20" w:after="20" w:line="252" w:lineRule="auto"/>
              <w:jc w:val="left"/>
            </w:pPr>
            <w:r>
              <w:rPr>
                <w:rFonts w:ascii="Calibri" w:hAnsi="Calibri" w:eastAsia="Calibri" w:cs="Calibri"/>
                <w:b w:val="0"/>
                <w:bCs w:val="0"/>
                <w:color w:val="000000"/>
                <w:sz w:val="18"/>
                <w:szCs w:val="18"/>
              </w:rPr>
              <w:t>JWT signing and verification paths. Token issuance and validation flows. JWK / JWKSet handling.</w:t>
            </w:r>
          </w:p>
        </w:tc>
      </w:tr>
      <w:tr w14:paraId="02D445E0">
        <w:tc>
          <w:tcPr>
            <w:tcW w:w="2400" w:type="dxa"/>
            <w:shd w:val="clear" w:color="auto" w:fill="FFFFFF"/>
            <w:tcMar>
              <w:top w:w="40" w:type="dxa"/>
              <w:left w:w="90" w:type="dxa"/>
              <w:bottom w:w="40" w:type="dxa"/>
              <w:right w:w="90" w:type="dxa"/>
            </w:tcMar>
          </w:tcPr>
          <w:p w14:paraId="55D806D7">
            <w:pPr>
              <w:spacing w:before="20" w:after="20" w:line="252" w:lineRule="auto"/>
              <w:jc w:val="left"/>
            </w:pPr>
            <w:r>
              <w:rPr>
                <w:rFonts w:ascii="Calibri" w:hAnsi="Calibri" w:eastAsia="Calibri" w:cs="Calibri"/>
                <w:b/>
                <w:bCs/>
                <w:color w:val="000000"/>
                <w:sz w:val="18"/>
                <w:szCs w:val="18"/>
              </w:rPr>
              <w:t>guava</w:t>
            </w:r>
          </w:p>
        </w:tc>
        <w:tc>
          <w:tcPr>
            <w:tcW w:w="6620" w:type="dxa"/>
            <w:shd w:val="clear" w:color="auto" w:fill="FFFFFF"/>
            <w:tcMar>
              <w:top w:w="40" w:type="dxa"/>
              <w:left w:w="90" w:type="dxa"/>
              <w:bottom w:w="40" w:type="dxa"/>
              <w:right w:w="90" w:type="dxa"/>
            </w:tcMar>
          </w:tcPr>
          <w:p w14:paraId="7F3A2E2C">
            <w:pPr>
              <w:spacing w:before="20" w:after="20" w:line="252" w:lineRule="auto"/>
              <w:jc w:val="left"/>
            </w:pPr>
            <w:r>
              <w:rPr>
                <w:rFonts w:ascii="Calibri" w:hAnsi="Calibri" w:eastAsia="Calibri" w:cs="Calibri"/>
                <w:b w:val="0"/>
                <w:bCs w:val="0"/>
                <w:color w:val="000000"/>
                <w:sz w:val="18"/>
                <w:szCs w:val="18"/>
              </w:rPr>
              <w:t>Cache initialisation paths. Any Guava collection or utility usage in application code.</w:t>
            </w:r>
          </w:p>
        </w:tc>
      </w:tr>
      <w:tr w14:paraId="7F626F2C">
        <w:tc>
          <w:tcPr>
            <w:tcW w:w="2400" w:type="dxa"/>
            <w:shd w:val="clear" w:color="auto" w:fill="EEF1F7"/>
            <w:tcMar>
              <w:top w:w="40" w:type="dxa"/>
              <w:left w:w="90" w:type="dxa"/>
              <w:bottom w:w="40" w:type="dxa"/>
              <w:right w:w="90" w:type="dxa"/>
            </w:tcMar>
          </w:tcPr>
          <w:p w14:paraId="0C8D5AAA">
            <w:pPr>
              <w:spacing w:before="20" w:after="20" w:line="252" w:lineRule="auto"/>
              <w:jc w:val="left"/>
            </w:pPr>
            <w:r>
              <w:rPr>
                <w:rFonts w:ascii="Calibri" w:hAnsi="Calibri" w:eastAsia="Calibri" w:cs="Calibri"/>
                <w:b/>
                <w:bCs/>
                <w:color w:val="000000"/>
                <w:sz w:val="18"/>
                <w:szCs w:val="18"/>
              </w:rPr>
              <w:t>commons-fileupload</w:t>
            </w:r>
          </w:p>
        </w:tc>
        <w:tc>
          <w:tcPr>
            <w:tcW w:w="6620" w:type="dxa"/>
            <w:shd w:val="clear" w:color="auto" w:fill="EEF1F7"/>
            <w:tcMar>
              <w:top w:w="40" w:type="dxa"/>
              <w:left w:w="90" w:type="dxa"/>
              <w:bottom w:w="40" w:type="dxa"/>
              <w:right w:w="90" w:type="dxa"/>
            </w:tcMar>
          </w:tcPr>
          <w:p w14:paraId="07E8F786">
            <w:pPr>
              <w:spacing w:before="20" w:after="20" w:line="252" w:lineRule="auto"/>
              <w:jc w:val="left"/>
            </w:pPr>
            <w:r>
              <w:rPr>
                <w:rFonts w:ascii="Calibri" w:hAnsi="Calibri" w:eastAsia="Calibri" w:cs="Calibri"/>
                <w:b w:val="0"/>
                <w:bCs w:val="0"/>
                <w:color w:val="000000"/>
                <w:sz w:val="18"/>
                <w:szCs w:val="18"/>
              </w:rPr>
              <w:t>File upload endpoints — multipart handling, size limits, boundary conditions.</w:t>
            </w:r>
          </w:p>
        </w:tc>
      </w:tr>
      <w:tr w14:paraId="00CBCD66">
        <w:tc>
          <w:tcPr>
            <w:tcW w:w="2400" w:type="dxa"/>
            <w:shd w:val="clear" w:color="auto" w:fill="FFFFFF"/>
            <w:tcMar>
              <w:top w:w="40" w:type="dxa"/>
              <w:left w:w="90" w:type="dxa"/>
              <w:bottom w:w="40" w:type="dxa"/>
              <w:right w:w="90" w:type="dxa"/>
            </w:tcMar>
          </w:tcPr>
          <w:p w14:paraId="01F238A6">
            <w:pPr>
              <w:spacing w:before="20" w:after="20" w:line="252" w:lineRule="auto"/>
              <w:jc w:val="left"/>
            </w:pPr>
            <w:r>
              <w:rPr>
                <w:rFonts w:ascii="Calibri" w:hAnsi="Calibri" w:eastAsia="Calibri" w:cs="Calibri"/>
                <w:b/>
                <w:bCs/>
                <w:color w:val="000000"/>
                <w:sz w:val="18"/>
                <w:szCs w:val="18"/>
              </w:rPr>
              <w:t>batik-all</w:t>
            </w:r>
          </w:p>
        </w:tc>
        <w:tc>
          <w:tcPr>
            <w:tcW w:w="6620" w:type="dxa"/>
            <w:shd w:val="clear" w:color="auto" w:fill="FFFFFF"/>
            <w:tcMar>
              <w:top w:w="40" w:type="dxa"/>
              <w:left w:w="90" w:type="dxa"/>
              <w:bottom w:w="40" w:type="dxa"/>
              <w:right w:w="90" w:type="dxa"/>
            </w:tcMar>
          </w:tcPr>
          <w:p w14:paraId="10DA954C">
            <w:pPr>
              <w:spacing w:before="20" w:after="20" w:line="252" w:lineRule="auto"/>
              <w:jc w:val="left"/>
            </w:pPr>
            <w:r>
              <w:rPr>
                <w:rFonts w:ascii="Calibri" w:hAnsi="Calibri" w:eastAsia="Calibri" w:cs="Calibri"/>
                <w:b w:val="0"/>
                <w:bCs w:val="0"/>
                <w:color w:val="000000"/>
                <w:sz w:val="18"/>
                <w:szCs w:val="18"/>
              </w:rPr>
              <w:t>Any Portal function that generates or renders SVG. XSL-FO stylesheet handling if applicable.</w:t>
            </w:r>
          </w:p>
        </w:tc>
      </w:tr>
      <w:tr w14:paraId="4236614C">
        <w:tc>
          <w:tcPr>
            <w:tcW w:w="2400" w:type="dxa"/>
            <w:shd w:val="clear" w:color="auto" w:fill="EEF1F7"/>
            <w:tcMar>
              <w:top w:w="40" w:type="dxa"/>
              <w:left w:w="90" w:type="dxa"/>
              <w:bottom w:w="40" w:type="dxa"/>
              <w:right w:w="90" w:type="dxa"/>
            </w:tcMar>
          </w:tcPr>
          <w:p w14:paraId="4CA3A045">
            <w:pPr>
              <w:spacing w:before="20" w:after="20" w:line="252" w:lineRule="auto"/>
              <w:jc w:val="left"/>
            </w:pPr>
            <w:r>
              <w:rPr>
                <w:rFonts w:ascii="Calibri" w:hAnsi="Calibri" w:eastAsia="Calibri" w:cs="Calibri"/>
                <w:b/>
                <w:bCs/>
                <w:color w:val="000000"/>
                <w:sz w:val="18"/>
                <w:szCs w:val="18"/>
              </w:rPr>
              <w:t>Others (xmlbeans, commons-beanutils, gson, xalan, jsoup, jackson-core)</w:t>
            </w:r>
          </w:p>
        </w:tc>
        <w:tc>
          <w:tcPr>
            <w:tcW w:w="6620" w:type="dxa"/>
            <w:shd w:val="clear" w:color="auto" w:fill="EEF1F7"/>
            <w:tcMar>
              <w:top w:w="40" w:type="dxa"/>
              <w:left w:w="90" w:type="dxa"/>
              <w:bottom w:w="40" w:type="dxa"/>
              <w:right w:w="90" w:type="dxa"/>
            </w:tcMar>
          </w:tcPr>
          <w:p w14:paraId="5DAE08DD">
            <w:pPr>
              <w:spacing w:before="20" w:after="20" w:line="252" w:lineRule="auto"/>
              <w:jc w:val="left"/>
            </w:pPr>
            <w:r>
              <w:rPr>
                <w:rFonts w:ascii="Calibri" w:hAnsi="Calibri" w:eastAsia="Calibri" w:cs="Calibri"/>
                <w:b w:val="0"/>
                <w:bCs w:val="0"/>
                <w:color w:val="000000"/>
                <w:sz w:val="18"/>
                <w:szCs w:val="18"/>
              </w:rPr>
              <w:t>Standard smoke on the specific paths that use these libraries as part of the overall SG Portal regression.</w:t>
            </w:r>
          </w:p>
        </w:tc>
      </w:tr>
    </w:tbl>
    <w:p w14:paraId="2023A989">
      <w:pPr>
        <w:pageBreakBefore/>
      </w:pPr>
    </w:p>
    <w:p w14:paraId="7C7CA3B3">
      <w:pPr>
        <w:pStyle w:val="2"/>
        <w:spacing w:before="260" w:after="120"/>
      </w:pPr>
      <w:r>
        <w:rPr>
          <w:rFonts w:ascii="Calibri" w:hAnsi="Calibri" w:eastAsia="Calibri" w:cs="Calibri"/>
          <w:b/>
          <w:bCs/>
          <w:color w:val="1F3864"/>
          <w:sz w:val="26"/>
          <w:szCs w:val="26"/>
        </w:rPr>
        <w:t>10.  Delivery Plan — SG</w:t>
      </w:r>
    </w:p>
    <w:p w14:paraId="71EE1A5E">
      <w:pPr>
        <w:pStyle w:val="3"/>
        <w:spacing w:before="180" w:after="90"/>
      </w:pPr>
      <w:r>
        <w:rPr>
          <w:rFonts w:ascii="Calibri" w:hAnsi="Calibri" w:eastAsia="Calibri" w:cs="Calibri"/>
          <w:b/>
          <w:bCs/>
          <w:color w:val="1F3864"/>
          <w:sz w:val="22"/>
          <w:szCs w:val="22"/>
        </w:rPr>
        <w:t>10.1  Two-Batch Delivery</w:t>
      </w:r>
    </w:p>
    <w:p w14:paraId="685D24AE">
      <w:pPr>
        <w:spacing w:after="120" w:line="264" w:lineRule="auto"/>
        <w:jc w:val="both"/>
      </w:pPr>
      <w:r>
        <w:rPr>
          <w:rFonts w:ascii="Calibri" w:hAnsi="Calibri" w:eastAsia="Calibri" w:cs="Calibri"/>
          <w:b w:val="0"/>
          <w:bCs w:val="0"/>
          <w:i w:val="0"/>
          <w:iCs w:val="0"/>
          <w:color w:val="000000"/>
          <w:sz w:val="20"/>
          <w:szCs w:val="20"/>
        </w:rPr>
        <w:t>The SG release is delivered in two batches. Batch 1 covers the SG-owned development lift; Batch 2 is a retrofit from CN's completed work covering the alignment items common between SG and CN.</w:t>
      </w:r>
    </w:p>
    <w:p w14:paraId="70B94079">
      <w:pPr>
        <w:pStyle w:val="3"/>
        <w:spacing w:before="180" w:after="90"/>
      </w:pPr>
      <w:r>
        <w:rPr>
          <w:rFonts w:ascii="Calibri" w:hAnsi="Calibri" w:eastAsia="Calibri" w:cs="Calibri"/>
          <w:b/>
          <w:bCs/>
          <w:color w:val="1F3864"/>
          <w:sz w:val="22"/>
          <w:szCs w:val="22"/>
        </w:rPr>
        <w:t>10.2  Timeline</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400"/>
        <w:gridCol w:w="1900"/>
        <w:gridCol w:w="3720"/>
      </w:tblGrid>
      <w:tr w14:paraId="62F74F82">
        <w:trPr>
          <w:tblHeader/>
        </w:trPr>
        <w:tc>
          <w:tcPr>
            <w:tcW w:w="3400" w:type="dxa"/>
            <w:shd w:val="clear" w:color="auto" w:fill="1F3864"/>
            <w:tcMar>
              <w:top w:w="40" w:type="dxa"/>
              <w:left w:w="90" w:type="dxa"/>
              <w:bottom w:w="40" w:type="dxa"/>
              <w:right w:w="90" w:type="dxa"/>
            </w:tcMar>
          </w:tcPr>
          <w:p w14:paraId="52B13BB8">
            <w:pPr>
              <w:spacing w:before="20" w:after="20" w:line="252" w:lineRule="auto"/>
              <w:jc w:val="left"/>
            </w:pPr>
            <w:r>
              <w:rPr>
                <w:rFonts w:ascii="Calibri" w:hAnsi="Calibri" w:eastAsia="Calibri" w:cs="Calibri"/>
                <w:b/>
                <w:bCs/>
                <w:color w:val="FFFFFF"/>
                <w:sz w:val="18"/>
                <w:szCs w:val="18"/>
              </w:rPr>
              <w:t>Milestone</w:t>
            </w:r>
          </w:p>
        </w:tc>
        <w:tc>
          <w:tcPr>
            <w:tcW w:w="1900" w:type="dxa"/>
            <w:shd w:val="clear" w:color="auto" w:fill="1F3864"/>
            <w:tcMar>
              <w:top w:w="40" w:type="dxa"/>
              <w:left w:w="90" w:type="dxa"/>
              <w:bottom w:w="40" w:type="dxa"/>
              <w:right w:w="90" w:type="dxa"/>
            </w:tcMar>
          </w:tcPr>
          <w:p w14:paraId="07345DD9">
            <w:pPr>
              <w:spacing w:before="20" w:after="20" w:line="252" w:lineRule="auto"/>
              <w:jc w:val="left"/>
            </w:pPr>
            <w:r>
              <w:rPr>
                <w:rFonts w:ascii="Calibri" w:hAnsi="Calibri" w:eastAsia="Calibri" w:cs="Calibri"/>
                <w:b/>
                <w:bCs/>
                <w:color w:val="FFFFFF"/>
                <w:sz w:val="18"/>
                <w:szCs w:val="18"/>
              </w:rPr>
              <w:t>Date</w:t>
            </w:r>
          </w:p>
        </w:tc>
        <w:tc>
          <w:tcPr>
            <w:tcW w:w="3720" w:type="dxa"/>
            <w:shd w:val="clear" w:color="auto" w:fill="1F3864"/>
            <w:tcMar>
              <w:top w:w="40" w:type="dxa"/>
              <w:left w:w="90" w:type="dxa"/>
              <w:bottom w:w="40" w:type="dxa"/>
              <w:right w:w="90" w:type="dxa"/>
            </w:tcMar>
          </w:tcPr>
          <w:p w14:paraId="45E6F237">
            <w:pPr>
              <w:spacing w:before="20" w:after="20" w:line="252" w:lineRule="auto"/>
              <w:jc w:val="left"/>
            </w:pPr>
            <w:r>
              <w:rPr>
                <w:rFonts w:ascii="Calibri" w:hAnsi="Calibri" w:eastAsia="Calibri" w:cs="Calibri"/>
                <w:b/>
                <w:bCs/>
                <w:color w:val="FFFFFF"/>
                <w:sz w:val="18"/>
                <w:szCs w:val="18"/>
              </w:rPr>
              <w:t>Notes</w:t>
            </w:r>
          </w:p>
        </w:tc>
      </w:tr>
      <w:tr w14:paraId="55A72DC9">
        <w:tc>
          <w:tcPr>
            <w:tcW w:w="3400" w:type="dxa"/>
            <w:shd w:val="clear" w:color="auto" w:fill="FFFFFF"/>
            <w:tcMar>
              <w:top w:w="40" w:type="dxa"/>
              <w:left w:w="90" w:type="dxa"/>
              <w:bottom w:w="40" w:type="dxa"/>
              <w:right w:w="90" w:type="dxa"/>
            </w:tcMar>
          </w:tcPr>
          <w:p w14:paraId="77B65863">
            <w:pPr>
              <w:spacing w:before="20" w:after="20" w:line="252" w:lineRule="auto"/>
              <w:jc w:val="left"/>
            </w:pPr>
            <w:r>
              <w:rPr>
                <w:rFonts w:ascii="Calibri" w:hAnsi="Calibri" w:eastAsia="Calibri" w:cs="Calibri"/>
                <w:b/>
                <w:bCs/>
                <w:color w:val="000000"/>
                <w:sz w:val="18"/>
                <w:szCs w:val="18"/>
              </w:rPr>
              <w:t>SG development start</w:t>
            </w:r>
          </w:p>
        </w:tc>
        <w:tc>
          <w:tcPr>
            <w:tcW w:w="1900" w:type="dxa"/>
            <w:shd w:val="clear" w:color="auto" w:fill="FFFFFF"/>
            <w:tcMar>
              <w:top w:w="40" w:type="dxa"/>
              <w:left w:w="90" w:type="dxa"/>
              <w:bottom w:w="40" w:type="dxa"/>
              <w:right w:w="90" w:type="dxa"/>
            </w:tcMar>
          </w:tcPr>
          <w:p w14:paraId="1EBC9345">
            <w:pPr>
              <w:spacing w:before="20" w:after="20" w:line="252" w:lineRule="auto"/>
              <w:jc w:val="left"/>
            </w:pPr>
            <w:r>
              <w:rPr>
                <w:rFonts w:ascii="Calibri" w:hAnsi="Calibri" w:eastAsia="Calibri" w:cs="Calibri"/>
                <w:b w:val="0"/>
                <w:bCs w:val="0"/>
                <w:color w:val="000000"/>
                <w:sz w:val="18"/>
                <w:szCs w:val="18"/>
              </w:rPr>
              <w:t>29 Jun 2026</w:t>
            </w:r>
          </w:p>
        </w:tc>
        <w:tc>
          <w:tcPr>
            <w:tcW w:w="3720" w:type="dxa"/>
            <w:shd w:val="clear" w:color="auto" w:fill="FFFFFF"/>
            <w:tcMar>
              <w:top w:w="40" w:type="dxa"/>
              <w:left w:w="90" w:type="dxa"/>
              <w:bottom w:w="40" w:type="dxa"/>
              <w:right w:w="90" w:type="dxa"/>
            </w:tcMar>
          </w:tcPr>
          <w:p w14:paraId="3E3A1FE6">
            <w:pPr>
              <w:spacing w:before="20" w:after="20" w:line="252" w:lineRule="auto"/>
              <w:jc w:val="left"/>
            </w:pPr>
            <w:r>
              <w:rPr>
                <w:rFonts w:ascii="Calibri" w:hAnsi="Calibri" w:eastAsia="Calibri" w:cs="Calibri"/>
                <w:b w:val="0"/>
                <w:bCs w:val="0"/>
                <w:color w:val="000000"/>
                <w:sz w:val="18"/>
                <w:szCs w:val="18"/>
              </w:rPr>
              <w:t>Wipro SG development team commences work on Batch 1.</w:t>
            </w:r>
          </w:p>
        </w:tc>
      </w:tr>
      <w:tr w14:paraId="540D7777">
        <w:tc>
          <w:tcPr>
            <w:tcW w:w="3400" w:type="dxa"/>
            <w:shd w:val="clear" w:color="auto" w:fill="EEF1F7"/>
            <w:tcMar>
              <w:top w:w="40" w:type="dxa"/>
              <w:left w:w="90" w:type="dxa"/>
              <w:bottom w:w="40" w:type="dxa"/>
              <w:right w:w="90" w:type="dxa"/>
            </w:tcMar>
          </w:tcPr>
          <w:p w14:paraId="0C907DAF">
            <w:pPr>
              <w:spacing w:before="20" w:after="20" w:line="252" w:lineRule="auto"/>
              <w:jc w:val="left"/>
            </w:pPr>
            <w:r>
              <w:rPr>
                <w:rFonts w:ascii="Calibri" w:hAnsi="Calibri" w:eastAsia="Calibri" w:cs="Calibri"/>
                <w:b/>
                <w:bCs/>
                <w:color w:val="000000"/>
                <w:sz w:val="18"/>
                <w:szCs w:val="18"/>
              </w:rPr>
              <w:t>Batch 1 dev completion</w:t>
            </w:r>
          </w:p>
        </w:tc>
        <w:tc>
          <w:tcPr>
            <w:tcW w:w="1900" w:type="dxa"/>
            <w:shd w:val="clear" w:color="auto" w:fill="EEF1F7"/>
            <w:tcMar>
              <w:top w:w="40" w:type="dxa"/>
              <w:left w:w="90" w:type="dxa"/>
              <w:bottom w:w="40" w:type="dxa"/>
              <w:right w:w="90" w:type="dxa"/>
            </w:tcMar>
          </w:tcPr>
          <w:p w14:paraId="7003FE96">
            <w:pPr>
              <w:spacing w:before="20" w:after="20" w:line="252" w:lineRule="auto"/>
              <w:jc w:val="left"/>
            </w:pPr>
            <w:r>
              <w:rPr>
                <w:rFonts w:ascii="Calibri" w:hAnsi="Calibri" w:eastAsia="Calibri" w:cs="Calibri"/>
                <w:b w:val="0"/>
                <w:bCs w:val="0"/>
                <w:color w:val="000000"/>
                <w:sz w:val="18"/>
                <w:szCs w:val="18"/>
              </w:rPr>
              <w:t>07 Jul 2026</w:t>
            </w:r>
          </w:p>
        </w:tc>
        <w:tc>
          <w:tcPr>
            <w:tcW w:w="3720" w:type="dxa"/>
            <w:shd w:val="clear" w:color="auto" w:fill="EEF1F7"/>
            <w:tcMar>
              <w:top w:w="40" w:type="dxa"/>
              <w:left w:w="90" w:type="dxa"/>
              <w:bottom w:w="40" w:type="dxa"/>
              <w:right w:w="90" w:type="dxa"/>
            </w:tcMar>
          </w:tcPr>
          <w:p w14:paraId="12104602">
            <w:pPr>
              <w:spacing w:before="20" w:after="20" w:line="252" w:lineRule="auto"/>
              <w:jc w:val="left"/>
            </w:pPr>
            <w:r>
              <w:rPr>
                <w:rFonts w:ascii="Calibri" w:hAnsi="Calibri" w:eastAsia="Calibri" w:cs="Calibri"/>
                <w:b w:val="0"/>
                <w:bCs w:val="0"/>
                <w:color w:val="000000"/>
                <w:sz w:val="18"/>
                <w:szCs w:val="18"/>
              </w:rPr>
              <w:t>SG-owned development lift ready for hand-off.</w:t>
            </w:r>
          </w:p>
        </w:tc>
      </w:tr>
      <w:tr w14:paraId="7FEF63CB">
        <w:tc>
          <w:tcPr>
            <w:tcW w:w="3400" w:type="dxa"/>
            <w:shd w:val="clear" w:color="auto" w:fill="FFFFFF"/>
            <w:tcMar>
              <w:top w:w="40" w:type="dxa"/>
              <w:left w:w="90" w:type="dxa"/>
              <w:bottom w:w="40" w:type="dxa"/>
              <w:right w:w="90" w:type="dxa"/>
            </w:tcMar>
          </w:tcPr>
          <w:p w14:paraId="433F0FB7">
            <w:pPr>
              <w:spacing w:before="20" w:after="20" w:line="252" w:lineRule="auto"/>
              <w:jc w:val="left"/>
            </w:pPr>
            <w:r>
              <w:rPr>
                <w:rFonts w:ascii="Calibri" w:hAnsi="Calibri" w:eastAsia="Calibri" w:cs="Calibri"/>
                <w:b/>
                <w:bCs/>
                <w:color w:val="000000"/>
                <w:sz w:val="18"/>
                <w:szCs w:val="18"/>
              </w:rPr>
              <w:t>Batch 2 dev completion</w:t>
            </w:r>
          </w:p>
        </w:tc>
        <w:tc>
          <w:tcPr>
            <w:tcW w:w="1900" w:type="dxa"/>
            <w:shd w:val="clear" w:color="auto" w:fill="FFFFFF"/>
            <w:tcMar>
              <w:top w:w="40" w:type="dxa"/>
              <w:left w:w="90" w:type="dxa"/>
              <w:bottom w:w="40" w:type="dxa"/>
              <w:right w:w="90" w:type="dxa"/>
            </w:tcMar>
          </w:tcPr>
          <w:p w14:paraId="551489D8">
            <w:pPr>
              <w:spacing w:before="20" w:after="20" w:line="252" w:lineRule="auto"/>
              <w:jc w:val="left"/>
            </w:pPr>
            <w:r>
              <w:rPr>
                <w:rFonts w:ascii="Calibri" w:hAnsi="Calibri" w:eastAsia="Calibri" w:cs="Calibri"/>
                <w:b w:val="0"/>
                <w:bCs w:val="0"/>
                <w:color w:val="000000"/>
                <w:sz w:val="18"/>
                <w:szCs w:val="18"/>
              </w:rPr>
              <w:t>14 Jul 2026</w:t>
            </w:r>
          </w:p>
        </w:tc>
        <w:tc>
          <w:tcPr>
            <w:tcW w:w="3720" w:type="dxa"/>
            <w:shd w:val="clear" w:color="auto" w:fill="FFFFFF"/>
            <w:tcMar>
              <w:top w:w="40" w:type="dxa"/>
              <w:left w:w="90" w:type="dxa"/>
              <w:bottom w:w="40" w:type="dxa"/>
              <w:right w:w="90" w:type="dxa"/>
            </w:tcMar>
          </w:tcPr>
          <w:p w14:paraId="24390E68">
            <w:pPr>
              <w:spacing w:before="20" w:after="20" w:line="252" w:lineRule="auto"/>
              <w:jc w:val="left"/>
            </w:pPr>
            <w:r>
              <w:rPr>
                <w:rFonts w:ascii="Calibri" w:hAnsi="Calibri" w:eastAsia="Calibri" w:cs="Calibri"/>
                <w:b w:val="0"/>
                <w:bCs w:val="0"/>
                <w:color w:val="000000"/>
                <w:sz w:val="18"/>
                <w:szCs w:val="18"/>
              </w:rPr>
              <w:t>Retrofit from CN's completed work applied to the SG artefact set.</w:t>
            </w:r>
          </w:p>
        </w:tc>
      </w:tr>
      <w:tr w14:paraId="14A73911">
        <w:tc>
          <w:tcPr>
            <w:tcW w:w="3400" w:type="dxa"/>
            <w:shd w:val="clear" w:color="auto" w:fill="EEF1F7"/>
            <w:tcMar>
              <w:top w:w="40" w:type="dxa"/>
              <w:left w:w="90" w:type="dxa"/>
              <w:bottom w:w="40" w:type="dxa"/>
              <w:right w:w="90" w:type="dxa"/>
            </w:tcMar>
          </w:tcPr>
          <w:p w14:paraId="59278D1C">
            <w:pPr>
              <w:spacing w:before="20" w:after="20" w:line="252" w:lineRule="auto"/>
              <w:jc w:val="left"/>
            </w:pPr>
            <w:r>
              <w:rPr>
                <w:rFonts w:ascii="Calibri" w:hAnsi="Calibri" w:eastAsia="Calibri" w:cs="Calibri"/>
                <w:b/>
                <w:bCs/>
                <w:color w:val="000000"/>
                <w:sz w:val="18"/>
                <w:szCs w:val="18"/>
              </w:rPr>
              <w:t>Solution document sign-off</w:t>
            </w:r>
          </w:p>
        </w:tc>
        <w:tc>
          <w:tcPr>
            <w:tcW w:w="1900" w:type="dxa"/>
            <w:shd w:val="clear" w:color="auto" w:fill="EEF1F7"/>
            <w:tcMar>
              <w:top w:w="40" w:type="dxa"/>
              <w:left w:w="90" w:type="dxa"/>
              <w:bottom w:w="40" w:type="dxa"/>
              <w:right w:w="90" w:type="dxa"/>
            </w:tcMar>
          </w:tcPr>
          <w:p w14:paraId="31E8BCF7">
            <w:pPr>
              <w:spacing w:before="20" w:after="20" w:line="252" w:lineRule="auto"/>
              <w:jc w:val="left"/>
            </w:pPr>
            <w:r>
              <w:rPr>
                <w:rFonts w:ascii="Calibri" w:hAnsi="Calibri" w:eastAsia="Calibri" w:cs="Calibri"/>
                <w:b w:val="0"/>
                <w:bCs w:val="0"/>
                <w:color w:val="000000"/>
                <w:sz w:val="18"/>
                <w:szCs w:val="18"/>
              </w:rPr>
              <w:t>Before SIT</w:t>
            </w:r>
          </w:p>
        </w:tc>
        <w:tc>
          <w:tcPr>
            <w:tcW w:w="3720" w:type="dxa"/>
            <w:shd w:val="clear" w:color="auto" w:fill="EEF1F7"/>
            <w:tcMar>
              <w:top w:w="40" w:type="dxa"/>
              <w:left w:w="90" w:type="dxa"/>
              <w:bottom w:w="40" w:type="dxa"/>
              <w:right w:w="90" w:type="dxa"/>
            </w:tcMar>
          </w:tcPr>
          <w:p w14:paraId="4A3889B7">
            <w:pPr>
              <w:spacing w:before="20" w:after="20" w:line="252" w:lineRule="auto"/>
              <w:jc w:val="left"/>
            </w:pPr>
            <w:r>
              <w:rPr>
                <w:rFonts w:ascii="Calibri" w:hAnsi="Calibri" w:eastAsia="Calibri" w:cs="Calibri"/>
                <w:b w:val="0"/>
                <w:bCs w:val="0"/>
                <w:color w:val="000000"/>
                <w:sz w:val="18"/>
                <w:szCs w:val="18"/>
              </w:rPr>
              <w:t>Sign-off captured before SIT hand-off.</w:t>
            </w:r>
          </w:p>
        </w:tc>
      </w:tr>
      <w:tr w14:paraId="6AB16FE0">
        <w:tc>
          <w:tcPr>
            <w:tcW w:w="3400" w:type="dxa"/>
            <w:shd w:val="clear" w:color="auto" w:fill="FFFFFF"/>
            <w:tcMar>
              <w:top w:w="40" w:type="dxa"/>
              <w:left w:w="90" w:type="dxa"/>
              <w:bottom w:w="40" w:type="dxa"/>
              <w:right w:w="90" w:type="dxa"/>
            </w:tcMar>
          </w:tcPr>
          <w:p w14:paraId="04AF168F">
            <w:pPr>
              <w:spacing w:before="20" w:after="20" w:line="252" w:lineRule="auto"/>
              <w:jc w:val="left"/>
            </w:pPr>
            <w:r>
              <w:rPr>
                <w:rFonts w:ascii="Calibri" w:hAnsi="Calibri" w:eastAsia="Calibri" w:cs="Calibri"/>
                <w:b/>
                <w:bCs/>
                <w:color w:val="000000"/>
                <w:sz w:val="18"/>
                <w:szCs w:val="18"/>
              </w:rPr>
              <w:t>SIT hand-off</w:t>
            </w:r>
          </w:p>
        </w:tc>
        <w:tc>
          <w:tcPr>
            <w:tcW w:w="1900" w:type="dxa"/>
            <w:shd w:val="clear" w:color="auto" w:fill="FFFFFF"/>
            <w:tcMar>
              <w:top w:w="40" w:type="dxa"/>
              <w:left w:w="90" w:type="dxa"/>
              <w:bottom w:w="40" w:type="dxa"/>
              <w:right w:w="90" w:type="dxa"/>
            </w:tcMar>
          </w:tcPr>
          <w:p w14:paraId="7E2CB292">
            <w:pPr>
              <w:spacing w:before="20" w:after="20" w:line="252" w:lineRule="auto"/>
              <w:jc w:val="left"/>
            </w:pPr>
            <w:r>
              <w:rPr>
                <w:rFonts w:ascii="Calibri" w:hAnsi="Calibri" w:eastAsia="Calibri" w:cs="Calibri"/>
                <w:b w:val="0"/>
                <w:bCs w:val="0"/>
                <w:color w:val="000000"/>
                <w:sz w:val="18"/>
                <w:szCs w:val="18"/>
              </w:rPr>
              <w:t>Per schedule</w:t>
            </w:r>
          </w:p>
        </w:tc>
        <w:tc>
          <w:tcPr>
            <w:tcW w:w="3720" w:type="dxa"/>
            <w:shd w:val="clear" w:color="auto" w:fill="FFFFFF"/>
            <w:tcMar>
              <w:top w:w="40" w:type="dxa"/>
              <w:left w:w="90" w:type="dxa"/>
              <w:bottom w:w="40" w:type="dxa"/>
              <w:right w:w="90" w:type="dxa"/>
            </w:tcMar>
          </w:tcPr>
          <w:p w14:paraId="2B3DFBAE">
            <w:pPr>
              <w:spacing w:before="20" w:after="20" w:line="252" w:lineRule="auto"/>
              <w:jc w:val="left"/>
            </w:pPr>
            <w:r>
              <w:rPr>
                <w:rFonts w:ascii="Calibri" w:hAnsi="Calibri" w:eastAsia="Calibri" w:cs="Calibri"/>
                <w:b w:val="0"/>
                <w:bCs w:val="0"/>
                <w:color w:val="000000"/>
                <w:sz w:val="18"/>
                <w:szCs w:val="18"/>
              </w:rPr>
              <w:t>Country-wise, per the agreed release schedule.</w:t>
            </w:r>
          </w:p>
        </w:tc>
      </w:tr>
      <w:tr w14:paraId="4749AD27">
        <w:tc>
          <w:tcPr>
            <w:tcW w:w="3400" w:type="dxa"/>
            <w:shd w:val="clear" w:color="auto" w:fill="EEF1F7"/>
            <w:tcMar>
              <w:top w:w="40" w:type="dxa"/>
              <w:left w:w="90" w:type="dxa"/>
              <w:bottom w:w="40" w:type="dxa"/>
              <w:right w:w="90" w:type="dxa"/>
            </w:tcMar>
          </w:tcPr>
          <w:p w14:paraId="4DF3BCF9">
            <w:pPr>
              <w:spacing w:before="20" w:after="20" w:line="252" w:lineRule="auto"/>
              <w:jc w:val="left"/>
            </w:pPr>
            <w:r>
              <w:rPr>
                <w:rFonts w:ascii="Calibri" w:hAnsi="Calibri" w:eastAsia="Calibri" w:cs="Calibri"/>
                <w:b/>
                <w:bCs/>
                <w:color w:val="000000"/>
                <w:sz w:val="18"/>
                <w:szCs w:val="18"/>
              </w:rPr>
              <w:t>Production release (SG)</w:t>
            </w:r>
          </w:p>
        </w:tc>
        <w:tc>
          <w:tcPr>
            <w:tcW w:w="1900" w:type="dxa"/>
            <w:shd w:val="clear" w:color="auto" w:fill="EEF1F7"/>
            <w:tcMar>
              <w:top w:w="40" w:type="dxa"/>
              <w:left w:w="90" w:type="dxa"/>
              <w:bottom w:w="40" w:type="dxa"/>
              <w:right w:w="90" w:type="dxa"/>
            </w:tcMar>
          </w:tcPr>
          <w:p w14:paraId="7F1DBAFC">
            <w:pPr>
              <w:spacing w:before="20" w:after="20" w:line="252" w:lineRule="auto"/>
              <w:jc w:val="left"/>
            </w:pPr>
            <w:r>
              <w:rPr>
                <w:rFonts w:ascii="Calibri" w:hAnsi="Calibri" w:eastAsia="Calibri" w:cs="Calibri"/>
                <w:b w:val="0"/>
                <w:bCs w:val="0"/>
                <w:color w:val="000000"/>
                <w:sz w:val="18"/>
                <w:szCs w:val="18"/>
              </w:rPr>
              <w:t>14 Aug 2026</w:t>
            </w:r>
          </w:p>
        </w:tc>
        <w:tc>
          <w:tcPr>
            <w:tcW w:w="3720" w:type="dxa"/>
            <w:shd w:val="clear" w:color="auto" w:fill="EEF1F7"/>
            <w:tcMar>
              <w:top w:w="40" w:type="dxa"/>
              <w:left w:w="90" w:type="dxa"/>
              <w:bottom w:w="40" w:type="dxa"/>
              <w:right w:w="90" w:type="dxa"/>
            </w:tcMar>
          </w:tcPr>
          <w:p w14:paraId="4AE216CF">
            <w:pPr>
              <w:spacing w:before="20" w:after="20" w:line="252" w:lineRule="auto"/>
              <w:jc w:val="left"/>
            </w:pPr>
          </w:p>
        </w:tc>
      </w:tr>
    </w:tbl>
    <w:p w14:paraId="6A486222">
      <w:pPr>
        <w:spacing w:after="120"/>
      </w:pPr>
    </w:p>
    <w:p w14:paraId="1852A168">
      <w:pPr>
        <w:pStyle w:val="3"/>
        <w:spacing w:before="180" w:after="90"/>
      </w:pPr>
      <w:r>
        <w:rPr>
          <w:rFonts w:ascii="Calibri" w:hAnsi="Calibri" w:eastAsia="Calibri" w:cs="Calibri"/>
          <w:b/>
          <w:bCs/>
          <w:color w:val="1F3864"/>
          <w:sz w:val="22"/>
          <w:szCs w:val="22"/>
        </w:rPr>
        <w:t>10.3  Delivery Mechanism</w:t>
      </w:r>
    </w:p>
    <w:p w14:paraId="2E9D484D">
      <w:pPr>
        <w:spacing w:after="120" w:line="264" w:lineRule="auto"/>
        <w:jc w:val="both"/>
      </w:pPr>
      <w:r>
        <w:rPr>
          <w:rFonts w:ascii="Calibri" w:hAnsi="Calibri" w:eastAsia="Calibri" w:cs="Calibri"/>
          <w:b w:val="0"/>
          <w:bCs w:val="0"/>
          <w:i w:val="0"/>
          <w:iCs w:val="0"/>
          <w:color w:val="000000"/>
          <w:sz w:val="20"/>
          <w:szCs w:val="20"/>
        </w:rPr>
        <w:t>The remediation is delivered to UOB through two coordinated channels which together achieve the target end-state of the SG Portal EAR without leaving orphan JARs in the classpath. The Hotfix is delivered across the two batches in Section 10.1.</w:t>
      </w:r>
    </w:p>
    <w:p w14:paraId="6E102A17">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Hotfix (HF) for the new and target-version JARs. </w:t>
      </w:r>
      <w:r>
        <w:rPr>
          <w:rFonts w:ascii="Calibri" w:hAnsi="Calibri" w:eastAsia="Calibri" w:cs="Calibri"/>
          <w:b w:val="0"/>
          <w:bCs w:val="0"/>
          <w:i w:val="0"/>
          <w:iCs w:val="0"/>
          <w:color w:val="000000"/>
          <w:sz w:val="20"/>
          <w:szCs w:val="20"/>
        </w:rPr>
        <w:t>Every new companion dependency (log4j-api, log4j-jcl, log4j-slf4j-impl, disruptor, failureaccess, accessors-smart, spring-jcl) and every upgraded target-version JAR (the Spring 5.3.34 family, spring-webmvc-portlet 4.3.30.RELEASE, log4j-core 2.19.0, nimbus-jose-jwt 9.37.4, commons-fileupload 1.6, batik-all 1.15, and the direct retrofit set from Section 4.2 — jackson, guava, gson, xalan, jsoup, xmlbeans and commons-beanutils) is packaged as a Wipro-prepared Hotfix delivered through the standard release channel.</w:t>
      </w:r>
    </w:p>
    <w:p w14:paraId="7FBEF592">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Removal notes for the older JARs to be deleted. </w:t>
      </w:r>
      <w:r>
        <w:rPr>
          <w:rFonts w:ascii="Calibri" w:hAnsi="Calibri" w:eastAsia="Calibri" w:cs="Calibri"/>
          <w:b w:val="0"/>
          <w:bCs w:val="0"/>
          <w:i w:val="0"/>
          <w:iCs w:val="0"/>
          <w:color w:val="000000"/>
          <w:sz w:val="20"/>
          <w:szCs w:val="20"/>
        </w:rPr>
        <w:t>For the decommissioned libraries (activemq-core 5.4.1, activemq-jaas 5.4.3) and the older versions replaced by the Hotfix (log4j 1.2.17, the Spring 4.2.9 family, spring-webmvc-portlet 4.2.9, nimbus-jose-jwt 4.40-jdk16, json-smart 1.3.1, commons-fileupload 1.2.2, commons-io 1.3.1, commons-logging 1.1.1, guava 18.0, batik-all 1.11 and 1.6, jackson-databind 2.10.0, jackson-core 2.10.4, commons-beanutils 1.8.0, gson 2.8.6, xalan 2.7.2, jsoup 1.5.2, xmlbeans 2.3.0, aspectjrt 1.8.6 and aspectjtools 1.8.6), Wipro provides a written removal note specifying each JAR to be deleted, its expected location on the deployment path, and the deletion sequencing relative to the Hotfix batches. The bank operations team executes the deletions as part of the deployment step.</w:t>
      </w:r>
    </w:p>
    <w:p w14:paraId="29458BCF">
      <w:pPr>
        <w:spacing w:after="120" w:line="264" w:lineRule="auto"/>
        <w:jc w:val="both"/>
      </w:pPr>
      <w:r>
        <w:rPr>
          <w:rFonts w:ascii="Calibri" w:hAnsi="Calibri" w:eastAsia="Calibri" w:cs="Calibri"/>
          <w:b w:val="0"/>
          <w:bCs w:val="0"/>
          <w:i w:val="0"/>
          <w:iCs w:val="0"/>
          <w:color w:val="000000"/>
          <w:sz w:val="20"/>
          <w:szCs w:val="20"/>
        </w:rPr>
        <w:t>The Hotfix and the removal note apply to both the bank-facing and customer-facing Portal EAR variants as set out in Section 2.4.</w:t>
      </w:r>
    </w:p>
    <w:p w14:paraId="0CCD24A5">
      <w:pPr>
        <w:pStyle w:val="3"/>
        <w:spacing w:before="180" w:after="90"/>
      </w:pPr>
      <w:r>
        <w:rPr>
          <w:rFonts w:ascii="Calibri" w:hAnsi="Calibri" w:eastAsia="Calibri" w:cs="Calibri"/>
          <w:b/>
          <w:bCs/>
          <w:color w:val="1F3864"/>
          <w:sz w:val="22"/>
          <w:szCs w:val="22"/>
        </w:rPr>
        <w:t>10.4  Companion Artefact</w:t>
      </w:r>
    </w:p>
    <w:p w14:paraId="52C7511F">
      <w:pPr>
        <w:spacing w:after="120" w:line="264" w:lineRule="auto"/>
        <w:jc w:val="both"/>
      </w:pPr>
      <w:r>
        <w:rPr>
          <w:rFonts w:ascii="Calibri" w:hAnsi="Calibri" w:eastAsia="Calibri" w:cs="Calibri"/>
          <w:b w:val="0"/>
          <w:bCs w:val="0"/>
          <w:i w:val="0"/>
          <w:iCs w:val="0"/>
          <w:color w:val="000000"/>
          <w:sz w:val="20"/>
          <w:szCs w:val="20"/>
        </w:rPr>
        <w:t>An SG release build sheet accompanies this document, containing the complete current-to-target JAR list, the batch-wise split of the delivered artefact set, dependency mapping and build packaging notes. That sheet is the operational reference for the development and build teams; this document is the solution and agreement reference. The detailed QA / test-case document referenced in Section 9.3 will be shared separately.</w:t>
      </w:r>
    </w:p>
    <w:p w14:paraId="40EDBDF8">
      <w:pPr>
        <w:pageBreakBefore/>
      </w:pPr>
    </w:p>
    <w:p w14:paraId="5129EE8B">
      <w:pPr>
        <w:pStyle w:val="2"/>
        <w:spacing w:before="260" w:after="120"/>
      </w:pPr>
      <w:r>
        <w:rPr>
          <w:rFonts w:ascii="Calibri" w:hAnsi="Calibri" w:eastAsia="Calibri" w:cs="Calibri"/>
          <w:b/>
          <w:bCs/>
          <w:color w:val="1F3864"/>
          <w:sz w:val="26"/>
          <w:szCs w:val="26"/>
        </w:rPr>
        <w:t>11.  Assumptions</w:t>
      </w:r>
    </w:p>
    <w:p w14:paraId="21B18A9A">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SG Portal runtime remains on Java 8 and JBoss EAP 7.3 for the August release cycle.</w:t>
      </w:r>
    </w:p>
    <w:p w14:paraId="23875315">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Full functional regression on SIT and UAT is owned by the UOB SG test team. The regression footprint reflects the size of the Spring 4.x → 5.x migration and the log4j 1.x → 2.x transition.</w:t>
      </w:r>
    </w:p>
    <w:p w14:paraId="14FEE690">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Bank confirms availability of the finalised target JAR set in the developer-accessible artefact path.</w:t>
      </w:r>
    </w:p>
    <w:p w14:paraId="44DA0D0A">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The CN development stream reaches its completion milestone on 07 Jul 2026 to enable the SG Batch 2 retrofit on 14 Jul 2026.</w:t>
      </w:r>
    </w:p>
    <w:p w14:paraId="2846C398">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The exploitability position on residual CVEs in Section 8 is acknowledged by both organisations at sign-off.</w:t>
      </w:r>
    </w:p>
    <w:p w14:paraId="45123A49">
      <w:pPr>
        <w:pageBreakBefore/>
      </w:pPr>
    </w:p>
    <w:p w14:paraId="2C85A5CB">
      <w:pPr>
        <w:pStyle w:val="2"/>
        <w:spacing w:before="260" w:after="120"/>
      </w:pPr>
      <w:r>
        <w:rPr>
          <w:rFonts w:ascii="Calibri" w:hAnsi="Calibri" w:eastAsia="Calibri" w:cs="Calibri"/>
          <w:b/>
          <w:bCs/>
          <w:color w:val="1F3864"/>
          <w:sz w:val="26"/>
          <w:szCs w:val="26"/>
        </w:rPr>
        <w:t>12.  Sign-off and Acknowledgment</w:t>
      </w:r>
    </w:p>
    <w:p w14:paraId="7CE73255">
      <w:pPr>
        <w:spacing w:after="120" w:line="264" w:lineRule="auto"/>
        <w:jc w:val="both"/>
      </w:pPr>
      <w:r>
        <w:rPr>
          <w:rFonts w:ascii="Calibri" w:hAnsi="Calibri" w:eastAsia="Calibri" w:cs="Calibri"/>
          <w:b w:val="0"/>
          <w:bCs w:val="0"/>
          <w:i w:val="0"/>
          <w:iCs w:val="0"/>
          <w:color w:val="000000"/>
          <w:sz w:val="20"/>
          <w:szCs w:val="20"/>
        </w:rPr>
        <w:t>The parties named below acknowledge that they have reviewed this solution document and agree to the scope, solution approach, testing responsibility split and residual CVE position for the SG country release. Sign-off may be captured through a signature on this document or through an equivalent email acknowledgment referenced against the document version and date on the cover page.</w:t>
      </w:r>
    </w:p>
    <w:p w14:paraId="69D8161D">
      <w:pPr>
        <w:pStyle w:val="3"/>
        <w:spacing w:before="180" w:after="90"/>
      </w:pPr>
      <w:r>
        <w:rPr>
          <w:rFonts w:ascii="Calibri" w:hAnsi="Calibri" w:eastAsia="Calibri" w:cs="Calibri"/>
          <w:b/>
          <w:bCs/>
          <w:color w:val="1F3864"/>
          <w:sz w:val="22"/>
          <w:szCs w:val="22"/>
        </w:rPr>
        <w:t>12.1  Wipro Sign-off</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4400"/>
        <w:gridCol w:w="2900"/>
        <w:gridCol w:w="1720"/>
      </w:tblGrid>
      <w:tr w14:paraId="56101502">
        <w:trPr>
          <w:tblHeader/>
        </w:trPr>
        <w:tc>
          <w:tcPr>
            <w:tcW w:w="4400" w:type="dxa"/>
            <w:shd w:val="clear" w:color="auto" w:fill="1F3864"/>
            <w:tcMar>
              <w:top w:w="40" w:type="dxa"/>
              <w:left w:w="90" w:type="dxa"/>
              <w:bottom w:w="40" w:type="dxa"/>
              <w:right w:w="90" w:type="dxa"/>
            </w:tcMar>
          </w:tcPr>
          <w:p w14:paraId="68A50C9B">
            <w:pPr>
              <w:spacing w:before="20" w:after="20" w:line="252" w:lineRule="auto"/>
              <w:jc w:val="left"/>
            </w:pPr>
            <w:r>
              <w:rPr>
                <w:rFonts w:ascii="Calibri" w:hAnsi="Calibri" w:eastAsia="Calibri" w:cs="Calibri"/>
                <w:b/>
                <w:bCs/>
                <w:color w:val="FFFFFF"/>
                <w:sz w:val="18"/>
                <w:szCs w:val="18"/>
              </w:rPr>
              <w:t>Name and Role</w:t>
            </w:r>
          </w:p>
        </w:tc>
        <w:tc>
          <w:tcPr>
            <w:tcW w:w="2900" w:type="dxa"/>
            <w:shd w:val="clear" w:color="auto" w:fill="1F3864"/>
            <w:tcMar>
              <w:top w:w="40" w:type="dxa"/>
              <w:left w:w="90" w:type="dxa"/>
              <w:bottom w:w="40" w:type="dxa"/>
              <w:right w:w="90" w:type="dxa"/>
            </w:tcMar>
          </w:tcPr>
          <w:p w14:paraId="232C19AC">
            <w:pPr>
              <w:spacing w:before="20" w:after="20" w:line="252" w:lineRule="auto"/>
              <w:jc w:val="left"/>
            </w:pPr>
            <w:r>
              <w:rPr>
                <w:rFonts w:ascii="Calibri" w:hAnsi="Calibri" w:eastAsia="Calibri" w:cs="Calibri"/>
                <w:b/>
                <w:bCs/>
                <w:color w:val="FFFFFF"/>
                <w:sz w:val="18"/>
                <w:szCs w:val="18"/>
              </w:rPr>
              <w:t>Signature</w:t>
            </w:r>
          </w:p>
        </w:tc>
        <w:tc>
          <w:tcPr>
            <w:tcW w:w="1720" w:type="dxa"/>
            <w:shd w:val="clear" w:color="auto" w:fill="1F3864"/>
            <w:tcMar>
              <w:top w:w="40" w:type="dxa"/>
              <w:left w:w="90" w:type="dxa"/>
              <w:bottom w:w="40" w:type="dxa"/>
              <w:right w:w="90" w:type="dxa"/>
            </w:tcMar>
          </w:tcPr>
          <w:p w14:paraId="4C5444B5">
            <w:pPr>
              <w:spacing w:before="20" w:after="20" w:line="252" w:lineRule="auto"/>
              <w:jc w:val="left"/>
            </w:pPr>
            <w:r>
              <w:rPr>
                <w:rFonts w:ascii="Calibri" w:hAnsi="Calibri" w:eastAsia="Calibri" w:cs="Calibri"/>
                <w:b/>
                <w:bCs/>
                <w:color w:val="FFFFFF"/>
                <w:sz w:val="18"/>
                <w:szCs w:val="18"/>
              </w:rPr>
              <w:t>Date</w:t>
            </w:r>
          </w:p>
        </w:tc>
      </w:tr>
      <w:tr w14:paraId="31371EAC">
        <w:tc>
          <w:tcPr>
            <w:tcW w:w="4400" w:type="dxa"/>
            <w:shd w:val="clear" w:color="auto" w:fill="FFFFFF"/>
            <w:tcMar>
              <w:top w:w="40" w:type="dxa"/>
              <w:left w:w="90" w:type="dxa"/>
              <w:bottom w:w="40" w:type="dxa"/>
              <w:right w:w="90" w:type="dxa"/>
            </w:tcMar>
          </w:tcPr>
          <w:p w14:paraId="6BCA229D">
            <w:pPr>
              <w:spacing w:before="20" w:after="20" w:line="252" w:lineRule="auto"/>
              <w:jc w:val="left"/>
            </w:pPr>
            <w:r>
              <w:rPr>
                <w:rFonts w:ascii="Calibri" w:hAnsi="Calibri" w:eastAsia="Calibri" w:cs="Calibri"/>
                <w:b/>
                <w:bCs/>
                <w:color w:val="000000"/>
                <w:sz w:val="18"/>
                <w:szCs w:val="18"/>
              </w:rPr>
              <w:t>Sai Pavan Jaldu — Technical Consultant</w:t>
            </w:r>
          </w:p>
        </w:tc>
        <w:tc>
          <w:tcPr>
            <w:tcW w:w="2900" w:type="dxa"/>
            <w:shd w:val="clear" w:color="auto" w:fill="FFFFFF"/>
            <w:tcMar>
              <w:top w:w="40" w:type="dxa"/>
              <w:left w:w="90" w:type="dxa"/>
              <w:bottom w:w="40" w:type="dxa"/>
              <w:right w:w="90" w:type="dxa"/>
            </w:tcMar>
          </w:tcPr>
          <w:p w14:paraId="15FA4922">
            <w:pPr>
              <w:spacing w:before="20" w:after="20" w:line="252" w:lineRule="auto"/>
              <w:jc w:val="left"/>
            </w:pPr>
          </w:p>
        </w:tc>
        <w:tc>
          <w:tcPr>
            <w:tcW w:w="1720" w:type="dxa"/>
            <w:shd w:val="clear" w:color="auto" w:fill="FFFFFF"/>
            <w:tcMar>
              <w:top w:w="40" w:type="dxa"/>
              <w:left w:w="90" w:type="dxa"/>
              <w:bottom w:w="40" w:type="dxa"/>
              <w:right w:w="90" w:type="dxa"/>
            </w:tcMar>
          </w:tcPr>
          <w:p w14:paraId="1F602B9B">
            <w:pPr>
              <w:spacing w:before="20" w:after="20" w:line="252" w:lineRule="auto"/>
              <w:jc w:val="left"/>
            </w:pPr>
          </w:p>
        </w:tc>
      </w:tr>
      <w:tr w14:paraId="2170B1C1">
        <w:tc>
          <w:tcPr>
            <w:tcW w:w="4400" w:type="dxa"/>
            <w:shd w:val="clear" w:color="auto" w:fill="EEF1F7"/>
            <w:tcMar>
              <w:top w:w="40" w:type="dxa"/>
              <w:left w:w="90" w:type="dxa"/>
              <w:bottom w:w="40" w:type="dxa"/>
              <w:right w:w="90" w:type="dxa"/>
            </w:tcMar>
          </w:tcPr>
          <w:p w14:paraId="0DB6CC6E">
            <w:pPr>
              <w:spacing w:before="20" w:after="20" w:line="252" w:lineRule="auto"/>
              <w:jc w:val="left"/>
            </w:pPr>
            <w:r>
              <w:rPr>
                <w:rFonts w:ascii="Calibri" w:hAnsi="Calibri" w:eastAsia="Calibri" w:cs="Calibri"/>
                <w:b/>
                <w:bCs/>
                <w:color w:val="000000"/>
                <w:sz w:val="18"/>
                <w:szCs w:val="18"/>
              </w:rPr>
              <w:t>Akshith — SG Delivery Lead</w:t>
            </w:r>
          </w:p>
        </w:tc>
        <w:tc>
          <w:tcPr>
            <w:tcW w:w="2900" w:type="dxa"/>
            <w:shd w:val="clear" w:color="auto" w:fill="EEF1F7"/>
            <w:tcMar>
              <w:top w:w="40" w:type="dxa"/>
              <w:left w:w="90" w:type="dxa"/>
              <w:bottom w:w="40" w:type="dxa"/>
              <w:right w:w="90" w:type="dxa"/>
            </w:tcMar>
          </w:tcPr>
          <w:p w14:paraId="0D0540F6">
            <w:pPr>
              <w:spacing w:before="20" w:after="20" w:line="252" w:lineRule="auto"/>
              <w:jc w:val="left"/>
            </w:pPr>
          </w:p>
        </w:tc>
        <w:tc>
          <w:tcPr>
            <w:tcW w:w="1720" w:type="dxa"/>
            <w:shd w:val="clear" w:color="auto" w:fill="EEF1F7"/>
            <w:tcMar>
              <w:top w:w="40" w:type="dxa"/>
              <w:left w:w="90" w:type="dxa"/>
              <w:bottom w:w="40" w:type="dxa"/>
              <w:right w:w="90" w:type="dxa"/>
            </w:tcMar>
          </w:tcPr>
          <w:p w14:paraId="4666B28C">
            <w:pPr>
              <w:spacing w:before="20" w:after="20" w:line="252" w:lineRule="auto"/>
              <w:jc w:val="left"/>
            </w:pPr>
          </w:p>
        </w:tc>
      </w:tr>
      <w:tr w14:paraId="53899574">
        <w:tc>
          <w:tcPr>
            <w:tcW w:w="4400" w:type="dxa"/>
            <w:shd w:val="clear" w:color="auto" w:fill="FFFFFF"/>
            <w:tcMar>
              <w:top w:w="40" w:type="dxa"/>
              <w:left w:w="90" w:type="dxa"/>
              <w:bottom w:w="40" w:type="dxa"/>
              <w:right w:w="90" w:type="dxa"/>
            </w:tcMar>
          </w:tcPr>
          <w:p w14:paraId="6C3BC6EA">
            <w:pPr>
              <w:spacing w:before="20" w:after="20" w:line="252" w:lineRule="auto"/>
              <w:jc w:val="left"/>
            </w:pPr>
            <w:r>
              <w:rPr>
                <w:rFonts w:ascii="Calibri" w:hAnsi="Calibri" w:eastAsia="Calibri" w:cs="Calibri"/>
                <w:b/>
                <w:bCs/>
                <w:color w:val="000000"/>
                <w:sz w:val="18"/>
                <w:szCs w:val="18"/>
              </w:rPr>
              <w:t>Archana Rajendiran — Solution Architect</w:t>
            </w:r>
          </w:p>
        </w:tc>
        <w:tc>
          <w:tcPr>
            <w:tcW w:w="2900" w:type="dxa"/>
            <w:shd w:val="clear" w:color="auto" w:fill="FFFFFF"/>
            <w:tcMar>
              <w:top w:w="40" w:type="dxa"/>
              <w:left w:w="90" w:type="dxa"/>
              <w:bottom w:w="40" w:type="dxa"/>
              <w:right w:w="90" w:type="dxa"/>
            </w:tcMar>
          </w:tcPr>
          <w:p w14:paraId="5F4F3E49">
            <w:pPr>
              <w:spacing w:before="20" w:after="20" w:line="252" w:lineRule="auto"/>
              <w:jc w:val="left"/>
            </w:pPr>
          </w:p>
        </w:tc>
        <w:tc>
          <w:tcPr>
            <w:tcW w:w="1720" w:type="dxa"/>
            <w:shd w:val="clear" w:color="auto" w:fill="FFFFFF"/>
            <w:tcMar>
              <w:top w:w="40" w:type="dxa"/>
              <w:left w:w="90" w:type="dxa"/>
              <w:bottom w:w="40" w:type="dxa"/>
              <w:right w:w="90" w:type="dxa"/>
            </w:tcMar>
          </w:tcPr>
          <w:p w14:paraId="6975DBDF">
            <w:pPr>
              <w:spacing w:before="20" w:after="20" w:line="252" w:lineRule="auto"/>
              <w:jc w:val="left"/>
            </w:pPr>
          </w:p>
        </w:tc>
      </w:tr>
      <w:tr w14:paraId="12BBA675">
        <w:tc>
          <w:tcPr>
            <w:tcW w:w="4400" w:type="dxa"/>
            <w:shd w:val="clear" w:color="auto" w:fill="EEF1F7"/>
            <w:tcMar>
              <w:top w:w="40" w:type="dxa"/>
              <w:left w:w="90" w:type="dxa"/>
              <w:bottom w:w="40" w:type="dxa"/>
              <w:right w:w="90" w:type="dxa"/>
            </w:tcMar>
          </w:tcPr>
          <w:p w14:paraId="690DFE3B">
            <w:pPr>
              <w:spacing w:before="20" w:after="20" w:line="252" w:lineRule="auto"/>
              <w:jc w:val="left"/>
            </w:pPr>
            <w:r>
              <w:rPr>
                <w:rFonts w:ascii="Calibri" w:hAnsi="Calibri" w:eastAsia="Calibri" w:cs="Calibri"/>
                <w:b/>
                <w:bCs/>
                <w:color w:val="000000"/>
                <w:sz w:val="18"/>
                <w:szCs w:val="18"/>
              </w:rPr>
              <w:t>Mohan Panchagnula — Delivery Lead</w:t>
            </w:r>
          </w:p>
        </w:tc>
        <w:tc>
          <w:tcPr>
            <w:tcW w:w="2900" w:type="dxa"/>
            <w:shd w:val="clear" w:color="auto" w:fill="EEF1F7"/>
            <w:tcMar>
              <w:top w:w="40" w:type="dxa"/>
              <w:left w:w="90" w:type="dxa"/>
              <w:bottom w:w="40" w:type="dxa"/>
              <w:right w:w="90" w:type="dxa"/>
            </w:tcMar>
          </w:tcPr>
          <w:p w14:paraId="0AE5CEF7">
            <w:pPr>
              <w:spacing w:before="20" w:after="20" w:line="252" w:lineRule="auto"/>
              <w:jc w:val="left"/>
            </w:pPr>
          </w:p>
        </w:tc>
        <w:tc>
          <w:tcPr>
            <w:tcW w:w="1720" w:type="dxa"/>
            <w:shd w:val="clear" w:color="auto" w:fill="EEF1F7"/>
            <w:tcMar>
              <w:top w:w="40" w:type="dxa"/>
              <w:left w:w="90" w:type="dxa"/>
              <w:bottom w:w="40" w:type="dxa"/>
              <w:right w:w="90" w:type="dxa"/>
            </w:tcMar>
          </w:tcPr>
          <w:p w14:paraId="0BADE4D9">
            <w:pPr>
              <w:spacing w:before="20" w:after="20" w:line="252" w:lineRule="auto"/>
              <w:jc w:val="left"/>
            </w:pPr>
          </w:p>
        </w:tc>
      </w:tr>
    </w:tbl>
    <w:p w14:paraId="7615BE11">
      <w:pPr>
        <w:spacing w:after="120"/>
      </w:pPr>
    </w:p>
    <w:p w14:paraId="02932F10">
      <w:pPr>
        <w:pStyle w:val="3"/>
        <w:spacing w:before="180" w:after="90"/>
      </w:pPr>
      <w:r>
        <w:rPr>
          <w:rFonts w:ascii="Calibri" w:hAnsi="Calibri" w:eastAsia="Calibri" w:cs="Calibri"/>
          <w:b/>
          <w:bCs/>
          <w:color w:val="1F3864"/>
          <w:sz w:val="22"/>
          <w:szCs w:val="22"/>
        </w:rPr>
        <w:t>12.2  UOB Sign-off</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4400"/>
        <w:gridCol w:w="2900"/>
        <w:gridCol w:w="1720"/>
      </w:tblGrid>
      <w:tr w14:paraId="0E4A727B">
        <w:trPr>
          <w:tblHeader/>
        </w:trPr>
        <w:tc>
          <w:tcPr>
            <w:tcW w:w="4400" w:type="dxa"/>
            <w:shd w:val="clear" w:color="auto" w:fill="1F3864"/>
            <w:tcMar>
              <w:top w:w="40" w:type="dxa"/>
              <w:left w:w="90" w:type="dxa"/>
              <w:bottom w:w="40" w:type="dxa"/>
              <w:right w:w="90" w:type="dxa"/>
            </w:tcMar>
          </w:tcPr>
          <w:p w14:paraId="7679DC10">
            <w:pPr>
              <w:spacing w:before="20" w:after="20" w:line="252" w:lineRule="auto"/>
              <w:jc w:val="left"/>
            </w:pPr>
            <w:r>
              <w:rPr>
                <w:rFonts w:ascii="Calibri" w:hAnsi="Calibri" w:eastAsia="Calibri" w:cs="Calibri"/>
                <w:b/>
                <w:bCs/>
                <w:color w:val="FFFFFF"/>
                <w:sz w:val="18"/>
                <w:szCs w:val="18"/>
              </w:rPr>
              <w:t>Name and Role</w:t>
            </w:r>
          </w:p>
        </w:tc>
        <w:tc>
          <w:tcPr>
            <w:tcW w:w="2900" w:type="dxa"/>
            <w:shd w:val="clear" w:color="auto" w:fill="1F3864"/>
            <w:tcMar>
              <w:top w:w="40" w:type="dxa"/>
              <w:left w:w="90" w:type="dxa"/>
              <w:bottom w:w="40" w:type="dxa"/>
              <w:right w:w="90" w:type="dxa"/>
            </w:tcMar>
          </w:tcPr>
          <w:p w14:paraId="111E5602">
            <w:pPr>
              <w:spacing w:before="20" w:after="20" w:line="252" w:lineRule="auto"/>
              <w:jc w:val="left"/>
            </w:pPr>
            <w:r>
              <w:rPr>
                <w:rFonts w:ascii="Calibri" w:hAnsi="Calibri" w:eastAsia="Calibri" w:cs="Calibri"/>
                <w:b/>
                <w:bCs/>
                <w:color w:val="FFFFFF"/>
                <w:sz w:val="18"/>
                <w:szCs w:val="18"/>
              </w:rPr>
              <w:t>Signature</w:t>
            </w:r>
          </w:p>
        </w:tc>
        <w:tc>
          <w:tcPr>
            <w:tcW w:w="1720" w:type="dxa"/>
            <w:shd w:val="clear" w:color="auto" w:fill="1F3864"/>
            <w:tcMar>
              <w:top w:w="40" w:type="dxa"/>
              <w:left w:w="90" w:type="dxa"/>
              <w:bottom w:w="40" w:type="dxa"/>
              <w:right w:w="90" w:type="dxa"/>
            </w:tcMar>
          </w:tcPr>
          <w:p w14:paraId="5CA1CAF9">
            <w:pPr>
              <w:spacing w:before="20" w:after="20" w:line="252" w:lineRule="auto"/>
              <w:jc w:val="left"/>
            </w:pPr>
            <w:r>
              <w:rPr>
                <w:rFonts w:ascii="Calibri" w:hAnsi="Calibri" w:eastAsia="Calibri" w:cs="Calibri"/>
                <w:b/>
                <w:bCs/>
                <w:color w:val="FFFFFF"/>
                <w:sz w:val="18"/>
                <w:szCs w:val="18"/>
              </w:rPr>
              <w:t>Date</w:t>
            </w:r>
          </w:p>
        </w:tc>
      </w:tr>
      <w:tr w14:paraId="220122EA">
        <w:tc>
          <w:tcPr>
            <w:tcW w:w="4400" w:type="dxa"/>
            <w:shd w:val="clear" w:color="auto" w:fill="FFFFFF"/>
            <w:tcMar>
              <w:top w:w="40" w:type="dxa"/>
              <w:left w:w="90" w:type="dxa"/>
              <w:bottom w:w="40" w:type="dxa"/>
              <w:right w:w="90" w:type="dxa"/>
            </w:tcMar>
          </w:tcPr>
          <w:p w14:paraId="3C38269C">
            <w:pPr>
              <w:spacing w:before="20" w:after="20" w:line="252" w:lineRule="auto"/>
              <w:jc w:val="left"/>
            </w:pPr>
            <w:r>
              <w:rPr>
                <w:rFonts w:ascii="Calibri" w:hAnsi="Calibri" w:eastAsia="Calibri" w:cs="Calibri"/>
                <w:b/>
                <w:bCs/>
                <w:color w:val="000000"/>
                <w:sz w:val="18"/>
                <w:szCs w:val="18"/>
              </w:rPr>
              <w:t>Gwee Bor Ching — SVP, GEB Platform</w:t>
            </w:r>
          </w:p>
        </w:tc>
        <w:tc>
          <w:tcPr>
            <w:tcW w:w="2900" w:type="dxa"/>
            <w:shd w:val="clear" w:color="auto" w:fill="FFFFFF"/>
            <w:tcMar>
              <w:top w:w="40" w:type="dxa"/>
              <w:left w:w="90" w:type="dxa"/>
              <w:bottom w:w="40" w:type="dxa"/>
              <w:right w:w="90" w:type="dxa"/>
            </w:tcMar>
          </w:tcPr>
          <w:p w14:paraId="61A73DF2">
            <w:pPr>
              <w:spacing w:before="20" w:after="20" w:line="252" w:lineRule="auto"/>
              <w:jc w:val="left"/>
            </w:pPr>
          </w:p>
        </w:tc>
        <w:tc>
          <w:tcPr>
            <w:tcW w:w="1720" w:type="dxa"/>
            <w:shd w:val="clear" w:color="auto" w:fill="FFFFFF"/>
            <w:tcMar>
              <w:top w:w="40" w:type="dxa"/>
              <w:left w:w="90" w:type="dxa"/>
              <w:bottom w:w="40" w:type="dxa"/>
              <w:right w:w="90" w:type="dxa"/>
            </w:tcMar>
          </w:tcPr>
          <w:p w14:paraId="0CA66BCE">
            <w:pPr>
              <w:spacing w:before="20" w:after="20" w:line="252" w:lineRule="auto"/>
              <w:jc w:val="left"/>
            </w:pPr>
          </w:p>
        </w:tc>
      </w:tr>
      <w:tr w14:paraId="3D0E8BD9">
        <w:tc>
          <w:tcPr>
            <w:tcW w:w="4400" w:type="dxa"/>
            <w:shd w:val="clear" w:color="auto" w:fill="EEF1F7"/>
            <w:tcMar>
              <w:top w:w="40" w:type="dxa"/>
              <w:left w:w="90" w:type="dxa"/>
              <w:bottom w:w="40" w:type="dxa"/>
              <w:right w:w="90" w:type="dxa"/>
            </w:tcMar>
          </w:tcPr>
          <w:p w14:paraId="694A6613">
            <w:pPr>
              <w:spacing w:before="20" w:after="20" w:line="252" w:lineRule="auto"/>
              <w:jc w:val="left"/>
            </w:pPr>
            <w:r>
              <w:rPr>
                <w:rFonts w:ascii="Calibri" w:hAnsi="Calibri" w:eastAsia="Calibri" w:cs="Calibri"/>
                <w:b/>
                <w:bCs/>
                <w:color w:val="000000"/>
                <w:sz w:val="18"/>
                <w:szCs w:val="18"/>
              </w:rPr>
              <w:t>Veeramani Surekha — VP, GEB Delivery</w:t>
            </w:r>
          </w:p>
        </w:tc>
        <w:tc>
          <w:tcPr>
            <w:tcW w:w="2900" w:type="dxa"/>
            <w:shd w:val="clear" w:color="auto" w:fill="EEF1F7"/>
            <w:tcMar>
              <w:top w:w="40" w:type="dxa"/>
              <w:left w:w="90" w:type="dxa"/>
              <w:bottom w:w="40" w:type="dxa"/>
              <w:right w:w="90" w:type="dxa"/>
            </w:tcMar>
          </w:tcPr>
          <w:p w14:paraId="4A93D0BC">
            <w:pPr>
              <w:spacing w:before="20" w:after="20" w:line="252" w:lineRule="auto"/>
              <w:jc w:val="left"/>
            </w:pPr>
          </w:p>
        </w:tc>
        <w:tc>
          <w:tcPr>
            <w:tcW w:w="1720" w:type="dxa"/>
            <w:shd w:val="clear" w:color="auto" w:fill="EEF1F7"/>
            <w:tcMar>
              <w:top w:w="40" w:type="dxa"/>
              <w:left w:w="90" w:type="dxa"/>
              <w:bottom w:w="40" w:type="dxa"/>
              <w:right w:w="90" w:type="dxa"/>
            </w:tcMar>
          </w:tcPr>
          <w:p w14:paraId="78E542D2">
            <w:pPr>
              <w:spacing w:before="20" w:after="20" w:line="252" w:lineRule="auto"/>
              <w:jc w:val="left"/>
            </w:pPr>
          </w:p>
        </w:tc>
      </w:tr>
      <w:tr w14:paraId="12829F7C">
        <w:tc>
          <w:tcPr>
            <w:tcW w:w="4400" w:type="dxa"/>
            <w:shd w:val="clear" w:color="auto" w:fill="FFFFFF"/>
            <w:tcMar>
              <w:top w:w="40" w:type="dxa"/>
              <w:left w:w="90" w:type="dxa"/>
              <w:bottom w:w="40" w:type="dxa"/>
              <w:right w:w="90" w:type="dxa"/>
            </w:tcMar>
          </w:tcPr>
          <w:p w14:paraId="25233542">
            <w:pPr>
              <w:spacing w:before="20" w:after="20" w:line="252" w:lineRule="auto"/>
              <w:jc w:val="left"/>
            </w:pPr>
            <w:r>
              <w:rPr>
                <w:rFonts w:ascii="Calibri" w:hAnsi="Calibri" w:eastAsia="Calibri" w:cs="Calibri"/>
                <w:b/>
                <w:bCs/>
                <w:color w:val="000000"/>
                <w:sz w:val="18"/>
                <w:szCs w:val="18"/>
              </w:rPr>
              <w:t>Govindarajan Subburayan — Bank Technical Lead</w:t>
            </w:r>
          </w:p>
        </w:tc>
        <w:tc>
          <w:tcPr>
            <w:tcW w:w="2900" w:type="dxa"/>
            <w:shd w:val="clear" w:color="auto" w:fill="FFFFFF"/>
            <w:tcMar>
              <w:top w:w="40" w:type="dxa"/>
              <w:left w:w="90" w:type="dxa"/>
              <w:bottom w:w="40" w:type="dxa"/>
              <w:right w:w="90" w:type="dxa"/>
            </w:tcMar>
          </w:tcPr>
          <w:p w14:paraId="57CAF278">
            <w:pPr>
              <w:spacing w:before="20" w:after="20" w:line="252" w:lineRule="auto"/>
              <w:jc w:val="left"/>
            </w:pPr>
          </w:p>
        </w:tc>
        <w:tc>
          <w:tcPr>
            <w:tcW w:w="1720" w:type="dxa"/>
            <w:shd w:val="clear" w:color="auto" w:fill="FFFFFF"/>
            <w:tcMar>
              <w:top w:w="40" w:type="dxa"/>
              <w:left w:w="90" w:type="dxa"/>
              <w:bottom w:w="40" w:type="dxa"/>
              <w:right w:w="90" w:type="dxa"/>
            </w:tcMar>
          </w:tcPr>
          <w:p w14:paraId="4A5A742E">
            <w:pPr>
              <w:spacing w:before="20" w:after="20" w:line="252" w:lineRule="auto"/>
              <w:jc w:val="left"/>
            </w:pPr>
          </w:p>
        </w:tc>
      </w:tr>
      <w:tr w14:paraId="449D11B8">
        <w:tc>
          <w:tcPr>
            <w:tcW w:w="4400" w:type="dxa"/>
            <w:shd w:val="clear" w:color="auto" w:fill="EEF1F7"/>
            <w:tcMar>
              <w:top w:w="40" w:type="dxa"/>
              <w:left w:w="90" w:type="dxa"/>
              <w:bottom w:w="40" w:type="dxa"/>
              <w:right w:w="90" w:type="dxa"/>
            </w:tcMar>
          </w:tcPr>
          <w:p w14:paraId="7EF08273">
            <w:pPr>
              <w:spacing w:before="20" w:after="20" w:line="252" w:lineRule="auto"/>
              <w:jc w:val="left"/>
            </w:pPr>
            <w:r>
              <w:rPr>
                <w:rFonts w:ascii="Calibri" w:hAnsi="Calibri" w:eastAsia="Calibri" w:cs="Calibri"/>
                <w:b/>
                <w:bCs/>
                <w:color w:val="000000"/>
                <w:sz w:val="18"/>
                <w:szCs w:val="18"/>
              </w:rPr>
              <w:t>SG Country SPOC</w:t>
            </w:r>
          </w:p>
        </w:tc>
        <w:tc>
          <w:tcPr>
            <w:tcW w:w="2900" w:type="dxa"/>
            <w:shd w:val="clear" w:color="auto" w:fill="EEF1F7"/>
            <w:tcMar>
              <w:top w:w="40" w:type="dxa"/>
              <w:left w:w="90" w:type="dxa"/>
              <w:bottom w:w="40" w:type="dxa"/>
              <w:right w:w="90" w:type="dxa"/>
            </w:tcMar>
          </w:tcPr>
          <w:p w14:paraId="589E59BC">
            <w:pPr>
              <w:spacing w:before="20" w:after="20" w:line="252" w:lineRule="auto"/>
              <w:jc w:val="left"/>
            </w:pPr>
          </w:p>
        </w:tc>
        <w:tc>
          <w:tcPr>
            <w:tcW w:w="1720" w:type="dxa"/>
            <w:shd w:val="clear" w:color="auto" w:fill="EEF1F7"/>
            <w:tcMar>
              <w:top w:w="40" w:type="dxa"/>
              <w:left w:w="90" w:type="dxa"/>
              <w:bottom w:w="40" w:type="dxa"/>
              <w:right w:w="90" w:type="dxa"/>
            </w:tcMar>
          </w:tcPr>
          <w:p w14:paraId="57E2811E">
            <w:pPr>
              <w:spacing w:before="20" w:after="20" w:line="252" w:lineRule="auto"/>
              <w:jc w:val="left"/>
            </w:pPr>
          </w:p>
        </w:tc>
      </w:tr>
    </w:tbl>
    <w:p w14:paraId="400D3607">
      <w:pPr>
        <w:spacing w:after="120"/>
      </w:pPr>
    </w:p>
    <w:p w14:paraId="48A68E00">
      <w:pPr>
        <w:pStyle w:val="3"/>
        <w:spacing w:before="180" w:after="90"/>
      </w:pPr>
      <w:r>
        <w:rPr>
          <w:rFonts w:ascii="Calibri" w:hAnsi="Calibri" w:eastAsia="Calibri" w:cs="Calibri"/>
          <w:b/>
          <w:bCs/>
          <w:color w:val="1F3864"/>
          <w:sz w:val="22"/>
          <w:szCs w:val="22"/>
        </w:rPr>
        <w:t>12.3  Residual CVE Acknowledgment</w:t>
      </w:r>
    </w:p>
    <w:p w14:paraId="5E6DB1F6">
      <w:pPr>
        <w:spacing w:after="120" w:line="264" w:lineRule="auto"/>
        <w:jc w:val="both"/>
      </w:pPr>
      <w:r>
        <w:rPr>
          <w:rFonts w:ascii="Calibri" w:hAnsi="Calibri" w:eastAsia="Calibri" w:cs="Calibri"/>
          <w:b w:val="0"/>
          <w:bCs w:val="0"/>
          <w:i w:val="0"/>
          <w:iCs w:val="0"/>
          <w:color w:val="000000"/>
          <w:sz w:val="20"/>
          <w:szCs w:val="20"/>
        </w:rPr>
        <w:t>By signing this document, the UOB signatories acknowledge the residual CVE position set out in Section 8, namely CVE-2016-1000027 on spring-web, CVE-2024-38819 on spring-webmvc, CVE-2025-41249 on spring-core, and CVE-2020-13936 on velocity. The exploitability rationale for each is documented in Section 8.1. Full closure of these items would require a stack-level uplift (Java 17 with Spring 6.x for the Spring items; a Turbine framework uplift for velocity), which is outside the August 2026 release cycle.</w:t>
      </w:r>
    </w:p>
    <w:sectPr>
      <w:headerReference r:id="rId3" w:type="default"/>
      <w:footerReference r:id="rId4" w:type="default"/>
      <w:pgSz w:w="11906" w:h="16838"/>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DC7C0">
    <w:pPr>
      <w:pBdr>
        <w:top w:val="single" w:color="BFBFBF" w:sz="4" w:space="0"/>
      </w:pBdr>
      <w:tabs>
        <w:tab w:val="right" w:pos="9020"/>
      </w:tabs>
    </w:pPr>
    <w:r>
      <w:rPr>
        <w:rFonts w:ascii="Calibri" w:hAnsi="Calibri" w:eastAsia="Calibri" w:cs="Calibri"/>
        <w:color w:val="595959"/>
        <w:sz w:val="15"/>
        <w:szCs w:val="15"/>
      </w:rPr>
      <w:t>Wipro Consulting — Prepared for UOB Singapore  ·  Restricted  ·  v1.3</w:t>
    </w:r>
    <w:r>
      <w:rPr>
        <w:rFonts w:ascii="Calibri" w:hAnsi="Calibri" w:eastAsia="Calibri" w:cs="Calibri"/>
        <w:color w:val="595959"/>
        <w:sz w:val="15"/>
        <w:szCs w:val="15"/>
      </w:rPr>
      <w:tab/>
      <w:t xml:space="preserve">Page </w:t>
    </w:r>
    <w:r>
      <w:rPr>
        <w:rFonts w:ascii="Calibri" w:hAnsi="Calibri" w:eastAsia="Calibri" w:cs="Calibri"/>
        <w:color w:val="595959"/>
        <w:sz w:val="15"/>
        <w:szCs w:val="15"/>
      </w:rPr>
      <w:fldChar w:fldCharType="begin"/>
    </w:r>
    <w:r>
      <w:rPr>
        <w:rFonts w:ascii="Calibri" w:hAnsi="Calibri" w:eastAsia="Calibri" w:cs="Calibri"/>
        <w:color w:val="595959"/>
        <w:sz w:val="15"/>
        <w:szCs w:val="15"/>
      </w:rPr>
      <w:instrText xml:space="preserve">PAGE</w:instrText>
    </w:r>
    <w:r>
      <w:rPr>
        <w:rFonts w:ascii="Calibri" w:hAnsi="Calibri" w:eastAsia="Calibri" w:cs="Calibri"/>
        <w:color w:val="595959"/>
        <w:sz w:val="15"/>
        <w:szCs w:val="15"/>
      </w:rPr>
      <w:fldChar w:fldCharType="separate"/>
    </w:r>
    <w:r>
      <w:rPr>
        <w:rFonts w:ascii="Calibri" w:hAnsi="Calibri" w:eastAsia="Calibri" w:cs="Calibri"/>
        <w:color w:val="595959"/>
        <w:sz w:val="15"/>
        <w:szCs w:val="15"/>
      </w:rPr>
      <w:fldChar w:fldCharType="end"/>
    </w:r>
    <w:r>
      <w:rPr>
        <w:rFonts w:ascii="Calibri" w:hAnsi="Calibri" w:eastAsia="Calibri" w:cs="Calibri"/>
        <w:color w:val="595959"/>
        <w:sz w:val="15"/>
        <w:szCs w:val="15"/>
      </w:rPr>
      <w:t xml:space="preserve"> of </w:t>
    </w:r>
    <w:r>
      <w:rPr>
        <w:rFonts w:ascii="Calibri" w:hAnsi="Calibri" w:eastAsia="Calibri" w:cs="Calibri"/>
        <w:color w:val="595959"/>
        <w:sz w:val="15"/>
        <w:szCs w:val="15"/>
      </w:rPr>
      <w:fldChar w:fldCharType="begin"/>
    </w:r>
    <w:r>
      <w:rPr>
        <w:rFonts w:ascii="Calibri" w:hAnsi="Calibri" w:eastAsia="Calibri" w:cs="Calibri"/>
        <w:color w:val="595959"/>
        <w:sz w:val="15"/>
        <w:szCs w:val="15"/>
      </w:rPr>
      <w:instrText xml:space="preserve">NUMPAGES</w:instrText>
    </w:r>
    <w:r>
      <w:rPr>
        <w:rFonts w:ascii="Calibri" w:hAnsi="Calibri" w:eastAsia="Calibri" w:cs="Calibri"/>
        <w:color w:val="595959"/>
        <w:sz w:val="15"/>
        <w:szCs w:val="15"/>
      </w:rPr>
      <w:fldChar w:fldCharType="separate"/>
    </w:r>
    <w:r>
      <w:rPr>
        <w:rFonts w:ascii="Calibri" w:hAnsi="Calibri" w:eastAsia="Calibri" w:cs="Calibri"/>
        <w:color w:val="595959"/>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8437A">
    <w:pPr>
      <w:pBdr>
        <w:bottom w:val="single" w:color="BFBFBF" w:sz="4" w:space="0"/>
      </w:pBdr>
      <w:tabs>
        <w:tab w:val="right" w:pos="9020"/>
      </w:tabs>
    </w:pPr>
    <w:r>
      <w:rPr>
        <w:rFonts w:ascii="Calibri" w:hAnsi="Calibri" w:eastAsia="Calibri" w:cs="Calibri"/>
        <w:color w:val="595959"/>
        <w:sz w:val="15"/>
        <w:szCs w:val="15"/>
      </w:rPr>
      <w:t>GEB Portal — CVE Remediation Solution Document</w:t>
    </w:r>
    <w:r>
      <w:rPr>
        <w:rFonts w:ascii="Calibri" w:hAnsi="Calibri" w:eastAsia="Calibri" w:cs="Calibri"/>
        <w:i/>
        <w:iCs/>
        <w:color w:val="595959"/>
        <w:sz w:val="15"/>
        <w:szCs w:val="15"/>
      </w:rPr>
      <w:tab/>
      <w:t>Singapore (SG) ·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DF2687"/>
    <w:multiLevelType w:val="multilevel"/>
    <w:tmpl w:val="6FDF2687"/>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isplayBackgroundShape w:val="1"/>
  <w:documentProtection w:enforcement="0"/>
  <w:compat>
    <w:compatSetting w:name="compatibilityMode" w:uri="http://schemas.microsoft.com/office/word" w:val="15"/>
  </w:compat>
  <w:rsids>
    <w:rsidRoot w:val="00000000"/>
    <w:rsid w:val="3F7DD2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2</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Wipro Consulting</dc:creator>
  <cp:lastModifiedBy>Sai pavan Jaldu</cp:lastModifiedBy>
  <dcterms:modified xsi:type="dcterms:W3CDTF">2026-07-13T00:51:03Z</dcterms:modified>
  <dc:title>GEB Portal — CVE Remediation Solution Document — SG (August 2026)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9094000A1FAC2C831FE9536A8F2C2872_42</vt:lpwstr>
  </property>
</Properties>
</file>