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003366"/>
          <w:sz w:val="48"/>
          <w:szCs w:val="48"/>
        </w:rPr>
        <w:t xml:space="preserve">GEB FCC PLATFORM</w:t>
      </w:r>
    </w:p>
    <w:p>
      <w:pPr>
        <w:spacing w:after="80"/>
        <w:jc w:val="center"/>
      </w:pPr>
      <w:r>
        <w:rPr>
          <w:rFonts w:ascii="Arial" w:cs="Arial" w:eastAsia="Arial" w:hAnsi="Arial"/>
          <w:color w:val="002147"/>
          <w:sz w:val="36"/>
          <w:szCs w:val="36"/>
        </w:rPr>
        <w:t xml:space="preserve">RunData Architecture</w:t>
      </w:r>
    </w:p>
    <w:p>
      <w:pPr>
        <w:spacing w:after="80"/>
        <w:jc w:val="center"/>
      </w:pPr>
      <w:r>
        <w:rPr>
          <w:rFonts w:ascii="Arial" w:cs="Arial" w:eastAsia="Arial" w:hAnsi="Arial"/>
          <w:color w:val="666666"/>
          <w:sz w:val="26"/>
          <w:szCs w:val="26"/>
        </w:rPr>
        <w:t xml:space="preserve">The Central Data Bus of GEB</w:t>
      </w:r>
    </w:p>
    <w:p>
      <w:pPr>
        <w:spacing w:after="40"/>
        <w:jc w:val="center"/>
      </w:pPr>
      <w:r>
        <w:rPr>
          <w:rFonts w:ascii="Arial" w:cs="Arial" w:eastAsia="Arial" w:hAnsi="Arial"/>
          <w:color w:val="888888"/>
          <w:sz w:val="20"/>
          <w:szCs w:val="20"/>
        </w:rPr>
        <w:t xml:space="preserve">Deep Technical Understanding Based on Source Code and Runtime Debugger Evidence</w:t>
      </w:r>
    </w:p>
    <w:p>
      <w:pPr>
        <w:spacing w:before="600"/>
        <w:jc w:val="center"/>
      </w:pPr>
      <w:r>
        <w:rPr>
          <w:rFonts w:ascii="Arial" w:cs="Arial" w:eastAsia="Arial" w:hAnsi="Arial"/>
          <w:color w:val="003366"/>
          <w:sz w:val="22"/>
          <w:szCs w:val="22"/>
        </w:rPr>
        <w:t xml:space="preserve">UOB Bank Singapore  |  Wipro Consulting  |  April 2026</w:t>
      </w:r>
    </w:p>
    <w:p>
      <w:pPr>
        <w:spacing w:before="400"/>
        <w:jc w:val="center"/>
      </w:pPr>
      <w:r>
        <w:rPr>
          <w:rFonts w:ascii="Arial" w:cs="Arial" w:eastAsia="Arial" w:hAnsi="Arial"/>
          <w:i/>
          <w:iCs/>
          <w:color w:val="999999"/>
          <w:sz w:val="18"/>
          <w:szCs w:val="18"/>
        </w:rPr>
        <w:t xml:space="preserve">CONFIDENTIAL — For Internal Assessment Only</w:t>
      </w:r>
    </w:p>
    <w:p>
      <w:r>
        <w:br w:type="page"/>
      </w:r>
    </w:p>
    <w:p>
      <w:pPr>
        <w:pStyle w:val="Heading1"/>
        <w:spacing w:after="200" w:before="360"/>
      </w:pPr>
      <w:r>
        <w:rPr>
          <w:rFonts w:ascii="Arial" w:cs="Arial" w:eastAsia="Arial" w:hAnsi="Arial"/>
          <w:b/>
          <w:bCs/>
          <w:color w:val="003366"/>
          <w:sz w:val="32"/>
          <w:szCs w:val="32"/>
        </w:rPr>
        <w:t xml:space="preserve">1. What RunData Is in GEB</w:t>
      </w:r>
    </w:p>
    <w:p>
      <w:pPr>
        <w:spacing w:after="120" w:line="276"/>
      </w:pPr>
      <w:r>
        <w:rPr>
          <w:rFonts w:ascii="Arial" w:cs="Arial" w:eastAsia="Arial" w:hAnsi="Arial"/>
          <w:sz w:val="21"/>
          <w:szCs w:val="21"/>
        </w:rPr>
        <w:t xml:space="preserve">RunData is not a parameter object. It is not a request wrapper. It is the central data bus of the entire GEB application. Every Action, every Screen, every Portlet, every service call in GEB receives the same RunData object for the duration of a single HTTP request. Every layer reads from it. Every layer writes to it. It carries the complete runtime context of a request from the moment HTTP arrives at the Turbine servlet until the response HTML is written back to the browser.</w:t>
      </w:r>
    </w:p>
    <w:p>
      <w:pPr>
        <w:spacing w:after="120" w:line="276"/>
      </w:pPr>
      <w:r>
        <w:rPr>
          <w:rFonts w:ascii="Arial" w:cs="Arial" w:eastAsia="Arial" w:hAnsi="Arial"/>
          <w:sz w:val="21"/>
          <w:szCs w:val="21"/>
        </w:rPr>
        <w:t xml:space="preserve">Understanding RunData is understanding how GEB works. Every other component — Actions, Screens, Portlets, XSLT, Velocity layouts — exists to process what RunData carries or to contribute back into it. If RunData breaks during migration, everything downstream breaks. Not with compile errors. With silent wrong data on banking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66" w:sz="6"/>
              <w:left w:val="single" w:color="003366" w:sz="6"/>
              <w:bottom w:val="single" w:color="CCCCCC" w:sz="1"/>
              <w:right w:val="single" w:color="CCCCCC" w:sz="1"/>
            </w:tcBorders>
            <w:shd w:fill="D5E8F0" w:val="clear"/>
            <w:tcMar>
              <w:top w:type="dxa" w:w="120"/>
              <w:left w:type="dxa" w:w="200"/>
              <w:bottom w:type="dxa" w:w="120"/>
              <w:right w:type="dxa" w:w="200"/>
            </w:tcMar>
          </w:tcPr>
          <w:p>
            <w:pPr>
              <w:spacing w:after="80"/>
            </w:pPr>
            <w:r>
              <w:rPr>
                <w:rFonts w:ascii="Arial" w:cs="Arial" w:eastAsia="Arial" w:hAnsi="Arial"/>
                <w:b/>
                <w:bCs/>
                <w:color w:val="003366"/>
                <w:sz w:val="20"/>
                <w:szCs w:val="20"/>
              </w:rPr>
              <w:t xml:space="preserve">KEY PRINCIPLE</w:t>
            </w:r>
          </w:p>
          <w:p>
            <w:pPr>
              <w:spacing w:after="0"/>
            </w:pPr>
            <w:r>
              <w:rPr>
                <w:rFonts w:ascii="Arial" w:cs="Arial" w:eastAsia="Arial" w:hAnsi="Arial"/>
                <w:sz w:val="19"/>
                <w:szCs w:val="19"/>
              </w:rPr>
              <w:t xml:space="preserve">RunData is created ONCE per HTTP request, passed through the ENTIRE pipeline, and recycled back to the pool when the response is sent. It is the nervous system of the application. Touching it affects every organ.</w:t>
            </w:r>
          </w:p>
        </w:tc>
      </w:tr>
    </w:tbl>
    <w:p>
      <w:r>
        <w:br w:type="page"/>
      </w:r>
    </w:p>
    <w:p>
      <w:pPr>
        <w:pStyle w:val="Heading1"/>
        <w:spacing w:after="200" w:before="360"/>
      </w:pPr>
      <w:r>
        <w:rPr>
          <w:rFonts w:ascii="Arial" w:cs="Arial" w:eastAsia="Arial" w:hAnsi="Arial"/>
          <w:b/>
          <w:bCs/>
          <w:color w:val="003366"/>
          <w:sz w:val="32"/>
          <w:szCs w:val="32"/>
        </w:rPr>
        <w:t xml:space="preserve">2. The Class Hierarchy — From Source Code</w:t>
      </w:r>
    </w:p>
    <w:p>
      <w:pPr>
        <w:spacing w:after="120" w:line="276"/>
      </w:pPr>
      <w:r>
        <w:rPr>
          <w:rFonts w:ascii="Arial" w:cs="Arial" w:eastAsia="Arial" w:hAnsi="Arial"/>
          <w:i/>
          <w:iCs/>
          <w:color w:val="555555"/>
          <w:sz w:val="21"/>
          <w:szCs w:val="21"/>
        </w:rPr>
        <w:t xml:space="preserve">Evidence: Eclipse IDE screenshots of GTPRunData.java, DefaultGTPRunData.java, GTPRunDataService.java from com.misys.portal.services.rundata package.</w:t>
      </w:r>
    </w:p>
    <w:p>
      <w:pPr>
        <w:pStyle w:val="Heading2"/>
        <w:spacing w:after="160" w:before="280"/>
      </w:pPr>
      <w:r>
        <w:rPr>
          <w:rFonts w:ascii="Arial" w:cs="Arial" w:eastAsia="Arial" w:hAnsi="Arial"/>
          <w:b/>
          <w:bCs/>
          <w:color w:val="002147"/>
          <w:sz w:val="26"/>
          <w:szCs w:val="26"/>
        </w:rPr>
        <w:t xml:space="preserve">2.1 The Interface Chain</w:t>
      </w:r>
    </w:p>
    <w:p>
      <w:pPr>
        <w:spacing w:after="120" w:line="276"/>
      </w:pPr>
      <w:r>
        <w:rPr>
          <w:rFonts w:ascii="Arial" w:cs="Arial" w:eastAsia="Arial" w:hAnsi="Arial"/>
          <w:sz w:val="21"/>
          <w:szCs w:val="21"/>
        </w:rPr>
        <w:t xml:space="preserve">The RunData hierarchy in GEB is a three-layer stack. Apache Turbine provides the base interface and default implementation. Finastra defines a GTP-specific interface that extends the Apache one. And Finastra provides the concrete implementation that GEB actually uses at runtime.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Class / Interface</w:t>
            </w:r>
          </w:p>
        </w:tc>
        <w:tc>
          <w:tcPr>
            <w:tcW w:type="dxa" w:w="14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1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What It Adds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18"/>
                <w:szCs w:val="18"/>
              </w:rPr>
              <w:t xml:space="preserve">TurbineRunData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Interface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Base contract from Apache Turbine. Defines getRequest(), getResponse(), getSession(), getParameters(), getUser(), getAction(), setAction(), setMessage(), setScreen(), getACL(), and all standard request lifecycle methods.</w:t>
            </w:r>
          </w:p>
        </w:tc>
      </w:tr>
      <w:tr>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333333"/>
                <w:sz w:val="18"/>
                <w:szCs w:val="18"/>
              </w:rPr>
              <w:t xml:space="preserve">GTPRunData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Interface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Extends TurbineRunData. Adds GEB-specific methods: getCompanyAcl(), getGtpUser(), getUserAcl(), setCompanyAcl(), setUserAccounts(). This is the banking layer on top of the generic request layer.</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18"/>
                <w:szCs w:val="18"/>
              </w:rPr>
              <w:t xml:space="preserve">DefaultTurbineRunData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Concrete class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Apache’s default implementation of TurbineRunData. Holds HttpServletRequest, HttpServletResponse, HttpSession, ParameterParser, CookieParser, User, Action name, Screen name, Layout name, Message, TemplateInfo, ACL, ServerData.</w:t>
            </w:r>
          </w:p>
        </w:tc>
      </w:tr>
      <w:tr>
        <w:tc>
          <w:tcPr>
            <w:tcW w:type="dxa" w:w="28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r>
              <w:rPr>
                <w:rFonts w:ascii="Arial" w:cs="Arial" w:eastAsia="Arial" w:hAnsi="Arial"/>
                <w:b/>
                <w:bCs/>
                <w:color w:val="333333"/>
                <w:sz w:val="18"/>
                <w:szCs w:val="18"/>
              </w:rPr>
              <w:t xml:space="preserve">DefaultGTPRunData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Concrete class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Extends DefaultTurbineRunData, implements GTPRunData and Serializable. This is the actual class instantiated at runtime for EVERY request. Adds fields: companyAcl (GTPAccessControlList), userAcl (GTPAccessControlList), userAccounts (UserAccountSet). Overrides getACL() to return null (deprecated but required for Turbine compilation).</w:t>
            </w:r>
          </w:p>
        </w:tc>
      </w:tr>
    </w:tbl>
    <w:p>
      <w:pPr>
        <w:spacing w:after="60"/>
      </w:pPr>
    </w:p>
    <w:p>
      <w:pPr>
        <w:pStyle w:val="Heading2"/>
        <w:spacing w:after="160" w:before="280"/>
      </w:pPr>
      <w:r>
        <w:rPr>
          <w:rFonts w:ascii="Arial" w:cs="Arial" w:eastAsia="Arial" w:hAnsi="Arial"/>
          <w:b/>
          <w:bCs/>
          <w:color w:val="002147"/>
          <w:sz w:val="26"/>
          <w:szCs w:val="26"/>
        </w:rPr>
        <w:t xml:space="preserve">2.2 The Service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Class</w:t>
            </w:r>
          </w:p>
        </w:tc>
        <w:tc>
          <w:tcPr>
            <w:tcW w:type="dxa" w:w="14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9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18"/>
                <w:szCs w:val="18"/>
              </w:rPr>
              <w:t xml:space="preserve">TurbineRunDataService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Base class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Apache’s service for creating, managing, and recycling RunData objects. Defines getRunData() and putRunData() methods. Manages a configuration HashMap mapping keys to class name arrays.</w:t>
            </w:r>
          </w:p>
        </w:tc>
      </w:tr>
      <w:tr>
        <w:tc>
          <w:tcPr>
            <w:tcW w:type="dxa" w:w="30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r>
              <w:rPr>
                <w:rFonts w:ascii="Arial" w:cs="Arial" w:eastAsia="Arial" w:hAnsi="Arial"/>
                <w:b/>
                <w:bCs/>
                <w:color w:val="333333"/>
                <w:sz w:val="18"/>
                <w:szCs w:val="18"/>
              </w:rPr>
              <w:t xml:space="preserve">GTPRunDataService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GEB override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Extends TurbineRunDataService. Overrides getRunData() to create DefaultGTPRunData with GTPParameterParser attached. Overrides putRunData() to recycle all three pooled objects independently. Overrides init() to require PoolService.</w:t>
            </w:r>
          </w:p>
        </w:tc>
      </w:tr>
    </w:tbl>
    <w:p>
      <w:pPr>
        <w:spacing w:after="60"/>
      </w:pPr>
    </w:p>
    <w:p>
      <w:pPr>
        <w:pStyle w:val="Heading2"/>
        <w:spacing w:after="160" w:before="280"/>
      </w:pPr>
      <w:r>
        <w:rPr>
          <w:rFonts w:ascii="Arial" w:cs="Arial" w:eastAsia="Arial" w:hAnsi="Arial"/>
          <w:b/>
          <w:bCs/>
          <w:color w:val="002147"/>
          <w:sz w:val="26"/>
          <w:szCs w:val="26"/>
        </w:rPr>
        <w:t xml:space="preserve">2.3 The Parser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Class</w:t>
            </w:r>
          </w:p>
        </w:tc>
        <w:tc>
          <w:tcPr>
            <w:tcW w:type="dxa" w:w="14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9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18"/>
                <w:szCs w:val="18"/>
              </w:rPr>
              <w:t xml:space="preserve">DefaultParameterParser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Apache base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Standard Turbine parameter parser. Reads form/query parameters from HttpServletRequest.</w:t>
            </w:r>
          </w:p>
        </w:tc>
      </w:tr>
      <w:tr>
        <w:tc>
          <w:tcPr>
            <w:tcW w:type="dxa" w:w="30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r>
              <w:rPr>
                <w:rFonts w:ascii="Arial" w:cs="Arial" w:eastAsia="Arial" w:hAnsi="Arial"/>
                <w:b/>
                <w:bCs/>
                <w:color w:val="333333"/>
                <w:sz w:val="18"/>
                <w:szCs w:val="18"/>
              </w:rPr>
              <w:t xml:space="preserve">GTPParameterParser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GEB override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Extends DefaultParameterParser. Adds GEB-specific parsing: multi-value handling, encoding rules, security sanitization, and any custom parameter processing logic Finastra built over 20 years.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18"/>
                <w:szCs w:val="18"/>
              </w:rPr>
              <w:t xml:space="preserve">DefaultCookieParser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Apache standard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Standard Turbine cookie parser. Used as-is — not overridden by GEB.</w:t>
            </w:r>
          </w:p>
        </w:tc>
      </w:tr>
    </w:tbl>
    <w:p>
      <w:r>
        <w:br w:type="page"/>
      </w:r>
    </w:p>
    <w:p>
      <w:pPr>
        <w:pStyle w:val="Heading1"/>
        <w:spacing w:after="200" w:before="360"/>
      </w:pPr>
      <w:r>
        <w:rPr>
          <w:rFonts w:ascii="Arial" w:cs="Arial" w:eastAsia="Arial" w:hAnsi="Arial"/>
          <w:b/>
          <w:bCs/>
          <w:color w:val="003366"/>
          <w:sz w:val="32"/>
          <w:szCs w:val="32"/>
        </w:rPr>
        <w:t xml:space="preserve">3. The RunData Creation Lifecycle — From Debugger Evidence</w:t>
      </w:r>
    </w:p>
    <w:p>
      <w:pPr>
        <w:spacing w:after="120" w:line="276"/>
      </w:pPr>
      <w:r>
        <w:rPr>
          <w:rFonts w:ascii="Arial" w:cs="Arial" w:eastAsia="Arial" w:hAnsi="Arial"/>
          <w:i/>
          <w:iCs/>
          <w:color w:val="555555"/>
          <w:sz w:val="21"/>
          <w:szCs w:val="21"/>
        </w:rPr>
        <w:t xml:space="preserve">Evidence: Runtime debugger breakpoint at GTPRunDataService.getRunData() line 167. Debugger tooltip shows cfg array contents. Call stack shows exact invocation chain from Tomcat through Turbine to GTPRunDataService.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66" w:sz="6"/>
              <w:left w:val="single" w:color="003366" w:sz="6"/>
              <w:bottom w:val="single" w:color="CCCCCC" w:sz="1"/>
              <w:right w:val="single" w:color="CCCCCC" w:sz="1"/>
            </w:tcBorders>
            <w:shd w:fill="F5F5F5" w:val="clear"/>
            <w:tcMar>
              <w:top w:type="dxa" w:w="120"/>
              <w:left w:type="dxa" w:w="200"/>
              <w:bottom w:type="dxa" w:w="120"/>
              <w:right w:type="dxa" w:w="200"/>
            </w:tcMar>
          </w:tcPr>
          <w:p>
            <w:pPr>
              <w:spacing w:after="80"/>
            </w:pPr>
            <w:r>
              <w:rPr>
                <w:rFonts w:ascii="Arial" w:cs="Arial" w:eastAsia="Arial" w:hAnsi="Arial"/>
                <w:b/>
                <w:bCs/>
                <w:color w:val="003366"/>
                <w:sz w:val="20"/>
                <w:szCs w:val="20"/>
              </w:rPr>
              <w:t xml:space="preserve">DEBUGGER PROOF — cfg Array at Runtime</w:t>
            </w:r>
          </w:p>
          <w:p>
            <w:pPr>
              <w:spacing w:after="0"/>
            </w:pPr>
            <w:r>
              <w:rPr>
                <w:rFonts w:ascii="Arial" w:cs="Arial" w:eastAsia="Arial" w:hAnsi="Arial"/>
                <w:sz w:val="19"/>
                <w:szCs w:val="19"/>
              </w:rPr>
              <w:t xml:space="preserve">cfg: String[3]
  [0] = "com.misys.portal.services.rundata.DefaultGTPRunData"
  [1] = "com.misys.portal.services.rundata.GTPParameterParser"
  [2] = "org.apache.turbine.util.parser.DefaultCookieParser"
These three class names are loaded from turbine.properties and define exactly which objects are instantiated for every single HTTP request.</w:t>
            </w:r>
          </w:p>
        </w:tc>
      </w:tr>
    </w:tbl>
    <w:p>
      <w:pPr>
        <w:spacing w:after="60"/>
      </w:pPr>
    </w:p>
    <w:p>
      <w:pPr>
        <w:pStyle w:val="Heading2"/>
        <w:spacing w:after="160" w:before="280"/>
      </w:pPr>
      <w:r>
        <w:rPr>
          <w:rFonts w:ascii="Arial" w:cs="Arial" w:eastAsia="Arial" w:hAnsi="Arial"/>
          <w:b/>
          <w:bCs/>
          <w:color w:val="002147"/>
          <w:sz w:val="26"/>
          <w:szCs w:val="26"/>
        </w:rPr>
        <w:t xml:space="preserve">3.1 The Call Stack — How Execution Reaches RunData Creation</w:t>
      </w:r>
    </w:p>
    <w:p>
      <w:pPr>
        <w:spacing w:after="120" w:line="276"/>
      </w:pPr>
      <w:r>
        <w:rPr>
          <w:rFonts w:ascii="Arial" w:cs="Arial" w:eastAsia="Arial" w:hAnsi="Arial"/>
          <w:sz w:val="21"/>
          <w:szCs w:val="21"/>
        </w:rPr>
        <w:t xml:space="preserve">The debugger call stack captured at the breakpoint confirms the exact invocation sequence from HTTP arrival to RunData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c>
          <w:tcPr>
            <w:tcW w:type="dxa" w:w="5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Stack Frame</w:t>
            </w:r>
          </w:p>
        </w:tc>
        <w:tc>
          <w:tcPr>
            <w:tcW w:type="dxa" w:w="60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8"/>
                <w:szCs w:val="18"/>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Tomcat NIO Endpoint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HTTP connection received by Tomcat’s NIO connector. Thread allocated from pool.</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8"/>
                <w:szCs w:val="18"/>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CoyoteAdapter.service()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Tomcat adapter routes request to the correct web application.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8"/>
                <w:szCs w:val="18"/>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StandardEngineValve → StandardHostValve → StandardContextValve → StandardWrapperValve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Tomcat’s internal valve chain. Passes through authentication, access logging, error reporting.</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8"/>
                <w:szCs w:val="18"/>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ApplicationFilterChain.doFilter()</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Servlet filters execute (if any configured in web.xml).</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8"/>
                <w:szCs w:val="18"/>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Turbine(HttpServlet).service(req, res)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Tomcat calls the Turbine servlet’s service() method. This is the entry point into GEB.</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8"/>
                <w:szCs w:val="18"/>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Turbine.doPost() → Turbine.doGet()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Turbine routes both POST and GET through doGet(). This is where the Turbine request lifecycle begins.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8"/>
                <w:szCs w:val="18"/>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GTPRunDataService.getRunData(key, req, res, config)</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Turbine calls the registered RunDataService to create the request’s RunData object. Because turbine.properties maps RunDataService to GTPRunDataService, this is the GEB override that executes.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8"/>
                <w:szCs w:val="18"/>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BREAKPOINT — cfg loaded, pool about to create objects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The three class names from the configuration array are about to be instantiated from the pool.</w:t>
            </w:r>
          </w:p>
        </w:tc>
      </w:tr>
    </w:tbl>
    <w:p>
      <w:pPr>
        <w:spacing w:after="60"/>
      </w:pPr>
    </w:p>
    <w:p>
      <w:pPr>
        <w:pStyle w:val="Heading2"/>
        <w:spacing w:after="160" w:before="280"/>
      </w:pPr>
      <w:r>
        <w:rPr>
          <w:rFonts w:ascii="Arial" w:cs="Arial" w:eastAsia="Arial" w:hAnsi="Arial"/>
          <w:b/>
          <w:bCs/>
          <w:color w:val="002147"/>
          <w:sz w:val="26"/>
          <w:szCs w:val="26"/>
        </w:rPr>
        <w:t xml:space="preserve">3.2 Inside getRunData() — The Three-Object Creation</w:t>
      </w:r>
    </w:p>
    <w:p>
      <w:pPr>
        <w:spacing w:after="120" w:line="276"/>
      </w:pPr>
      <w:r>
        <w:rPr>
          <w:rFonts w:ascii="Arial" w:cs="Arial" w:eastAsia="Arial" w:hAnsi="Arial"/>
          <w:sz w:val="21"/>
          <w:szCs w:val="21"/>
        </w:rPr>
        <w:t xml:space="preserve">The getRunData() method in GTPRunDataService performs the following sequence. Every line described below was confirmed by reading the actual source code in Eclipse and verifying with the debugger.</w:t>
      </w:r>
    </w:p>
    <w:p>
      <w:pPr>
        <w:spacing w:after="120" w:before="200"/>
      </w:pPr>
      <w:r>
        <w:rPr>
          <w:rFonts w:ascii="Arial" w:cs="Arial" w:eastAsia="Arial" w:hAnsi="Arial"/>
          <w:b/>
          <w:bCs/>
          <w:color w:val="003366"/>
          <w:sz w:val="22"/>
          <w:szCs w:val="22"/>
        </w:rPr>
        <w:t xml:space="preserve">Phase 1 — Validation</w:t>
      </w:r>
    </w:p>
    <w:p>
      <w:pPr>
        <w:spacing w:after="120" w:line="276"/>
      </w:pPr>
      <w:r>
        <w:rPr>
          <w:rFonts w:ascii="Arial" w:cs="Arial" w:eastAsia="Arial" w:hAnsi="Arial"/>
          <w:sz w:val="21"/>
          <w:szCs w:val="21"/>
        </w:rPr>
        <w:t xml:space="preserve">The method first validates that HttpServletRequest, HttpServletResponse, and ServletConfig are all non-null. If any is null, an IllegalArgumentException is thrown immediately. This prevents a partially constructed RunData from entering the pipeline.</w:t>
      </w:r>
    </w:p>
    <w:p>
      <w:pPr>
        <w:spacing w:after="120" w:before="200"/>
      </w:pPr>
      <w:r>
        <w:rPr>
          <w:rFonts w:ascii="Arial" w:cs="Arial" w:eastAsia="Arial" w:hAnsi="Arial"/>
          <w:b/>
          <w:bCs/>
          <w:color w:val="003366"/>
          <w:sz w:val="22"/>
          <w:szCs w:val="22"/>
        </w:rPr>
        <w:t xml:space="preserve">Phase 2 — Configuration Lookup</w:t>
      </w:r>
    </w:p>
    <w:p>
      <w:pPr>
        <w:spacing w:after="120" w:line="276"/>
      </w:pPr>
      <w:r>
        <w:rPr>
          <w:rFonts w:ascii="Arial" w:cs="Arial" w:eastAsia="Arial" w:hAnsi="Arial"/>
          <w:sz w:val="21"/>
          <w:szCs w:val="21"/>
        </w:rPr>
        <w:t xml:space="preserve">The method retrieves the configuration array from this.configurations using the key parameter. This HashMap was populated during service initialisation from turbine.properties. The key maps to a String array of three class names: the RunData class, the ParameterParser class, and the CookieParser class. If the key is not found, a TurbineException is thrown with the message indicating the runtime configuration is undefined.</w:t>
      </w:r>
    </w:p>
    <w:p>
      <w:pPr>
        <w:spacing w:after="120" w:before="200"/>
      </w:pPr>
      <w:r>
        <w:rPr>
          <w:rFonts w:ascii="Arial" w:cs="Arial" w:eastAsia="Arial" w:hAnsi="Arial"/>
          <w:b/>
          <w:bCs/>
          <w:color w:val="003366"/>
          <w:sz w:val="22"/>
          <w:szCs w:val="22"/>
        </w:rPr>
        <w:t xml:space="preserve">Phase 3 — Three Objects Created From Pool</w:t>
      </w:r>
    </w:p>
    <w:p>
      <w:pPr>
        <w:spacing w:after="120" w:line="276"/>
      </w:pPr>
      <w:r>
        <w:rPr>
          <w:rFonts w:ascii="Arial" w:cs="Arial" w:eastAsia="Arial" w:hAnsi="Arial"/>
          <w:sz w:val="21"/>
          <w:szCs w:val="21"/>
        </w:rPr>
        <w:t xml:space="preserve">This is the core mechanism. Three separate objects are created or retrieved from TurbinePoolService, each independently poolable and recyclable: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600"/>
        <w:gridCol w:w="3860"/>
      </w:tblGrid>
      <w:tr>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cfg[]</w:t>
            </w:r>
          </w:p>
        </w:tc>
        <w:tc>
          <w:tcPr>
            <w:tcW w:type="dxa" w:w="2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6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Class Instantiated</w:t>
            </w:r>
          </w:p>
        </w:tc>
        <w:tc>
          <w:tcPr>
            <w:tcW w:type="dxa" w:w="38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cfg[0]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pool.getInstance(cfg[0])</w:t>
            </w:r>
          </w:p>
        </w:tc>
        <w:tc>
          <w:tcPr>
            <w:tcW w:type="dxa" w:w="26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r>
              <w:rPr>
                <w:rFonts w:ascii="Arial" w:cs="Arial" w:eastAsia="Arial" w:hAnsi="Arial"/>
                <w:b/>
                <w:bCs/>
                <w:color w:val="333333"/>
                <w:sz w:val="18"/>
                <w:szCs w:val="18"/>
              </w:rPr>
              <w:t xml:space="preserve">DefaultGTPRunData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The RunData object itself. Cast to TurbineRunData. This is the central data bus.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cfg[1]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pool.getInstance(cfg[1])</w:t>
            </w:r>
          </w:p>
        </w:tc>
        <w:tc>
          <w:tcPr>
            <w:tcW w:type="dxa" w:w="2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333333"/>
                <w:sz w:val="18"/>
                <w:szCs w:val="18"/>
              </w:rPr>
              <w:t xml:space="preserve">GTPParameterParser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The parameter parser. Attached to RunData via data.setParameterParser(). Parses all form/query parameters.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cfg[2]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pool.getInstance(cfg[2])</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18"/>
                <w:szCs w:val="18"/>
              </w:rPr>
              <w:t xml:space="preserve">DefaultCookieParser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The cookie parser. Attached to RunData via data.setCookieParser(). Reads browser cookies.</w:t>
            </w:r>
          </w:p>
        </w:tc>
      </w:tr>
    </w:tbl>
    <w:p>
      <w:pPr>
        <w:spacing w:after="60"/>
      </w:pPr>
    </w:p>
    <w:p>
      <w:pPr>
        <w:spacing w:after="120" w:line="276"/>
      </w:pPr>
      <w:r>
        <w:rPr>
          <w:rFonts w:ascii="Arial" w:cs="Arial" w:eastAsia="Arial" w:hAnsi="Arial"/>
          <w:sz w:val="21"/>
          <w:szCs w:val="21"/>
        </w:rPr>
        <w:t xml:space="preserve">The pool.getInstance(className) call either returns a recycled object from a previous completed request (if one is available in the pool) or creates a new instance via Class.forName(className).newInstance(). This pooling mechanism is why GTPSchedulerService implements InstanceListener — it hooks into the pool lifecycle events.</w:t>
      </w:r>
    </w:p>
    <w:p>
      <w:pPr>
        <w:spacing w:after="120" w:before="200"/>
      </w:pPr>
      <w:r>
        <w:rPr>
          <w:rFonts w:ascii="Arial" w:cs="Arial" w:eastAsia="Arial" w:hAnsi="Arial"/>
          <w:b/>
          <w:bCs/>
          <w:color w:val="003366"/>
          <w:sz w:val="22"/>
          <w:szCs w:val="22"/>
        </w:rPr>
        <w:t xml:space="preserve">Phase 4 — Populate With Request Context</w:t>
      </w:r>
    </w:p>
    <w:p>
      <w:pPr>
        <w:spacing w:after="120" w:line="276"/>
      </w:pPr>
      <w:r>
        <w:rPr>
          <w:rFonts w:ascii="Arial" w:cs="Arial" w:eastAsia="Arial" w:hAnsi="Arial"/>
          <w:sz w:val="21"/>
          <w:szCs w:val="21"/>
        </w:rPr>
        <w:t xml:space="preserve">After the three objects are created and wired together, the method populates the RunData with the actual HTTP request context:</w:t>
      </w:r>
    </w:p>
    <w:p>
      <w:pPr>
        <w:pStyle w:val="ListParagraph"/>
        <w:numPr>
          <w:ilvl w:val="0"/>
          <w:numId w:val="2"/>
        </w:numPr>
        <w:spacing w:after="60" w:line="276"/>
      </w:pPr>
      <w:r>
        <w:rPr>
          <w:rFonts w:ascii="Arial" w:cs="Arial" w:eastAsia="Arial" w:hAnsi="Arial"/>
          <w:sz w:val="21"/>
          <w:szCs w:val="21"/>
        </w:rPr>
        <w:t xml:space="preserve">data.setRequest(req) — attaches the raw HttpServletRequest</w:t>
      </w:r>
    </w:p>
    <w:p>
      <w:pPr>
        <w:pStyle w:val="ListParagraph"/>
        <w:numPr>
          <w:ilvl w:val="0"/>
          <w:numId w:val="2"/>
        </w:numPr>
        <w:spacing w:after="60" w:line="276"/>
      </w:pPr>
      <w:r>
        <w:rPr>
          <w:rFonts w:ascii="Arial" w:cs="Arial" w:eastAsia="Arial" w:hAnsi="Arial"/>
          <w:sz w:val="21"/>
          <w:szCs w:val="21"/>
        </w:rPr>
        <w:t xml:space="preserve">data.setResponse(res) — attaches the raw HttpServletResponse</w:t>
      </w:r>
    </w:p>
    <w:p>
      <w:pPr>
        <w:pStyle w:val="ListParagraph"/>
        <w:numPr>
          <w:ilvl w:val="0"/>
          <w:numId w:val="2"/>
        </w:numPr>
        <w:spacing w:after="60" w:line="276"/>
      </w:pPr>
      <w:r>
        <w:rPr>
          <w:rFonts w:ascii="Arial" w:cs="Arial" w:eastAsia="Arial" w:hAnsi="Arial"/>
          <w:sz w:val="21"/>
          <w:szCs w:val="21"/>
        </w:rPr>
        <w:t xml:space="preserve">data.setServletConfig(config) — attaches the servlet configuration</w:t>
      </w:r>
    </w:p>
    <w:p>
      <w:pPr>
        <w:pStyle w:val="ListParagraph"/>
        <w:numPr>
          <w:ilvl w:val="0"/>
          <w:numId w:val="2"/>
        </w:numPr>
        <w:spacing w:after="60" w:line="276"/>
      </w:pPr>
      <w:r>
        <w:rPr>
          <w:rFonts w:ascii="Arial" w:cs="Arial" w:eastAsia="Arial" w:hAnsi="Arial"/>
          <w:sz w:val="21"/>
          <w:szCs w:val="21"/>
        </w:rPr>
        <w:t xml:space="preserve">data.setServerData(Turbine.getDefaultServerData()) — sets server name, port, context path, script name from the default server configuration</w:t>
      </w:r>
    </w:p>
    <w:p>
      <w:pPr>
        <w:spacing w:after="120" w:line="276"/>
      </w:pPr>
      <w:r>
        <w:rPr>
          <w:rFonts w:ascii="Arial" w:cs="Arial" w:eastAsia="Arial" w:hAnsi="Arial"/>
          <w:sz w:val="21"/>
          <w:szCs w:val="21"/>
        </w:rPr>
        <w:t xml:space="preserve">At this point, the RunData is fully constructed. It contains the HTTP request, the HTTP response, the session (accessible via req.getSession()), the GTPParameterParser (which will parse form data on first access), the cookie parser, and the server metadata. It is returned to Turbine.doGet() which passes it into the ClassicPipeline.</w:t>
      </w:r>
    </w:p>
    <w:p>
      <w:pPr>
        <w:spacing w:after="120" w:before="200"/>
      </w:pPr>
      <w:r>
        <w:rPr>
          <w:rFonts w:ascii="Arial" w:cs="Arial" w:eastAsia="Arial" w:hAnsi="Arial"/>
          <w:b/>
          <w:bCs/>
          <w:color w:val="003366"/>
          <w:sz w:val="22"/>
          <w:szCs w:val="22"/>
        </w:rPr>
        <w:t xml:space="preserve">Phase 5 — Pipeline Receives RunData</w:t>
      </w:r>
    </w:p>
    <w:p>
      <w:pPr>
        <w:spacing w:after="120" w:line="276"/>
      </w:pPr>
      <w:r>
        <w:rPr>
          <w:rFonts w:ascii="Arial" w:cs="Arial" w:eastAsia="Arial" w:hAnsi="Arial"/>
          <w:sz w:val="21"/>
          <w:szCs w:val="21"/>
        </w:rPr>
        <w:t xml:space="preserve">Once RunData is created, Turbine’s ClassicPipeline passes it through a sequence of valves. At each stage, the same RunData object is passed. Every valve, every Action, every Screen, every Portlet receives the identical object by reference — not a copy. Changes made by an Action (such as data.setAction() or data.setMessage()) are immediately visible to the Screen that runs next.</w:t>
      </w:r>
    </w:p>
    <w:p>
      <w:pPr>
        <w:spacing w:after="120" w:before="200"/>
      </w:pPr>
      <w:r>
        <w:rPr>
          <w:rFonts w:ascii="Arial" w:cs="Arial" w:eastAsia="Arial" w:hAnsi="Arial"/>
          <w:b/>
          <w:bCs/>
          <w:color w:val="003366"/>
          <w:sz w:val="22"/>
          <w:szCs w:val="22"/>
        </w:rPr>
        <w:t xml:space="preserve">Phase 6 — Recycling Back to Pool</w:t>
      </w:r>
    </w:p>
    <w:p>
      <w:pPr>
        <w:spacing w:after="120" w:line="276"/>
      </w:pPr>
      <w:r>
        <w:rPr>
          <w:rFonts w:ascii="Arial" w:cs="Arial" w:eastAsia="Arial" w:hAnsi="Arial"/>
          <w:sz w:val="21"/>
          <w:szCs w:val="21"/>
        </w:rPr>
        <w:t xml:space="preserve">After the response is written to the browser, Turbine calls GTPRunDataService.putRunData(data). This method performs the reverse of creation — it separates the three objects and returns each independently to the pool:</w:t>
      </w:r>
    </w:p>
    <w:p>
      <w:pPr>
        <w:pStyle w:val="ListParagraph"/>
        <w:numPr>
          <w:ilvl w:val="0"/>
          <w:numId w:val="2"/>
        </w:numPr>
        <w:spacing w:after="60" w:line="276"/>
      </w:pPr>
      <w:r>
        <w:rPr>
          <w:rFonts w:ascii="Arial" w:cs="Arial" w:eastAsia="Arial" w:hAnsi="Arial"/>
          <w:sz w:val="21"/>
          <w:szCs w:val="21"/>
        </w:rPr>
        <w:t xml:space="preserve">pool.putInstance(data.getParameterParser()) — GTPParameterParser goes back to pool</w:t>
      </w:r>
    </w:p>
    <w:p>
      <w:pPr>
        <w:pStyle w:val="ListParagraph"/>
        <w:numPr>
          <w:ilvl w:val="0"/>
          <w:numId w:val="2"/>
        </w:numPr>
        <w:spacing w:after="60" w:line="276"/>
      </w:pPr>
      <w:r>
        <w:rPr>
          <w:rFonts w:ascii="Arial" w:cs="Arial" w:eastAsia="Arial" w:hAnsi="Arial"/>
          <w:sz w:val="21"/>
          <w:szCs w:val="21"/>
        </w:rPr>
        <w:t xml:space="preserve">pool.putInstance(data.getCookieParser()) — DefaultCookieParser goes back to pool</w:t>
      </w:r>
    </w:p>
    <w:p>
      <w:pPr>
        <w:pStyle w:val="ListParagraph"/>
        <w:numPr>
          <w:ilvl w:val="0"/>
          <w:numId w:val="2"/>
        </w:numPr>
        <w:spacing w:after="60" w:line="276"/>
      </w:pPr>
      <w:r>
        <w:rPr>
          <w:rFonts w:ascii="Arial" w:cs="Arial" w:eastAsia="Arial" w:hAnsi="Arial"/>
          <w:sz w:val="21"/>
          <w:szCs w:val="21"/>
        </w:rPr>
        <w:t xml:space="preserve">pool.putInstance(data) — DefaultGTPRunData itself goes back to pool</w:t>
      </w:r>
    </w:p>
    <w:p>
      <w:pPr>
        <w:spacing w:after="120" w:line="276"/>
      </w:pPr>
      <w:r>
        <w:rPr>
          <w:rFonts w:ascii="Arial" w:cs="Arial" w:eastAsia="Arial" w:hAnsi="Arial"/>
          <w:sz w:val="21"/>
          <w:szCs w:val="21"/>
        </w:rPr>
        <w:t xml:space="preserve">The next request can then reuse these recycled objects instead of creating new ones, reducing object allocation and garbage collection pressure on a high-throughput banking system.</w:t>
      </w:r>
    </w:p>
    <w:p>
      <w:r>
        <w:br w:type="page"/>
      </w:r>
    </w:p>
    <w:p>
      <w:pPr>
        <w:pStyle w:val="Heading1"/>
        <w:spacing w:after="200" w:before="360"/>
      </w:pPr>
      <w:r>
        <w:rPr>
          <w:rFonts w:ascii="Arial" w:cs="Arial" w:eastAsia="Arial" w:hAnsi="Arial"/>
          <w:b/>
          <w:bCs/>
          <w:color w:val="003366"/>
          <w:sz w:val="32"/>
          <w:szCs w:val="32"/>
        </w:rPr>
        <w:t xml:space="preserve">4. What RunData Carries — The Complete Contents</w:t>
      </w:r>
    </w:p>
    <w:p>
      <w:pPr>
        <w:spacing w:after="120" w:line="276"/>
      </w:pPr>
      <w:r>
        <w:rPr>
          <w:rFonts w:ascii="Arial" w:cs="Arial" w:eastAsia="Arial" w:hAnsi="Arial"/>
          <w:sz w:val="21"/>
          <w:szCs w:val="21"/>
        </w:rPr>
        <w:t xml:space="preserve">Once fully constructed and populated, the DefaultGTPRunData object carries the following data as it flows through the entire GEB pipeline. This is the complete data contract that every Action, Screen, and Portlet depends on.</w:t>
      </w:r>
    </w:p>
    <w:p>
      <w:pPr>
        <w:pStyle w:val="Heading2"/>
        <w:spacing w:after="160" w:before="280"/>
      </w:pPr>
      <w:r>
        <w:rPr>
          <w:rFonts w:ascii="Arial" w:cs="Arial" w:eastAsia="Arial" w:hAnsi="Arial"/>
          <w:b/>
          <w:bCs/>
          <w:color w:val="002147"/>
          <w:sz w:val="26"/>
          <w:szCs w:val="26"/>
        </w:rPr>
        <w:t xml:space="preserve">4.1 From DefaultTurbineRunData (Apache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Field / Method</w:t>
            </w:r>
          </w:p>
        </w:tc>
        <w:tc>
          <w:tcPr>
            <w:tcW w:type="dxa" w:w="65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getRequest()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The raw HttpServletRequest. Access to headers, remote address, content type, and any attribute set by filters.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getResponse()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The raw HttpServletResponse. Used to set content type, headers, write output.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getSession()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The HttpSession. SSO state, user session attributes, sprint cache, token validation state all stored here.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getParameters()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Returns GTPParameterParser. All form fields, query parameters, uploaded file references. This is the primary input mechanism for every 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getCookies()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Returns DefaultCookieParser. Browser cookies including session ID, language preference.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getUser()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The logged-in user object (TurbineUser / GTPUser). Name, roles, permissions, company, session state.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getAction() / setAction()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The name of the Action class to execute for this request. Set from URL or form parameter. Actions can chain by calling setAction() to route to another 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getScreen() / setScreen()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The name of the Screen class to render. Set by the Action after business logic completes.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getLayout() / setLayout()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The layout template to use. DefaultGTPLayout is the default.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getMessage() / setMessage()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Flash message displayed to user. Actions set success/error messages here.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getTemplateInfo()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Template resolution data — which .gtp or .vm file to use for rendering.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getServletConfig()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The servlet configuration. Gives access to ServletContext for resource loading (XSL files, PSML files, templates).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getServerData()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Server name, port, context path, script name. Used for URL generation.</w:t>
            </w:r>
          </w:p>
        </w:tc>
      </w:tr>
    </w:tbl>
    <w:p>
      <w:pPr>
        <w:spacing w:after="60"/>
      </w:pPr>
    </w:p>
    <w:p>
      <w:pPr>
        <w:pStyle w:val="Heading2"/>
        <w:spacing w:after="160" w:before="280"/>
      </w:pPr>
      <w:r>
        <w:rPr>
          <w:rFonts w:ascii="Arial" w:cs="Arial" w:eastAsia="Arial" w:hAnsi="Arial"/>
          <w:b/>
          <w:bCs/>
          <w:color w:val="002147"/>
          <w:sz w:val="26"/>
          <w:szCs w:val="26"/>
        </w:rPr>
        <w:t xml:space="preserve">4.2 From GTPRunData Interface (GEB Banking Layer)</w:t>
      </w:r>
    </w:p>
    <w:p>
      <w:pPr>
        <w:spacing w:after="120" w:line="276"/>
      </w:pPr>
      <w:r>
        <w:rPr>
          <w:rFonts w:ascii="Arial" w:cs="Arial" w:eastAsia="Arial" w:hAnsi="Arial"/>
          <w:i/>
          <w:iCs/>
          <w:color w:val="555555"/>
          <w:sz w:val="21"/>
          <w:szCs w:val="21"/>
        </w:rPr>
        <w:t xml:space="preserve">Evidence: GTPRunData.java interface — extends TurbineRunData with GEB-specific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65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getCompanyAcl()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Returns GTPAccessControlList for the user’s company. Company-level permissions determine which banking products and operations the company is entitled 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getUserAcl()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Returns GTPAccessControlList for the individual user. User-level permissions within the company — MAKER can create, CHECKER can approve, ADMIN can configure.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getGtpUser()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Returns GTPUser — same as getUser() but typed as GTPUser without requiring a cast. Provides getCompany_abbv_name() and other GEB-specific user properties.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setCompanyAcl()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Sets the company access control list. Called during session setup after login and SSO validation.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setUserAccounts()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Sets the UserAccountSet — the set of bank accounts this user has access to. Used by Fund Transfer, DDA, and other account-related portlets.</w:t>
            </w:r>
          </w:p>
        </w:tc>
      </w:tr>
    </w:tbl>
    <w:p>
      <w:pPr>
        <w:spacing w:after="60"/>
      </w:pPr>
    </w:p>
    <w:p>
      <w:pPr>
        <w:pStyle w:val="Heading2"/>
        <w:spacing w:after="160" w:before="280"/>
      </w:pPr>
      <w:r>
        <w:rPr>
          <w:rFonts w:ascii="Arial" w:cs="Arial" w:eastAsia="Arial" w:hAnsi="Arial"/>
          <w:b/>
          <w:bCs/>
          <w:color w:val="002147"/>
          <w:sz w:val="26"/>
          <w:szCs w:val="26"/>
        </w:rPr>
        <w:t xml:space="preserve">4.3 From DefaultGTPRunData Fields (Concrete State)</w:t>
      </w:r>
    </w:p>
    <w:p>
      <w:pPr>
        <w:spacing w:after="120" w:line="276"/>
      </w:pPr>
      <w:r>
        <w:rPr>
          <w:rFonts w:ascii="Arial" w:cs="Arial" w:eastAsia="Arial" w:hAnsi="Arial"/>
          <w:i/>
          <w:iCs/>
          <w:color w:val="555555"/>
          <w:sz w:val="21"/>
          <w:szCs w:val="21"/>
        </w:rPr>
        <w:t xml:space="preserve">Evidence: DefaultGTPRunData.java source — extends DefaultTurbineRunData, implements GTPRunData, Serializable.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9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companyAcl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GTPAccessControlList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Company-level access control. Initialised to null. Populated during login/SSO flow.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userAcl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GTPAccessControlList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User-level access control. MAKER/CHECKER/ADMIN role enforcement.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userAccounts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UserAccountSet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The user’s entitled bank accounts. From com.misys.portal.cash.product.ab.common.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66" w:sz="6"/>
              <w:left w:val="single" w:color="003366" w:sz="6"/>
              <w:bottom w:val="single" w:color="CCCCCC" w:sz="1"/>
              <w:right w:val="single" w:color="CCCCCC" w:sz="1"/>
            </w:tcBorders>
            <w:shd w:fill="FFF3E0" w:val="clear"/>
            <w:tcMar>
              <w:top w:type="dxa" w:w="120"/>
              <w:left w:type="dxa" w:w="200"/>
              <w:bottom w:type="dxa" w:w="120"/>
              <w:right w:type="dxa" w:w="200"/>
            </w:tcMar>
          </w:tcPr>
          <w:p>
            <w:pPr>
              <w:spacing w:after="80"/>
            </w:pPr>
            <w:r>
              <w:rPr>
                <w:rFonts w:ascii="Arial" w:cs="Arial" w:eastAsia="Arial" w:hAnsi="Arial"/>
                <w:b/>
                <w:bCs/>
                <w:color w:val="003366"/>
                <w:sz w:val="20"/>
                <w:szCs w:val="20"/>
              </w:rPr>
              <w:t xml:space="preserve">NOTE — What Is Not Visible Yet</w:t>
            </w:r>
          </w:p>
          <w:p>
            <w:pPr>
              <w:spacing w:after="0"/>
            </w:pPr>
            <w:r>
              <w:rPr>
                <w:rFonts w:ascii="Arial" w:cs="Arial" w:eastAsia="Arial" w:hAnsi="Arial"/>
                <w:sz w:val="19"/>
                <w:szCs w:val="19"/>
              </w:rPr>
              <w:t xml:space="preserve">The three fields above are what is directly visible in the DefaultGTPRunData source screenshots shared. However, 20 years of banking development may have added additional fields, methods, or session-based state that is not visible in the current screenshots. Country code, token validation state, SSO context, business-specific flags, and transaction-specific markers may be stored either as additional fields in DefaultGTPRunData or as session attributes accessible via data.getSession().getAttribute(). A complete inventory requires reviewing the full DefaultGTPRunData source and all classes that call setters on it.</w:t>
            </w:r>
          </w:p>
        </w:tc>
      </w:tr>
    </w:tbl>
    <w:p>
      <w:r>
        <w:br w:type="page"/>
      </w:r>
    </w:p>
    <w:p>
      <w:pPr>
        <w:pStyle w:val="Heading1"/>
        <w:spacing w:after="200" w:before="360"/>
      </w:pPr>
      <w:r>
        <w:rPr>
          <w:rFonts w:ascii="Arial" w:cs="Arial" w:eastAsia="Arial" w:hAnsi="Arial"/>
          <w:b/>
          <w:bCs/>
          <w:color w:val="003366"/>
          <w:sz w:val="32"/>
          <w:szCs w:val="32"/>
        </w:rPr>
        <w:t xml:space="preserve">5. The Four Responsibilities of RunData</w:t>
      </w:r>
    </w:p>
    <w:p>
      <w:pPr>
        <w:spacing w:after="120" w:line="276"/>
      </w:pPr>
      <w:r>
        <w:rPr>
          <w:rFonts w:ascii="Arial" w:cs="Arial" w:eastAsia="Arial" w:hAnsi="Arial"/>
          <w:sz w:val="21"/>
          <w:szCs w:val="21"/>
        </w:rPr>
        <w:t xml:space="preserve">RunData is not a single-purpose object. It serves four distinct responsibilities simultaneously, and every layer of GEB depends on all four being correct.</w:t>
      </w:r>
    </w:p>
    <w:p>
      <w:pPr>
        <w:pStyle w:val="Heading2"/>
        <w:spacing w:after="160" w:before="280"/>
      </w:pPr>
      <w:r>
        <w:rPr>
          <w:rFonts w:ascii="Arial" w:cs="Arial" w:eastAsia="Arial" w:hAnsi="Arial"/>
          <w:b/>
          <w:bCs/>
          <w:color w:val="002147"/>
          <w:sz w:val="26"/>
          <w:szCs w:val="26"/>
        </w:rPr>
        <w:t xml:space="preserve">Responsibility 1 — Parameter Handling</w:t>
      </w:r>
    </w:p>
    <w:p>
      <w:pPr>
        <w:spacing w:after="120" w:line="276"/>
      </w:pPr>
      <w:r>
        <w:rPr>
          <w:rFonts w:ascii="Arial" w:cs="Arial" w:eastAsia="Arial" w:hAnsi="Arial"/>
          <w:sz w:val="21"/>
          <w:szCs w:val="21"/>
        </w:rPr>
        <w:t xml:space="preserve">GTPParameterParser (cfg[1] in the pool instantiation) is attached to RunData during creation. When any Action, Screen, or Portlet calls data.getParameters().getString("accountNo"), GTPParameterParser reads the value from the underlying HttpServletRequest. GTPParameterParser extends DefaultParameterParser and adds GEB-specific parsing logic — likely including multi-value parameter handling, character encoding enforcement, and security input sanitisation built over years of banking vulnerability remediation.</w:t>
      </w:r>
    </w:p>
    <w:p>
      <w:pPr>
        <w:spacing w:after="120" w:line="276"/>
      </w:pPr>
      <w:r>
        <w:rPr>
          <w:rFonts w:ascii="Arial" w:cs="Arial" w:eastAsia="Arial" w:hAnsi="Arial"/>
          <w:sz w:val="21"/>
          <w:szCs w:val="21"/>
        </w:rPr>
        <w:t xml:space="preserve">If GTPParameterParser is not correctly attached or if its parsing behaviour changes during migration, every form submission in every banking module is affected. Fund transfers receive wrong amounts. Letter of credit drafts receive wrong beneficiary names. Search filters return wrong results. All silently.</w:t>
      </w:r>
    </w:p>
    <w:p>
      <w:pPr>
        <w:pStyle w:val="Heading2"/>
        <w:spacing w:after="160" w:before="280"/>
      </w:pPr>
      <w:r>
        <w:rPr>
          <w:rFonts w:ascii="Arial" w:cs="Arial" w:eastAsia="Arial" w:hAnsi="Arial"/>
          <w:b/>
          <w:bCs/>
          <w:color w:val="002147"/>
          <w:sz w:val="26"/>
          <w:szCs w:val="26"/>
        </w:rPr>
        <w:t xml:space="preserve">Responsibility 2 — Session Handling</w:t>
      </w:r>
    </w:p>
    <w:p>
      <w:pPr>
        <w:spacing w:after="120" w:line="276"/>
      </w:pPr>
      <w:r>
        <w:rPr>
          <w:rFonts w:ascii="Arial" w:cs="Arial" w:eastAsia="Arial" w:hAnsi="Arial"/>
          <w:sz w:val="21"/>
          <w:szCs w:val="21"/>
        </w:rPr>
        <w:t xml:space="preserve">RunData provides access to HttpSession via data.getSession(). In GEB, the session carries SSO authentication state, sprint caching during login, UniqueSessionService enforcement (single session per user), and any session attributes set during the request lifecycle. The GTPUser object (accessible via data.getUser() or data.getGtpUser()) is typically stored in or retrieved from the session, making session integrity critical to user identity throughout the pipeline.</w:t>
      </w:r>
    </w:p>
    <w:p>
      <w:pPr>
        <w:pStyle w:val="Heading2"/>
        <w:spacing w:after="160" w:before="280"/>
      </w:pPr>
      <w:r>
        <w:rPr>
          <w:rFonts w:ascii="Arial" w:cs="Arial" w:eastAsia="Arial" w:hAnsi="Arial"/>
          <w:b/>
          <w:bCs/>
          <w:color w:val="002147"/>
          <w:sz w:val="26"/>
          <w:szCs w:val="26"/>
        </w:rPr>
        <w:t xml:space="preserve">Responsibility 3 — Custom Attributes (Banking Context)</w:t>
      </w:r>
    </w:p>
    <w:p>
      <w:pPr>
        <w:spacing w:after="120" w:line="276"/>
      </w:pPr>
      <w:r>
        <w:rPr>
          <w:rFonts w:ascii="Arial" w:cs="Arial" w:eastAsia="Arial" w:hAnsi="Arial"/>
          <w:sz w:val="21"/>
          <w:szCs w:val="21"/>
        </w:rPr>
        <w:t xml:space="preserve">DefaultGTPRunData adds banking-specific state that does not exist in standard Turbine: company-level access control (companyAcl), user-level access control (userAcl), and the user’s bank account set (userAccounts). These are populated during the session setup phase after login and are carried through every subsequent request. Every portlet that checks "does this MAKER have permission to create a fund transfer for this company in this currency" reads from these fields.</w:t>
      </w:r>
    </w:p>
    <w:p>
      <w:pPr>
        <w:spacing w:after="120" w:line="276"/>
      </w:pPr>
      <w:r>
        <w:rPr>
          <w:rFonts w:ascii="Arial" w:cs="Arial" w:eastAsia="Arial" w:hAnsi="Arial"/>
          <w:sz w:val="21"/>
          <w:szCs w:val="21"/>
        </w:rPr>
        <w:t xml:space="preserve">Additionally, country-specific context (SG, MY, VN, CN, HK, TH) and token validation state (hard token / soft token) are likely stored either as direct fields or as session attributes accessible through RunData. GTP_PARAM_DATA — the runtime configuration mechanism that drives country-specific and product-specific business rules — is read in the context of the current RunData.</w:t>
      </w:r>
    </w:p>
    <w:p>
      <w:pPr>
        <w:pStyle w:val="Heading2"/>
        <w:spacing w:after="160" w:before="280"/>
      </w:pPr>
      <w:r>
        <w:rPr>
          <w:rFonts w:ascii="Arial" w:cs="Arial" w:eastAsia="Arial" w:hAnsi="Arial"/>
          <w:b/>
          <w:bCs/>
          <w:color w:val="002147"/>
          <w:sz w:val="26"/>
          <w:szCs w:val="26"/>
        </w:rPr>
        <w:t xml:space="preserve">Responsibility 4 — Integration Hooks</w:t>
      </w:r>
    </w:p>
    <w:p>
      <w:pPr>
        <w:spacing w:after="120" w:line="276"/>
      </w:pPr>
      <w:r>
        <w:rPr>
          <w:rFonts w:ascii="Arial" w:cs="Arial" w:eastAsia="Arial" w:hAnsi="Arial"/>
          <w:sz w:val="21"/>
          <w:szCs w:val="21"/>
        </w:rPr>
        <w:t xml:space="preserve">Every GEB service depends on RunData as the input contract. GTPAuthorizationService reads companyAcl and userAcl from RunData. GTPPoolBrokerService may use RunData context for connection routing. E2EEService uses RunData for encryption context. XSLTCachingService receives its data through ECS structures built from RunData parameters. GTPAuditService logs transaction details extracted from RunData. The entire service mesh is wired through RunData.</w:t>
      </w:r>
    </w:p>
    <w:p>
      <w:pPr>
        <w:spacing w:after="120" w:line="276"/>
      </w:pPr>
      <w:r>
        <w:rPr>
          <w:rFonts w:ascii="Arial" w:cs="Arial" w:eastAsia="Arial" w:hAnsi="Arial"/>
          <w:sz w:val="21"/>
          <w:szCs w:val="21"/>
        </w:rPr>
        <w:t xml:space="preserve">This is why RunData is the central data bus, not just a parameter holder. It is the shared state that every service reads and every service trusts. If any of the four responsibilities delivers incorrect data after migration, the downstream service produces incorrect results without any indication that something went wrong.</w:t>
      </w:r>
    </w:p>
    <w:p>
      <w:r>
        <w:br w:type="page"/>
      </w:r>
    </w:p>
    <w:p>
      <w:pPr>
        <w:pStyle w:val="Heading1"/>
        <w:spacing w:after="200" w:before="360"/>
      </w:pPr>
      <w:r>
        <w:rPr>
          <w:rFonts w:ascii="Arial" w:cs="Arial" w:eastAsia="Arial" w:hAnsi="Arial"/>
          <w:b/>
          <w:bCs/>
          <w:color w:val="003366"/>
          <w:sz w:val="32"/>
          <w:szCs w:val="32"/>
        </w:rPr>
        <w:t xml:space="preserve">6. How Every Layer Consumes RunData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4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Method Signature</w:t>
            </w:r>
          </w:p>
        </w:tc>
        <w:tc>
          <w:tcPr>
            <w:tcW w:type="dxa" w:w="51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How RunData Is Used</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18"/>
                <w:szCs w:val="18"/>
              </w:rPr>
              <w:t xml:space="preserve">Action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doPerform(RunData, Context)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Reads parameters: data.getParameters().getString(). Validates. Calls GTPPoolBrokerService for DB operations. Sets data.setAction() for chaining. Sets data.setScreen() for next view. Sets data.setMessage() for user feedback.</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18"/>
                <w:szCs w:val="18"/>
              </w:rPr>
              <w:t xml:space="preserve">Screen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doBuild(RunData)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Prepares display data based on what Action set. Triggers portal aggregation. Calls PsmlScreenManager to determine which portlets belong on this page.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18"/>
                <w:szCs w:val="18"/>
              </w:rPr>
              <w:t xml:space="preserve">Portlet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getContent(RunData)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Full business cycle: ACL check via data.getCompanyAcl(), data retrieval via GTPPoolBrokerService, business rule application, ECS XML building with data from data.getParameters(), returns ConcreteElement.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18"/>
                <w:szCs w:val="18"/>
              </w:rPr>
              <w:t xml:space="preserve">Layout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doBuild(RunData)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Reads data.getUser() for navigation chrome. Applies DefaultGTPLayout. Wraps portlet fragments with TopBIBP.vm / BottomBIBP.vm.</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333333"/>
                <w:sz w:val="18"/>
                <w:szCs w:val="18"/>
              </w:rPr>
              <w:t xml:space="preserve">WSService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method(RunData data) or ContextUtils.createRundata()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Spring REST controller receives RunData via CustomControllerArgumentResolver injection or creates it manually. Calls data.setAction() to route into Turbine Action infrastructure. Same data contract as core portal.</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18"/>
                <w:szCs w:val="18"/>
              </w:rPr>
              <w:t xml:space="preserve">Pull Tools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init(Object data)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GTPApplicationData receives RunData via init(). Exposes $gtpapp in every Velocity template with methods like getLocalization(), getUserRole(), getContextPath().</w:t>
            </w:r>
          </w:p>
        </w:tc>
      </w:tr>
    </w:tbl>
    <w:p>
      <w:r>
        <w:br w:type="page"/>
      </w:r>
    </w:p>
    <w:p>
      <w:pPr>
        <w:pStyle w:val="Heading1"/>
        <w:spacing w:after="200" w:before="360"/>
      </w:pPr>
      <w:r>
        <w:rPr>
          <w:rFonts w:ascii="Arial" w:cs="Arial" w:eastAsia="Arial" w:hAnsi="Arial"/>
          <w:b/>
          <w:bCs/>
          <w:color w:val="003366"/>
          <w:sz w:val="32"/>
          <w:szCs w:val="32"/>
        </w:rPr>
        <w:t xml:space="preserve">7. The Turbine 7 Migration Challenge</w:t>
      </w:r>
    </w:p>
    <w:p>
      <w:pPr>
        <w:spacing w:after="120" w:line="276"/>
      </w:pPr>
      <w:r>
        <w:rPr>
          <w:rFonts w:ascii="Arial" w:cs="Arial" w:eastAsia="Arial" w:hAnsi="Arial"/>
          <w:sz w:val="21"/>
          <w:szCs w:val="21"/>
        </w:rPr>
        <w:t xml:space="preserve">In Turbine 7, the request lifecycle changes at the most fundamental level. The implications for GEB are structural, not cosmetic.</w:t>
      </w:r>
    </w:p>
    <w:p>
      <w:pPr>
        <w:pStyle w:val="Heading2"/>
        <w:spacing w:after="160" w:before="280"/>
      </w:pPr>
      <w:r>
        <w:rPr>
          <w:rFonts w:ascii="Arial" w:cs="Arial" w:eastAsia="Arial" w:hAnsi="Arial"/>
          <w:b/>
          <w:bCs/>
          <w:color w:val="002147"/>
          <w:sz w:val="26"/>
          <w:szCs w:val="26"/>
        </w:rPr>
        <w:t xml:space="preserve">7.1 What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Aspect</w:t>
            </w:r>
          </w:p>
        </w:tc>
        <w:tc>
          <w:tcPr>
            <w:tcW w:type="dxa" w:w="34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Turbine 2.3.3 (Current GEB)</w:t>
            </w:r>
          </w:p>
        </w:tc>
        <w:tc>
          <w:tcPr>
            <w:tcW w:type="dxa" w:w="34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Turbine 7.0 (Target)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Top-level object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RunData is the top-level object passed through pipeline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PipelineData is the top-level object. RunData is INSIDE it, accessed via pipelineData.get(RunData.class)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RunData creation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GTPRunDataService.getRunData() with pool.getInstance()</w:t>
            </w:r>
          </w:p>
        </w:tc>
        <w:tc>
          <w:tcPr>
            <w:tcW w:type="dxa" w:w="34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r>
              <w:rPr>
                <w:rFonts w:ascii="Arial" w:cs="Arial" w:eastAsia="Arial" w:hAnsi="Arial"/>
                <w:b w:val="false"/>
                <w:bCs w:val="false"/>
                <w:color w:val="333333"/>
                <w:sz w:val="18"/>
                <w:szCs w:val="18"/>
              </w:rPr>
              <w:t xml:space="preserve">To be determined — does Turbine 7 still use RunDataService with pool? Or is creation mechanism different?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DefaultTurbineRunData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Exists. DefaultGTPRunData extends it.</w:t>
            </w:r>
          </w:p>
        </w:tc>
        <w:tc>
          <w:tcPr>
            <w:tcW w:type="dxa" w:w="34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r>
              <w:rPr>
                <w:rFonts w:ascii="Arial" w:cs="Arial" w:eastAsia="Arial" w:hAnsi="Arial"/>
                <w:b w:val="false"/>
                <w:bCs w:val="false"/>
                <w:color w:val="333333"/>
                <w:sz w:val="18"/>
                <w:szCs w:val="18"/>
              </w:rPr>
              <w:t xml:space="preserve">To be verified — does this class still exist with same API? If restructured, DefaultGTPRunData loses its parent.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PoolService integration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pool.getInstance() creates/recycles RunData, ParameterParser, CookieParser independently</w:t>
            </w:r>
          </w:p>
        </w:tc>
        <w:tc>
          <w:tcPr>
            <w:tcW w:type="dxa" w:w="34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18"/>
                <w:szCs w:val="18"/>
              </w:rPr>
              <w:t xml:space="preserve">To be verified — does PoolService still support getInstance(className) pattern?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ParameterParser attachment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data.setParameterParser() in getRunData()</w:t>
            </w:r>
          </w:p>
        </w:tc>
        <w:tc>
          <w:tcPr>
            <w:tcW w:type="dxa" w:w="34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r>
              <w:rPr>
                <w:rFonts w:ascii="Arial" w:cs="Arial" w:eastAsia="Arial" w:hAnsi="Arial"/>
                <w:b w:val="false"/>
                <w:bCs w:val="false"/>
                <w:color w:val="333333"/>
                <w:sz w:val="18"/>
                <w:szCs w:val="18"/>
              </w:rPr>
              <w:t xml:space="preserve">Turbine 7 has a new dedicated ParserService. GTPParameterParser must integrate with ParserService, not RunDataService.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Action signature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doPerform(RunData data, Context context)</w:t>
            </w:r>
          </w:p>
        </w:tc>
        <w:tc>
          <w:tcPr>
            <w:tcW w:type="dxa" w:w="34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18"/>
                <w:szCs w:val="18"/>
              </w:rPr>
              <w:t xml:space="preserve">doPerform(PipelineData pipelineData) — must extract RunData from PipelineData internally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Portlet signature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getContent(RunData data)</w:t>
            </w:r>
          </w:p>
        </w:tc>
        <w:tc>
          <w:tcPr>
            <w:tcW w:type="dxa" w:w="34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18"/>
                <w:szCs w:val="18"/>
              </w:rPr>
              <w:t xml:space="preserve">Unknown — GEB portlets use custom Portlet interface, not Turbine Screens. The signature may remain RunData if the custom interface is preserved.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putRunData() recycling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Three objects returned to pool independently</w:t>
            </w:r>
          </w:p>
        </w:tc>
        <w:tc>
          <w:tcPr>
            <w:tcW w:type="dxa" w:w="34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18"/>
                <w:szCs w:val="18"/>
              </w:rPr>
              <w:t xml:space="preserve">To be verified — if pool mechanism changed, recycling logic needs redesign.</w:t>
            </w:r>
          </w:p>
        </w:tc>
      </w:tr>
    </w:tbl>
    <w:p>
      <w:pPr>
        <w:spacing w:after="60"/>
      </w:pPr>
    </w:p>
    <w:p>
      <w:pPr>
        <w:pStyle w:val="Heading2"/>
        <w:spacing w:after="160" w:before="280"/>
      </w:pPr>
      <w:r>
        <w:rPr>
          <w:rFonts w:ascii="Arial" w:cs="Arial" w:eastAsia="Arial" w:hAnsi="Arial"/>
          <w:b/>
          <w:bCs/>
          <w:color w:val="002147"/>
          <w:sz w:val="26"/>
          <w:szCs w:val="26"/>
        </w:rPr>
        <w:t xml:space="preserve">7.2 The Three Critical Questions</w:t>
      </w:r>
    </w:p>
    <w:p>
      <w:pPr>
        <w:spacing w:after="120" w:line="276"/>
      </w:pPr>
      <w:r>
        <w:rPr>
          <w:rFonts w:ascii="Arial" w:cs="Arial" w:eastAsia="Arial" w:hAnsi="Arial"/>
          <w:sz w:val="21"/>
          <w:szCs w:val="21"/>
        </w:rPr>
        <w:t xml:space="preserve">The entire feasibility of migrating GEB’s RunData architecture to Turbine 7 hinges on three questions that can only be answered by examining the Turbine 7 source code and running lifecycle tests: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66" w:sz="6"/>
              <w:left w:val="single" w:color="003366" w:sz="6"/>
              <w:bottom w:val="single" w:color="CCCCCC" w:sz="1"/>
              <w:right w:val="single" w:color="CCCCCC" w:sz="1"/>
            </w:tcBorders>
            <w:shd w:fill="D5E8F0" w:val="clear"/>
            <w:tcMar>
              <w:top w:type="dxa" w:w="120"/>
              <w:left w:type="dxa" w:w="200"/>
              <w:bottom w:type="dxa" w:w="120"/>
              <w:right w:type="dxa" w:w="200"/>
            </w:tcMar>
          </w:tcPr>
          <w:p>
            <w:pPr>
              <w:spacing w:after="80"/>
            </w:pPr>
            <w:r>
              <w:rPr>
                <w:rFonts w:ascii="Arial" w:cs="Arial" w:eastAsia="Arial" w:hAnsi="Arial"/>
                <w:b/>
                <w:bCs/>
                <w:color w:val="003366"/>
                <w:sz w:val="20"/>
                <w:szCs w:val="20"/>
              </w:rPr>
              <w:t xml:space="preserve">QUESTION 1 — Does Turbine 7 still use RunDataService to create RunData?</w:t>
            </w:r>
          </w:p>
          <w:p>
            <w:pPr>
              <w:spacing w:after="0"/>
            </w:pPr>
            <w:r>
              <w:rPr>
                <w:rFonts w:ascii="Arial" w:cs="Arial" w:eastAsia="Arial" w:hAnsi="Arial"/>
                <w:sz w:val="19"/>
                <w:szCs w:val="19"/>
              </w:rPr>
              <w:t xml:space="preserve">If yes: GTPRunDataService can potentially be adapted with API adjustments to the new service interface. The pool-based three-object creation mechanism may survive.
If no: The entire creation lifecycle must be redesigned. GTPRunDataService becomes incompatible at the architectural level, not just the API level.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66" w:sz="6"/>
              <w:left w:val="single" w:color="003366" w:sz="6"/>
              <w:bottom w:val="single" w:color="CCCCCC" w:sz="1"/>
              <w:right w:val="single" w:color="CCCCCC" w:sz="1"/>
            </w:tcBorders>
            <w:shd w:fill="D5E8F0" w:val="clear"/>
            <w:tcMar>
              <w:top w:type="dxa" w:w="120"/>
              <w:left w:type="dxa" w:w="200"/>
              <w:bottom w:type="dxa" w:w="120"/>
              <w:right w:type="dxa" w:w="200"/>
            </w:tcMar>
          </w:tcPr>
          <w:p>
            <w:pPr>
              <w:spacing w:after="80"/>
            </w:pPr>
            <w:r>
              <w:rPr>
                <w:rFonts w:ascii="Arial" w:cs="Arial" w:eastAsia="Arial" w:hAnsi="Arial"/>
                <w:b/>
                <w:bCs/>
                <w:color w:val="003366"/>
                <w:sz w:val="20"/>
                <w:szCs w:val="20"/>
              </w:rPr>
              <w:t xml:space="preserve">QUESTION 2 — Does DefaultTurbineRunData still exist with the same base API?</w:t>
            </w:r>
          </w:p>
          <w:p>
            <w:pPr>
              <w:spacing w:after="0"/>
            </w:pPr>
            <w:r>
              <w:rPr>
                <w:rFonts w:ascii="Arial" w:cs="Arial" w:eastAsia="Arial" w:hAnsi="Arial"/>
                <w:sz w:val="19"/>
                <w:szCs w:val="19"/>
              </w:rPr>
              <w:t xml:space="preserve">If yes: DefaultGTPRunData can continue extending it. The banking fields (companyAcl, userAcl, userAccounts) remain in place. Method signatures for getACL(), getParameters(), getUser() remain compatible.
If no or restructured: DefaultGTPRunData loses its parent class. Every inherited method must be reimplemented or the class must be rebuilt using composition instead of inheritance.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66" w:sz="6"/>
              <w:left w:val="single" w:color="003366" w:sz="6"/>
              <w:bottom w:val="single" w:color="CCCCCC" w:sz="1"/>
              <w:right w:val="single" w:color="CCCCCC" w:sz="1"/>
            </w:tcBorders>
            <w:shd w:fill="D5E8F0" w:val="clear"/>
            <w:tcMar>
              <w:top w:type="dxa" w:w="120"/>
              <w:left w:type="dxa" w:w="200"/>
              <w:bottom w:type="dxa" w:w="120"/>
              <w:right w:type="dxa" w:w="200"/>
            </w:tcMar>
          </w:tcPr>
          <w:p>
            <w:pPr>
              <w:spacing w:after="80"/>
            </w:pPr>
            <w:r>
              <w:rPr>
                <w:rFonts w:ascii="Arial" w:cs="Arial" w:eastAsia="Arial" w:hAnsi="Arial"/>
                <w:b/>
                <w:bCs/>
                <w:color w:val="003366"/>
                <w:sz w:val="20"/>
                <w:szCs w:val="20"/>
              </w:rPr>
              <w:t xml:space="preserve">QUESTION 3 — Can GTPParameterParser integrate with Turbine 7’s ParserService?</w:t>
            </w:r>
          </w:p>
          <w:p>
            <w:pPr>
              <w:spacing w:after="0"/>
            </w:pPr>
            <w:r>
              <w:rPr>
                <w:rFonts w:ascii="Arial" w:cs="Arial" w:eastAsia="Arial" w:hAnsi="Arial"/>
                <w:sz w:val="19"/>
                <w:szCs w:val="19"/>
              </w:rPr>
              <w:t xml:space="preserve">Turbine 7 introduced a dedicated ParserService that manages ParameterParser and CookieParser lifecycle. In Turbine 2.3.3, parser management was embedded in RunDataService. GTPParameterParser must be registered with and managed by the new ParserService while preserving all GEB-specific parsing behaviour.
If the ParserService API is incompatible with GTPParameterParser’s extension pattern, every parameter read in every Action across all 18+ banking modules is affected.</w:t>
            </w:r>
          </w:p>
        </w:tc>
      </w:tr>
    </w:tbl>
    <w:p>
      <w:r>
        <w:br w:type="page"/>
      </w:r>
    </w:p>
    <w:p>
      <w:pPr>
        <w:pStyle w:val="Heading1"/>
        <w:spacing w:after="200" w:before="360"/>
      </w:pPr>
      <w:r>
        <w:rPr>
          <w:rFonts w:ascii="Arial" w:cs="Arial" w:eastAsia="Arial" w:hAnsi="Arial"/>
          <w:b/>
          <w:bCs/>
          <w:color w:val="003366"/>
          <w:sz w:val="32"/>
          <w:szCs w:val="32"/>
        </w:rPr>
        <w:t xml:space="preserve">8. The Silent Failure Risk — Proven</w:t>
      </w:r>
    </w:p>
    <w:p>
      <w:pPr>
        <w:spacing w:after="120" w:line="276"/>
      </w:pPr>
      <w:r>
        <w:rPr>
          <w:rFonts w:ascii="Arial" w:cs="Arial" w:eastAsia="Arial" w:hAnsi="Arial"/>
          <w:i/>
          <w:iCs/>
          <w:color w:val="555555"/>
          <w:sz w:val="21"/>
          <w:szCs w:val="21"/>
        </w:rPr>
        <w:t xml:space="preserve">Evidence: Hands-on compilation and execution test on Java 21. Same portlet code, same ECS library. RunData with missing parameters simulating PipelineData gap.</w:t>
      </w:r>
    </w:p>
    <w:p>
      <w:pPr>
        <w:spacing w:after="120" w:line="276"/>
      </w:pPr>
      <w:r>
        <w:rPr>
          <w:rFonts w:ascii="Arial" w:cs="Arial" w:eastAsia="Arial" w:hAnsi="Arial"/>
          <w:sz w:val="21"/>
          <w:szCs w:val="21"/>
        </w:rPr>
        <w:t xml:space="preserve">A hands-on test was conducted to prove the data contract risk. The same portlet getContent(RunData) method was executed twice:</w:t>
      </w:r>
    </w:p>
    <w:p>
      <w:pPr>
        <w:pStyle w:val="ListParagraph"/>
        <w:numPr>
          <w:ilvl w:val="0"/>
          <w:numId w:val="2"/>
        </w:numPr>
        <w:spacing w:after="60" w:line="276"/>
      </w:pPr>
      <w:r>
        <w:rPr>
          <w:rFonts w:ascii="Arial" w:cs="Arial" w:eastAsia="Arial" w:hAnsi="Arial"/>
          <w:sz w:val="21"/>
          <w:szCs w:val="21"/>
        </w:rPr>
        <w:t xml:space="preserve">Test A — RunData with parameters populated correctly: output showed From Account = SGD-001-234567, Amount = SGD 50,000.00, Status = READY. Correct.</w:t>
      </w:r>
    </w:p>
    <w:p>
      <w:pPr>
        <w:pStyle w:val="ListParagraph"/>
        <w:numPr>
          <w:ilvl w:val="0"/>
          <w:numId w:val="2"/>
        </w:numPr>
        <w:spacing w:after="60" w:line="276"/>
      </w:pPr>
      <w:r>
        <w:rPr>
          <w:rFonts w:ascii="Arial" w:cs="Arial" w:eastAsia="Arial" w:hAnsi="Arial"/>
          <w:sz w:val="21"/>
          <w:szCs w:val="21"/>
        </w:rPr>
        <w:t xml:space="preserve">Test B — RunData with empty parameters (simulating PipelineData gap): output showed From Account = N/A, Amount = 0.00, Status = INCOMPLETE. Wrong.</w:t>
      </w:r>
    </w:p>
    <w:p>
      <w:pPr>
        <w:spacing w:after="120" w:line="276"/>
      </w:pPr>
      <w:r>
        <w:rPr>
          <w:rFonts w:ascii="Arial" w:cs="Arial" w:eastAsia="Arial" w:hAnsi="Arial"/>
          <w:sz w:val="21"/>
          <w:szCs w:val="21"/>
        </w:rPr>
        <w:t xml:space="preserve">No exception was thrown. No compilation error. The portlet executed successfully in both cases. The ECS library built valid XML in both cases. The XSL transformation produced valid HTML in both cases. The only difference was that the data displayed on screen was silently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66" w:sz="6"/>
              <w:left w:val="single" w:color="003366" w:sz="6"/>
              <w:bottom w:val="single" w:color="CCCCCC" w:sz="1"/>
              <w:right w:val="single" w:color="CCCCCC" w:sz="1"/>
            </w:tcBorders>
            <w:shd w:fill="FDEAEA" w:val="clear"/>
            <w:tcMar>
              <w:top w:type="dxa" w:w="120"/>
              <w:left w:type="dxa" w:w="200"/>
              <w:bottom w:type="dxa" w:w="120"/>
              <w:right w:type="dxa" w:w="200"/>
            </w:tcMar>
          </w:tcPr>
          <w:p>
            <w:pPr>
              <w:spacing w:after="80"/>
            </w:pPr>
            <w:r>
              <w:rPr>
                <w:rFonts w:ascii="Arial" w:cs="Arial" w:eastAsia="Arial" w:hAnsi="Arial"/>
                <w:b/>
                <w:bCs/>
                <w:color w:val="003366"/>
                <w:sz w:val="20"/>
                <w:szCs w:val="20"/>
              </w:rPr>
              <w:t xml:space="preserve">IMPLICATION FOR BANKING</w:t>
            </w:r>
          </w:p>
          <w:p>
            <w:pPr>
              <w:spacing w:after="0"/>
            </w:pPr>
            <w:r>
              <w:rPr>
                <w:rFonts w:ascii="Arial" w:cs="Arial" w:eastAsia="Arial" w:hAnsi="Arial"/>
                <w:sz w:val="19"/>
                <w:szCs w:val="19"/>
              </w:rPr>
              <w:t xml:space="preserve">In a production banking environment, this means a Fund Transfer screen could display the wrong debit account, the wrong amount, or the wrong beneficiary name. A maker could approve a transaction they did not intend to approve. An audit trail could record values that do not match the actual transaction. None of these failures would produce a system error. They would only be detected by a human noticing the wrong number on screen — or worse, after the transaction has been processed.</w:t>
            </w:r>
          </w:p>
        </w:tc>
      </w:tr>
    </w:tbl>
    <w:p>
      <w:r>
        <w:br w:type="page"/>
      </w:r>
    </w:p>
    <w:p>
      <w:pPr>
        <w:pStyle w:val="Heading1"/>
        <w:spacing w:after="200" w:before="360"/>
      </w:pPr>
      <w:r>
        <w:rPr>
          <w:rFonts w:ascii="Arial" w:cs="Arial" w:eastAsia="Arial" w:hAnsi="Arial"/>
          <w:b/>
          <w:bCs/>
          <w:color w:val="003366"/>
          <w:sz w:val="32"/>
          <w:szCs w:val="32"/>
        </w:rPr>
        <w:t xml:space="preserve">9. What The Mini Application Must Prove</w:t>
      </w:r>
    </w:p>
    <w:p>
      <w:pPr>
        <w:spacing w:after="120" w:line="276"/>
      </w:pPr>
      <w:r>
        <w:rPr>
          <w:rFonts w:ascii="Arial" w:cs="Arial" w:eastAsia="Arial" w:hAnsi="Arial"/>
          <w:sz w:val="21"/>
          <w:szCs w:val="21"/>
        </w:rPr>
        <w:t xml:space="preserve">The purpose of building a mini application is not to create a demo or a UI. It is to build a lifecycle test bed that answers the three critical questions from Section 7.2 by running real code against the Turbine 7 runtime. Each test directly maps to a migration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3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What It Proves</w:t>
            </w:r>
          </w:p>
        </w:tc>
        <w:tc>
          <w:tcPr>
            <w:tcW w:type="dxa" w:w="53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If It Fails — What It Means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Can a custom RunDataService be registered in Turbine 7 that creates OUR RunData class with custom fields?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The entire pool-based creation mechanism from GTPRunDataService is incompatible. Redesign required for how DefaultGTPRunData is instantiated.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Can a custom ParameterParser be attached to RunData and correctly parse request parameters?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GTPParameterParser cannot integrate with Turbine 7 ParserService. Every data.getParameters().getString() call in every Action across all banking modules is affected.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Can an Action and a Portlet receive RunData and read custom attributes (companyAcl, userAcl, userAccounts) correctly?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The banking context carried by DefaultGTPRunData does not survive the pipeline. Every ACL check, every account lookup, every company-specific operation fails.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Does the pool recycling mechanism work — can putRunData() return all three objects to the pool and reuse them on the next request?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Object pooling is broken. Every request creates new objects. Performance under banking load (thousands of concurrent users) degrades. Memory pressure increases.</w:t>
            </w:r>
          </w:p>
        </w:tc>
      </w:tr>
    </w:tbl>
    <w:p>
      <w:pPr>
        <w:spacing w:after="60"/>
      </w:pPr>
    </w:p>
    <w:p>
      <w:pPr>
        <w:spacing w:after="120" w:line="276"/>
      </w:pPr>
      <w:r>
        <w:rPr>
          <w:rFonts w:ascii="Arial" w:cs="Arial" w:eastAsia="Arial" w:hAnsi="Arial"/>
          <w:sz w:val="21"/>
          <w:szCs w:val="21"/>
        </w:rPr>
        <w:t xml:space="preserve">If all four tests pass: the GEB RunData architecture survives Turbine 7 with modifications. The migration scope is API adaptation, not architectural redesign.</w:t>
      </w:r>
    </w:p>
    <w:p>
      <w:pPr>
        <w:spacing w:after="120" w:line="276"/>
      </w:pPr>
      <w:r>
        <w:rPr>
          <w:rFonts w:ascii="Arial" w:cs="Arial" w:eastAsia="Arial" w:hAnsi="Arial"/>
          <w:sz w:val="21"/>
          <w:szCs w:val="21"/>
        </w:rPr>
        <w:t xml:space="preserve">If any test fails: that specific mechanism needs redesign, and THAT is what gets documented as the precise migration gap — not a vague estimate, but a concrete architectural incompatibility with a defined scope of impact.</w:t>
      </w:r>
    </w:p>
    <w:p>
      <w:pPr>
        <w:spacing w:before="400"/>
        <w:jc w:val="center"/>
      </w:pPr>
      <w:r>
        <w:rPr>
          <w:rFonts w:ascii="Arial" w:cs="Arial" w:eastAsia="Arial" w:hAnsi="Arial"/>
          <w:i/>
          <w:iCs/>
          <w:color w:val="999999"/>
          <w:sz w:val="20"/>
          <w:szCs w:val="20"/>
        </w:rPr>
        <w:t xml:space="preserve">— End of Document —</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4"/>
      </w:pBdr>
      <w:jc w:val="center"/>
    </w:pPr>
    <w:r>
      <w:rPr>
        <w:rFonts w:ascii="Arial" w:cs="Arial" w:eastAsia="Arial" w:hAnsi="Arial"/>
        <w:color w:val="999999"/>
        <w:sz w:val="14"/>
        <w:szCs w:val="14"/>
      </w:rPr>
      <w:t xml:space="preserve">Wipro Consulting | UOB Bank Singapore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4" w:space="4"/>
      </w:pBdr>
    </w:pPr>
    <w:r>
      <w:rPr>
        <w:rFonts w:ascii="Arial" w:cs="Arial" w:eastAsia="Arial" w:hAnsi="Arial"/>
        <w:color w:val="999999"/>
        <w:sz w:val="16"/>
        <w:szCs w:val="16"/>
      </w:rPr>
      <w:t xml:space="preserve">GEB FCC — RunData Architecture — Deep Technical Understanding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336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0214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2026-04-05T09:17:58.002Z</dcterms:created>
  <dcterms:modified xsi:type="dcterms:W3CDTF">2026-04-05T09:17:58.003Z</dcterms:modified>
</cp:coreProperties>
</file>

<file path=docProps/custom.xml><?xml version="1.0" encoding="utf-8"?>
<Properties xmlns="http://schemas.openxmlformats.org/officeDocument/2006/custom-properties" xmlns:vt="http://schemas.openxmlformats.org/officeDocument/2006/docPropsVTypes"/>
</file>