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t xml:space="preserve"/>
      </w:r>
    </w:p>
    <w:p>
      <w:pPr>
        <w:spacing w:before="40" w:after="40"/>
      </w:pPr>
      <w:r>
        <w:t xml:space="preserve"/>
      </w:r>
    </w:p>
    <w:p>
      <w:pPr>
        <w:spacing w:before="40" w:after="40"/>
      </w:pPr>
      <w:r>
        <w:t xml:space="preserve"/>
      </w:r>
    </w:p>
    <w:p>
      <w:pPr>
        <w:spacing w:before="0" w:after="40"/>
        <w:jc w:val="center"/>
      </w:pPr>
      <w:r>
        <w:rPr>
          <w:rFonts w:ascii="Arial" w:cs="Arial" w:eastAsia="Arial" w:hAnsi="Arial"/>
          <w:b/>
          <w:bCs/>
          <w:color w:val="1F4E79"/>
          <w:sz w:val="80"/>
          <w:szCs w:val="80"/>
        </w:rPr>
        <w:t xml:space="preserve">GEB FCC Platform</w:t>
      </w:r>
    </w:p>
    <w:p>
      <w:pPr>
        <w:spacing w:before="0" w:after="40"/>
        <w:jc w:val="center"/>
      </w:pPr>
      <w:r>
        <w:rPr>
          <w:rFonts w:ascii="Arial" w:cs="Arial" w:eastAsia="Arial" w:hAnsi="Arial"/>
          <w:color w:val="2E75B6"/>
          <w:sz w:val="40"/>
          <w:szCs w:val="40"/>
        </w:rPr>
        <w:t xml:space="preserve">Application Architecture Understanding</w:t>
      </w:r>
    </w:p>
    <w:p>
      <w:pPr>
        <w:spacing w:before="0" w:after="40"/>
        <w:jc w:val="center"/>
      </w:pPr>
      <w:r>
        <w:rPr>
          <w:rFonts w:ascii="Arial" w:cs="Arial" w:eastAsia="Arial" w:hAnsi="Arial"/>
          <w:color w:val="2E75B6"/>
          <w:sz w:val="40"/>
          <w:szCs w:val="40"/>
        </w:rPr>
        <w:t xml:space="preserve">&amp; JBoss EAP 8 Migration Assessment</w:t>
      </w:r>
    </w:p>
    <w:p>
      <w:pPr>
        <w:pBdr>
          <w:top w:val="single" w:color="1F4E79" w:sz="6" w:space="1"/>
        </w:pBdr>
        <w:spacing w:before="240" w:after="240"/>
        <w:jc w:val="center"/>
      </w:pPr>
      <w:r>
        <w:t xml:space="preserve"/>
      </w:r>
    </w:p>
    <w:p>
      <w:pPr>
        <w:spacing w:before="40" w:after="40"/>
      </w:pPr>
      <w:r>
        <w:t xml:space="preserve"/>
      </w:r>
    </w:p>
    <w:p>
      <w:pPr>
        <w:spacing w:before="40" w:after="40"/>
      </w:pPr>
      <w:r>
        <w:t xml:space="preserve"/>
      </w:r>
    </w:p>
    <w:p>
      <w:pPr>
        <w:spacing w:before="0" w:after="60"/>
        <w:jc w:val="center"/>
      </w:pPr>
      <w:r>
        <w:rPr>
          <w:rFonts w:ascii="Arial" w:cs="Arial" w:eastAsia="Arial" w:hAnsi="Arial"/>
          <w:color w:val="404040"/>
          <w:sz w:val="26"/>
          <w:szCs w:val="26"/>
        </w:rPr>
        <w:t xml:space="preserve">UOB Bank | Singapore</w:t>
      </w:r>
    </w:p>
    <w:p>
      <w:pPr>
        <w:spacing w:before="0" w:after="60"/>
        <w:jc w:val="center"/>
      </w:pPr>
      <w:r>
        <w:rPr>
          <w:rFonts w:ascii="Arial" w:cs="Arial" w:eastAsia="Arial" w:hAnsi="Arial"/>
          <w:color w:val="606060"/>
          <w:sz w:val="22"/>
          <w:szCs w:val="22"/>
        </w:rPr>
        <w:t xml:space="preserve">Prepared by: Wipro Consulting</w:t>
      </w:r>
    </w:p>
    <w:p>
      <w:pPr>
        <w:spacing w:before="0" w:after="60"/>
        <w:jc w:val="center"/>
      </w:pPr>
      <w:r>
        <w:rPr>
          <w:rFonts w:ascii="Arial" w:cs="Arial" w:eastAsia="Arial" w:hAnsi="Arial"/>
          <w:color w:val="606060"/>
          <w:sz w:val="22"/>
          <w:szCs w:val="22"/>
        </w:rPr>
        <w:t xml:space="preserve">Date: 28 March 2026</w:t>
      </w:r>
    </w:p>
    <w:p>
      <w:pPr>
        <w:spacing w:before="0" w:after="60"/>
        <w:jc w:val="center"/>
      </w:pPr>
      <w:r>
        <w:rPr>
          <w:rFonts w:ascii="Arial" w:cs="Arial" w:eastAsia="Arial" w:hAnsi="Arial"/>
          <w:b/>
          <w:bCs/>
          <w:color w:val="C00000"/>
          <w:sz w:val="22"/>
          <w:szCs w:val="22"/>
        </w:rPr>
        <w:t xml:space="preserve">Classification: Confidential</w:t>
      </w:r>
    </w:p>
    <w:p>
      <w:pPr>
        <w:spacing w:before="0" w:after="60"/>
        <w:jc w:val="center"/>
      </w:pPr>
      <w:r>
        <w:rPr>
          <w:rFonts w:ascii="Courier New" w:cs="Courier New" w:eastAsia="Courier New" w:hAnsi="Courier New"/>
          <w:color w:val="808080"/>
          <w:sz w:val="18"/>
          <w:szCs w:val="18"/>
        </w:rPr>
        <w:t xml:space="preserve">Branch: feature/version-37.1_java8_SG_JBOSS8_POC</w:t>
      </w:r>
    </w:p>
    <w:p>
      <w:pPr>
        <w:pageBreakBefore/>
      </w:pPr>
      <w:r>
        <w:t xml:space="preserve"/>
      </w:r>
    </w:p>
    <w:p>
      <w:pPr>
        <w:pStyle w:val="Heading1"/>
        <w:spacing w:before="400" w:after="120"/>
      </w:pPr>
      <w:r>
        <w:rPr>
          <w:rFonts w:ascii="Arial" w:cs="Arial" w:eastAsia="Arial" w:hAnsi="Arial"/>
          <w:b/>
          <w:bCs/>
          <w:color w:val="1F4E79"/>
          <w:sz w:val="34"/>
          <w:szCs w:val="34"/>
        </w:rPr>
        <w:t xml:space="preserve">Executive Summary</w:t>
      </w:r>
    </w:p>
    <w:p>
      <w:pPr>
        <w:pBdr>
          <w:bottom w:val="single" w:color="CCCCCC" w:sz="4" w:space="1"/>
        </w:pBdr>
        <w:spacing w:before="120" w:after="120"/>
      </w:pPr>
      <w:r>
        <w:t xml:space="preserve"/>
      </w:r>
    </w:p>
    <w:p>
      <w:pPr>
        <w:spacing w:before="80" w:after="80"/>
      </w:pPr>
      <w:r>
        <w:rPr>
          <w:rFonts w:ascii="Arial" w:cs="Arial" w:eastAsia="Arial" w:hAnsi="Arial"/>
          <w:sz w:val="22"/>
          <w:szCs w:val="22"/>
        </w:rPr>
        <w:t xml:space="preserve">This document presents the complete findings from a deep technical assessment of the Finastra Fusion Corporate Channel (FCC / GEB) application deployed at UOB Bank Singapore. The assessment was conducted on 28 March 2026 as part of the JBoss EAP 8 upgrade initiative.</w:t>
      </w:r>
    </w:p>
    <w:p>
      <w:pPr>
        <w:spacing w:before="40" w:after="40"/>
      </w:pPr>
      <w:r>
        <w:t xml:space="preserve"/>
      </w:r>
    </w:p>
    <w:p>
      <w:pPr>
        <w:spacing w:before="80" w:after="80"/>
      </w:pPr>
      <w:r>
        <w:rPr>
          <w:rFonts w:ascii="Arial" w:cs="Arial" w:eastAsia="Arial" w:hAnsi="Arial"/>
          <w:sz w:val="22"/>
          <w:szCs w:val="22"/>
        </w:rPr>
        <w:t xml:space="preserve">The assessment involved systematic analysis of the full Eclipse workspace source code, startup logs, JAR inventory, and import dependency mapping across 68,420 import statements. The findings are data-driven and based on actual codebase evidence — not assumptions.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thick" w:color="2E7D32" w:sz="14"/>
              <w:bottom w:val="single" w:color="2E7D32" w:sz="3"/>
              <w:right w:val="single" w:color="2E7D32" w:sz="3"/>
            </w:tcBorders>
            <w:shd w:fill="E8F5E9" w:val="clear"/>
            <w:tcMar>
              <w:top w:type="dxa" w:w="120"/>
              <w:left w:type="dxa" w:w="200"/>
              <w:bottom w:type="dxa" w:w="120"/>
              <w:right w:type="dxa" w:w="160"/>
            </w:tcMar>
          </w:tcPr>
          <w:p>
            <w:pPr>
              <w:spacing w:before="0" w:after="60"/>
            </w:pPr>
            <w:r>
              <w:rPr>
                <w:rFonts w:ascii="Arial" w:cs="Arial" w:eastAsia="Arial" w:hAnsi="Arial"/>
                <w:b/>
                <w:bCs/>
                <w:color w:val="2E7D32"/>
                <w:sz w:val="20"/>
                <w:szCs w:val="20"/>
              </w:rPr>
              <w:t xml:space="preserve">THE SINGLE MOST IMPORTANT FINDING OF THIS ASSESSMENT</w:t>
            </w:r>
          </w:p>
          <w:p>
            <w:pPr>
              <w:spacing w:before="0" w:after="0"/>
            </w:pPr>
            <w:r>
              <w:rPr>
                <w:rFonts w:ascii="Arial" w:cs="Arial" w:eastAsia="Arial" w:hAnsi="Arial"/>
                <w:sz w:val="20"/>
                <w:szCs w:val="20"/>
              </w:rPr>
              <w:t xml:space="preserve">This assessment has moved from assumption to evidence. Three areas previously discussed as potential blockers — javax.portlet dependency, Jetspeed architecture, and Torque coupling — have been examined directly in the codebase and the findings are documented in this report. At the same time, the assessment has identified areas — particularly Turbine’s internal architecture, the unclassified dependency segment, and the depth of business logic impact — where structured discovery work is still required before the full picture is clear. This document presents what has been found, what it means, and what still needs to be understood.</w:t>
            </w:r>
          </w:p>
        </w:tc>
      </w:tr>
    </w:tbl>
    <w:p>
      <w:pPr>
        <w:spacing w:before="40" w:after="40"/>
      </w:pPr>
      <w:r>
        <w:t xml:space="preserve"/>
      </w:r>
    </w:p>
    <w:p>
      <w:pPr>
        <w:pStyle w:val="Heading1"/>
        <w:spacing w:before="400" w:after="120"/>
      </w:pPr>
      <w:r>
        <w:rPr>
          <w:rFonts w:ascii="Arial" w:cs="Arial" w:eastAsia="Arial" w:hAnsi="Arial"/>
          <w:b/>
          <w:bCs/>
          <w:color w:val="1F4E79"/>
          <w:sz w:val="34"/>
          <w:szCs w:val="34"/>
        </w:rPr>
        <w:t xml:space="preserve">1. Application Overview</w:t>
      </w:r>
    </w:p>
    <w:p>
      <w:pPr>
        <w:pBdr>
          <w:bottom w:val="single" w:color="CCCCCC" w:sz="4" w:space="1"/>
        </w:pBdr>
        <w:spacing w:before="120" w:after="120"/>
      </w:pPr>
      <w:r>
        <w:t xml:space="preserve"/>
      </w:r>
    </w:p>
    <w:p>
      <w:pPr>
        <w:pStyle w:val="Heading2"/>
        <w:spacing w:before="280" w:after="100"/>
      </w:pPr>
      <w:r>
        <w:rPr>
          <w:rFonts w:ascii="Arial" w:cs="Arial" w:eastAsia="Arial" w:hAnsi="Arial"/>
          <w:b/>
          <w:bCs/>
          <w:color w:val="2E75B6"/>
          <w:sz w:val="26"/>
          <w:szCs w:val="26"/>
        </w:rPr>
        <w:t xml:space="preserve">1.1 What Is GEB / FCC?</w:t>
      </w:r>
    </w:p>
    <w:p>
      <w:pPr>
        <w:spacing w:before="80" w:after="80"/>
      </w:pPr>
      <w:r>
        <w:rPr>
          <w:rFonts w:ascii="Arial" w:cs="Arial" w:eastAsia="Arial" w:hAnsi="Arial"/>
          <w:sz w:val="22"/>
          <w:szCs w:val="22"/>
        </w:rPr>
        <w:t xml:space="preserve">The application is Finastra's Fusion Corporate Channel (FCC), known internally as GEB (Global Electronic Banking) or BIB Plus. It is a corporate internet banking platform serving UOB Bank's corporate customers across Asia. It handles high-volume, high-value banking transactions including Fund Transfers, Letters of Credit, Bank Guarantees, Trade Finance, Open Accounts, and more.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63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Product</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Finastra Fusion Corporate Channel (FCC / GEB / BIB Plus)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UOB Bank — Singapore (and across Asia)</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Deployment</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Single EAR, Single WAR on JBoss EAP 7.x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Java 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 8</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Source Branch</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feature/version-37.1_java8_SG_JBOSS8_POC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Server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JBoss EAP 7.x (production) / Apache Tomcat (local dev)</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Database</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Oracle (via PoolBrokerService / Commons DBCP connection pool)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Dojo Toolkit (browser-side JavaScript)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Age</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20+ years of continuous development since early 2000s</w:t>
            </w:r>
          </w:p>
        </w:tc>
      </w:tr>
    </w:tbl>
    <w:p>
      <w:pPr>
        <w:spacing w:before="40" w:after="40"/>
      </w:pPr>
      <w:r>
        <w:t xml:space="preserve"/>
      </w:r>
    </w:p>
    <w:p>
      <w:pPr>
        <w:pStyle w:val="Heading2"/>
        <w:spacing w:before="280" w:after="100"/>
      </w:pPr>
      <w:r>
        <w:rPr>
          <w:rFonts w:ascii="Arial" w:cs="Arial" w:eastAsia="Arial" w:hAnsi="Arial"/>
          <w:b/>
          <w:bCs/>
          <w:color w:val="2E75B6"/>
          <w:sz w:val="26"/>
          <w:szCs w:val="26"/>
        </w:rPr>
        <w:t xml:space="preserve">1.2 The Two 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25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Name</w:t>
            </w:r>
          </w:p>
        </w:tc>
        <w:tc>
          <w:tcPr>
            <w:tcW w:type="dxa" w:w="3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25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Component 1</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GEB (BIB Plus)</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Core banking processing engine. Handles all transaction logic, maker-checker workflow, approvals, reporting, batch processing.</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Turbine + Jetspeed + Dojo + XSLT + Velocity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UOB Infinity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Customer-facing front-end portal. Connects to GEB via WSService REST APIs for actual processing.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MVC DispatcherServlet (wsservice)</w:t>
            </w:r>
          </w:p>
        </w:tc>
      </w:tr>
    </w:tbl>
    <w:p>
      <w:pPr>
        <w:spacing w:before="40" w:after="40"/>
      </w:pPr>
      <w:r>
        <w:t xml:space="preserve"/>
      </w:r>
    </w:p>
    <w:p>
      <w:pPr>
        <w:pStyle w:val="Heading2"/>
        <w:spacing w:before="280" w:after="100"/>
      </w:pPr>
      <w:r>
        <w:rPr>
          <w:rFonts w:ascii="Arial" w:cs="Arial" w:eastAsia="Arial" w:hAnsi="Arial"/>
          <w:b/>
          <w:bCs/>
          <w:color w:val="2E75B6"/>
          <w:sz w:val="26"/>
          <w:szCs w:val="26"/>
        </w:rPr>
        <w:t xml:space="preserve">1.3 How a Request Flows Through GEB — End to End</w:t>
      </w:r>
    </w:p>
    <w:p>
      <w:pPr>
        <w:spacing w:before="80" w:after="80"/>
      </w:pPr>
      <w:r>
        <w:rPr>
          <w:rFonts w:ascii="Arial" w:cs="Arial" w:eastAsia="Arial" w:hAnsi="Arial"/>
          <w:sz w:val="22"/>
          <w:szCs w:val="22"/>
        </w:rPr>
        <w:t xml:space="preserve">Understanding this flow is fundamental to understanding the migration. Every user action in GEB travels through all these layers in sequence: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What Happens</w:t>
            </w:r>
          </w:p>
        </w:tc>
      </w:tr>
      <w:tr>
        <w:tc>
          <w:tcPr>
            <w:tcW w:type="dxa" w:w="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Browser — Dojo UI</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User clicks a button. Dojo submits a form or fires an AJAX call to the server.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JBoss Container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request arrives. JBoss routes to the correct servlet based on URL pattern (/portal/* or /geb/wsaction/*).</w:t>
            </w:r>
          </w:p>
        </w:tc>
      </w:tr>
      <w:tr>
        <w:tc>
          <w:tcPr>
            <w:tcW w:type="dxa" w:w="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Turbine Servlet</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org.apache.turbine.Turbine receives the request. Creates RunData (request context). Parses URL to find action + screen.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Turbine Pipeline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Executes Action first (business logic, DB writes via PoolBrokerService). Then executes Screen (prepares display data).</w:t>
            </w:r>
          </w:p>
        </w:tc>
      </w:tr>
      <w:tr>
        <w:tc>
          <w:tcPr>
            <w:tcW w:type="dxa" w:w="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Jetspeed + PSML</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Reads the PSML file for the requested page. Determines which portlets belong on this page and their security roles.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Portlets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portlet renders its HTML fragment. Calls services, queries Oracle via PoolBrokerService or Torque Peer classes.</w:t>
            </w:r>
          </w:p>
        </w:tc>
      </w:tr>
      <w:tr>
        <w:tc>
          <w:tcPr>
            <w:tcW w:type="dxa" w:w="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XSLT Engine</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XSL stylesheets transform XML data from portlets into HTML. Xalan-2.7.2 processes the transformation.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Velocity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Layout templates (TopUOB.vm, BottomUOB.vm) wrap portlet output with navigation, headers, page structure.</w:t>
            </w:r>
          </w:p>
        </w:tc>
      </w:tr>
      <w:tr>
        <w:tc>
          <w:tcPr>
            <w:tcW w:type="dxa" w:w="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Response</w:t>
            </w:r>
          </w:p>
        </w:tc>
        <w:tc>
          <w:tcPr>
            <w:tcW w:type="dxa" w:w="6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Complete HTML page assembled and returned to browser. Dojo enhances it with interactive widgets.</w:t>
            </w:r>
          </w:p>
        </w:tc>
      </w:tr>
    </w:tbl>
    <w:p>
      <w:pPr>
        <w:spacing w:before="40" w:after="40"/>
      </w:pPr>
      <w:r>
        <w:t xml:space="preserve"/>
      </w:r>
    </w:p>
    <w:p>
      <w:pPr>
        <w:pStyle w:val="Heading1"/>
        <w:spacing w:before="400" w:after="120"/>
      </w:pPr>
      <w:r>
        <w:rPr>
          <w:rFonts w:ascii="Arial" w:cs="Arial" w:eastAsia="Arial" w:hAnsi="Arial"/>
          <w:b/>
          <w:bCs/>
          <w:color w:val="1F4E79"/>
          <w:sz w:val="34"/>
          <w:szCs w:val="34"/>
        </w:rPr>
        <w:t xml:space="preserve">2. Architecture Components — Deep Understanding</w:t>
      </w:r>
    </w:p>
    <w:p>
      <w:pPr>
        <w:pBdr>
          <w:bottom w:val="single" w:color="CCCCCC" w:sz="4" w:space="1"/>
        </w:pBdr>
        <w:spacing w:before="120" w:after="120"/>
      </w:pPr>
      <w:r>
        <w:t xml:space="preserve"/>
      </w:r>
    </w:p>
    <w:p>
      <w:pPr>
        <w:pStyle w:val="Heading2"/>
        <w:spacing w:before="280" w:after="100"/>
      </w:pPr>
      <w:r>
        <w:rPr>
          <w:rFonts w:ascii="Arial" w:cs="Arial" w:eastAsia="Arial" w:hAnsi="Arial"/>
          <w:b/>
          <w:bCs/>
          <w:color w:val="2E75B6"/>
          <w:sz w:val="26"/>
          <w:szCs w:val="26"/>
        </w:rPr>
        <w:t xml:space="preserve">2.1 Apache Turbine — The Front Controller</w:t>
      </w:r>
    </w:p>
    <w:p>
      <w:pPr>
        <w:spacing w:before="80" w:after="80"/>
      </w:pPr>
      <w:r>
        <w:rPr>
          <w:rFonts w:ascii="Arial" w:cs="Arial" w:eastAsia="Arial" w:hAnsi="Arial"/>
          <w:sz w:val="22"/>
          <w:szCs w:val="22"/>
        </w:rPr>
        <w:t xml:space="preserve">Turbine is the backbone of GEB. It is a servlet-based web framework from Apache (2001) that serves as the main entry point, service container, and request dispatcher for the entire application. In web.xml, org.apache.turbine.Turbine is declared with load-on-startup=1 — meaning it is the very first thing that initializes when the application deploys.</w:t>
      </w:r>
    </w:p>
    <w:p>
      <w:pPr>
        <w:spacing w:before="40" w:after="40"/>
      </w:pPr>
      <w:r>
        <w:t xml:space="preserve"/>
      </w:r>
    </w:p>
    <w:p>
      <w:pPr>
        <w:spacing w:before="80" w:after="80"/>
      </w:pPr>
      <w:r>
        <w:rPr>
          <w:rFonts w:ascii="Arial" w:cs="Arial" w:eastAsia="Arial" w:hAnsi="Arial"/>
          <w:sz w:val="22"/>
          <w:szCs w:val="22"/>
        </w:rPr>
        <w:t xml:space="preserve">At startup, Turbine reads configurations.xml → loads all .properties files → reads services.xml → bootstraps all services via BaseServiceBroker. Only when all 33 services initialize successfully does Turbine print the well-known message: READY TO RUMBLE.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3"/>
              <w:left w:val="thick" w:color="1F4E79" w:sz="14"/>
              <w:bottom w:val="single" w:color="1F4E79" w:sz="3"/>
              <w:right w:val="single" w:color="1F4E79" w:sz="3"/>
            </w:tcBorders>
            <w:shd w:fill="EBF5FB" w:val="clear"/>
            <w:tcMar>
              <w:top w:type="dxa" w:w="120"/>
              <w:left w:type="dxa" w:w="200"/>
              <w:bottom w:type="dxa" w:w="120"/>
              <w:right w:type="dxa" w:w="160"/>
            </w:tcMar>
          </w:tcPr>
          <w:p>
            <w:pPr>
              <w:spacing w:before="0" w:after="60"/>
            </w:pPr>
            <w:r>
              <w:rPr>
                <w:rFonts w:ascii="Arial" w:cs="Arial" w:eastAsia="Arial" w:hAnsi="Arial"/>
                <w:b/>
                <w:bCs/>
                <w:color w:val="1F4E79"/>
                <w:sz w:val="20"/>
                <w:szCs w:val="20"/>
              </w:rPr>
              <w:t xml:space="preserve">Key Turbine Services Confirmed Running (from ServerStartup.txt)</w:t>
            </w:r>
          </w:p>
          <w:p>
            <w:pPr>
              <w:spacing w:before="0" w:after="0"/>
            </w:pPr>
            <w:r>
              <w:rPr>
                <w:rFonts w:ascii="Arial" w:cs="Arial" w:eastAsia="Arial" w:hAnsi="Arial"/>
                <w:sz w:val="20"/>
                <w:szCs w:val="20"/>
              </w:rPr>
              <w:t xml:space="preserve">E2EEService, ComponentService, GlobalCacheService, SchedulerService, VelocityService, TemplateService, AssemblerBrokerService, SessionService, GTPDefaultTemplateService, PsmlScreenManager, DaemonFactory, GTPAuthenticationService, GTPBOReferenceBrokerService, GTPPoolBrokerService, GTPInitializationService, GTPAuthorizationService, POGroupingService, BaseLineGroupingService, GTPIndexManagerService, HolidaysAndCutOffService, InterfacesService, XMLReaderService, XMLCatalogService, PortalResourcesService, SchematronService, XSLTService, RunDataService, UploadService — Total: 33 services</w:t>
            </w:r>
          </w:p>
        </w:tc>
      </w:tr>
    </w:tbl>
    <w:p>
      <w:pPr>
        <w:spacing w:before="40" w:after="40"/>
      </w:pPr>
      <w:r>
        <w:t xml:space="preserve"/>
      </w:r>
    </w:p>
    <w:p>
      <w:pPr>
        <w:pStyle w:val="Heading2"/>
        <w:spacing w:before="280" w:after="100"/>
      </w:pPr>
      <w:r>
        <w:rPr>
          <w:rFonts w:ascii="Arial" w:cs="Arial" w:eastAsia="Arial" w:hAnsi="Arial"/>
          <w:b/>
          <w:bCs/>
          <w:color w:val="2E75B6"/>
          <w:sz w:val="26"/>
          <w:szCs w:val="26"/>
        </w:rPr>
        <w:t xml:space="preserve">2.2 Jetspeed — The Portal Engine</w:t>
      </w:r>
    </w:p>
    <w:p>
      <w:pPr>
        <w:spacing w:before="80" w:after="80"/>
      </w:pPr>
      <w:r>
        <w:rPr>
          <w:rFonts w:ascii="Arial" w:cs="Arial" w:eastAsia="Arial" w:hAnsi="Arial"/>
          <w:sz w:val="22"/>
          <w:szCs w:val="22"/>
        </w:rPr>
        <w:t xml:space="preserve">Jetspeed is Apache's portal framework. Its sole purpose is to answer: 'For this page request, which portlets should be shown, in what layout, and with what security restrictions?' Jetspeed reads PSML (Portal Structure Markup Language) XML files that describe each page's composition.</w:t>
      </w:r>
    </w:p>
    <w:p>
      <w:pPr>
        <w:spacing w:before="40" w:after="40"/>
      </w:pPr>
      <w:r>
        <w:t xml:space="preserve"/>
      </w:r>
    </w:p>
    <w:p>
      <w:pPr>
        <w:spacing w:before="80" w:after="80"/>
      </w:pPr>
      <w:r>
        <w:rPr>
          <w:rFonts w:ascii="Arial" w:cs="Arial" w:eastAsia="Arial" w:hAnsi="Arial"/>
          <w:sz w:val="22"/>
          <w:szCs w:val="22"/>
        </w:rPr>
        <w:t xml:space="preserve">Critically — Finastra did NOT use Jetspeed as a black-box JAR. They took the original Apache Jetspeed 1 source code (Copyright 1998, The Java Apache Project) and embedded it directly into the com.misys.portal.jetspeed Eclipse project. They then built their own complete portal engine on top of it.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thick" w:color="2E7D32" w:sz="14"/>
              <w:bottom w:val="single" w:color="2E7D32" w:sz="3"/>
              <w:right w:val="single" w:color="2E7D32" w:sz="3"/>
            </w:tcBorders>
            <w:shd w:fill="E8F5E9" w:val="clear"/>
            <w:tcMar>
              <w:top w:type="dxa" w:w="120"/>
              <w:left w:type="dxa" w:w="200"/>
              <w:bottom w:type="dxa" w:w="120"/>
              <w:right w:type="dxa" w:w="160"/>
            </w:tcMar>
          </w:tcPr>
          <w:p>
            <w:pPr>
              <w:spacing w:before="0" w:after="60"/>
            </w:pPr>
            <w:r>
              <w:rPr>
                <w:rFonts w:ascii="Arial" w:cs="Arial" w:eastAsia="Arial" w:hAnsi="Arial"/>
                <w:b/>
                <w:bCs/>
                <w:color w:val="2E7D32"/>
                <w:sz w:val="20"/>
                <w:szCs w:val="20"/>
              </w:rPr>
              <w:t xml:space="preserve">FINDING — Jetspeed Portal Engine Is Owned Source Code</w:t>
            </w:r>
          </w:p>
          <w:p>
            <w:pPr>
              <w:spacing w:before="0" w:after="0"/>
            </w:pPr>
            <w:r>
              <w:rPr>
                <w:rFonts w:ascii="Arial" w:cs="Arial" w:eastAsia="Arial" w:hAnsi="Arial"/>
                <w:sz w:val="20"/>
                <w:szCs w:val="20"/>
              </w:rPr>
              <w:t xml:space="preserve">The com.misys.portal.jetspeed project contains the full Jetspeed source including AbstractPortlet.java (1998 Apache source), Portlet.java interface, PSMLManager, PortletFactory, PortletCache, and all portal controllers. This means the portal engine is entirely under Wipro Consulting’s control and can be migrated without external dependency on any Jetspeed JAR or version.</w:t>
            </w:r>
          </w:p>
        </w:tc>
      </w:tr>
    </w:tbl>
    <w:p>
      <w:pPr>
        <w:spacing w:before="40" w:after="40"/>
      </w:pPr>
      <w:r>
        <w:t xml:space="preserve"/>
      </w:r>
    </w:p>
    <w:p>
      <w:pPr>
        <w:pStyle w:val="Heading2"/>
        <w:spacing w:before="280" w:after="100"/>
      </w:pPr>
      <w:r>
        <w:rPr>
          <w:rFonts w:ascii="Arial" w:cs="Arial" w:eastAsia="Arial" w:hAnsi="Arial"/>
          <w:b/>
          <w:bCs/>
          <w:color w:val="2E75B6"/>
          <w:sz w:val="26"/>
          <w:szCs w:val="26"/>
        </w:rPr>
        <w:t xml:space="preserve">2.3 PSML — Portal Structure Markup Language</w:t>
      </w:r>
    </w:p>
    <w:p>
      <w:pPr>
        <w:spacing w:before="80" w:after="80"/>
      </w:pPr>
      <w:r>
        <w:rPr>
          <w:rFonts w:ascii="Arial" w:cs="Arial" w:eastAsia="Arial" w:hAnsi="Arial"/>
          <w:sz w:val="22"/>
          <w:szCs w:val="22"/>
        </w:rPr>
        <w:t xml:space="preserve">PSML files are XML blueprints that define each portal page. Every banking function in GEB has its own PSML file. The PsmlScreenManager service loads all PSML files at startup and serves page composition requests at runtime. PSML defines which portlets appear on each page, their layout positions, and role-based security (MAKER, CHECKER, MAKER_CHECKER, ADMIN).</w:t>
      </w:r>
    </w:p>
    <w:p>
      <w:pPr>
        <w:spacing w:before="40" w:after="40"/>
      </w:pPr>
      <w:r>
        <w:t xml:space="preserve"/>
      </w:r>
    </w:p>
    <w:p>
      <w:pPr>
        <w:pStyle w:val="Heading2"/>
        <w:spacing w:before="280" w:after="100"/>
      </w:pPr>
      <w:r>
        <w:rPr>
          <w:rFonts w:ascii="Arial" w:cs="Arial" w:eastAsia="Arial" w:hAnsi="Arial"/>
          <w:b/>
          <w:bCs/>
          <w:color w:val="2E75B6"/>
          <w:sz w:val="26"/>
          <w:szCs w:val="26"/>
        </w:rPr>
        <w:t xml:space="preserve">2.4 Portlets — The UI Building Blocks</w:t>
      </w:r>
    </w:p>
    <w:p>
      <w:pPr>
        <w:spacing w:before="80" w:after="80"/>
      </w:pPr>
      <w:r>
        <w:rPr>
          <w:rFonts w:ascii="Arial" w:cs="Arial" w:eastAsia="Arial" w:hAnsi="Arial"/>
          <w:sz w:val="22"/>
          <w:szCs w:val="22"/>
        </w:rPr>
        <w:t xml:space="preserve">A portlet is a self-contained mini-application that renders one section of a portal page. GEB has portlets for every banking product — FT, LC, BG, AB, BK, DDA, EC, EL, FA, IC, IP, LN, LR, SE, SG, SI, SR, TD, TF — plus system portlets for maker-checker, reports, message centre, and middle office.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thick" w:color="2E7D32" w:sz="14"/>
              <w:bottom w:val="single" w:color="2E7D32" w:sz="3"/>
              <w:right w:val="single" w:color="2E7D32" w:sz="3"/>
            </w:tcBorders>
            <w:shd w:fill="E8F5E9" w:val="clear"/>
            <w:tcMar>
              <w:top w:type="dxa" w:w="120"/>
              <w:left w:type="dxa" w:w="200"/>
              <w:bottom w:type="dxa" w:w="120"/>
              <w:right w:type="dxa" w:w="160"/>
            </w:tcMar>
          </w:tcPr>
          <w:p>
            <w:pPr>
              <w:spacing w:before="0" w:after="60"/>
            </w:pPr>
            <w:r>
              <w:rPr>
                <w:rFonts w:ascii="Arial" w:cs="Arial" w:eastAsia="Arial" w:hAnsi="Arial"/>
                <w:b/>
                <w:bCs/>
                <w:color w:val="2E7D32"/>
                <w:sz w:val="20"/>
                <w:szCs w:val="20"/>
              </w:rPr>
              <w:t xml:space="preserve">FINDING — No javax.portlet.* References Found In Source Scan</w:t>
            </w:r>
          </w:p>
          <w:p>
            <w:pPr>
              <w:spacing w:before="0" w:after="0"/>
            </w:pPr>
            <w:r>
              <w:rPr>
                <w:rFonts w:ascii="Arial" w:cs="Arial" w:eastAsia="Arial" w:hAnsi="Arial"/>
                <w:sz w:val="20"/>
                <w:szCs w:val="20"/>
              </w:rPr>
              <w:t xml:space="preserve">A direct search across all Java source files found no javax.portlet.* import references. Finastra built GEB’s portlet layer against their own interface — com.misys.portal.core.portal.Portlet — a 1998 design that predates the JSR-168 portlet standard entirely. The portlet-api-1.0.jar present in the classpath is not referenced by any source file. This finding reframes the portlet layer question — it is not a namespace migration problem. What it means architecturally for the forward migration path is part of the structured analysis that continues from here.</w:t>
            </w:r>
          </w:p>
        </w:tc>
      </w:tr>
    </w:tbl>
    <w:p>
      <w:pPr>
        <w:spacing w:before="40" w:after="40"/>
      </w:pPr>
      <w:r>
        <w:t xml:space="preserve"/>
      </w:r>
    </w:p>
    <w:p>
      <w:pPr>
        <w:pStyle w:val="Heading2"/>
        <w:spacing w:before="280" w:after="100"/>
      </w:pPr>
      <w:r>
        <w:rPr>
          <w:rFonts w:ascii="Arial" w:cs="Arial" w:eastAsia="Arial" w:hAnsi="Arial"/>
          <w:b/>
          <w:bCs/>
          <w:color w:val="2E75B6"/>
          <w:sz w:val="26"/>
          <w:szCs w:val="26"/>
        </w:rPr>
        <w:t xml:space="preserve">2.5 XSLT and XSL — The UI Rendering Engine</w:t>
      </w:r>
    </w:p>
    <w:p>
      <w:pPr>
        <w:spacing w:before="80" w:after="80"/>
      </w:pPr>
      <w:r>
        <w:rPr>
          <w:rFonts w:ascii="Arial" w:cs="Arial" w:eastAsia="Arial" w:hAnsi="Arial"/>
          <w:sz w:val="22"/>
          <w:szCs w:val="22"/>
        </w:rPr>
        <w:t xml:space="preserve">GEB does not use JSP or Thymeleaf for form rendering. Instead it uses XSLT — a transformation language that converts XML data into HTML. Each portlet produces XML data, the XSLTCachingService picks the correct .xsl file, and Xalan-2.7.2 runs the transformation to produce HTML fragments. The XSL files contain all the actual HTML structure and UI logic.</w:t>
      </w:r>
    </w:p>
    <w:p>
      <w:pPr>
        <w:spacing w:before="40" w:after="40"/>
      </w:pPr>
      <w:r>
        <w:t xml:space="preserve"/>
      </w:r>
    </w:p>
    <w:p>
      <w:pPr>
        <w:spacing w:before="80" w:after="80"/>
      </w:pPr>
      <w:r>
        <w:rPr>
          <w:rFonts w:ascii="Arial" w:cs="Arial" w:eastAsia="Arial" w:hAnsi="Arial"/>
          <w:sz w:val="22"/>
          <w:szCs w:val="22"/>
        </w:rPr>
        <w:t xml:space="preserve">From the Eclipse workspace, the uob.xsl.system package alone contains dozens of XSL files including sy_user_entity_widget.xsl (400+ lines), sy_login.xsl, sy_bank.xsl, sy_entity.xsl and many more. These files encode the entire visual presentation layer of GEB.</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thick" w:color="2E7D32" w:sz="14"/>
              <w:bottom w:val="single" w:color="2E7D32" w:sz="3"/>
              <w:right w:val="single" w:color="2E7D32" w:sz="3"/>
            </w:tcBorders>
            <w:shd w:fill="E8F5E9" w:val="clear"/>
            <w:tcMar>
              <w:top w:type="dxa" w:w="120"/>
              <w:left w:type="dxa" w:w="200"/>
              <w:bottom w:type="dxa" w:w="120"/>
              <w:right w:type="dxa" w:w="160"/>
            </w:tcMar>
          </w:tcPr>
          <w:p>
            <w:pPr>
              <w:spacing w:before="0" w:after="60"/>
            </w:pPr>
            <w:r>
              <w:rPr>
                <w:rFonts w:ascii="Arial" w:cs="Arial" w:eastAsia="Arial" w:hAnsi="Arial"/>
                <w:b/>
                <w:bCs/>
                <w:color w:val="2E7D32"/>
                <w:sz w:val="20"/>
                <w:szCs w:val="20"/>
              </w:rPr>
              <w:t xml:space="preserve">XSL Files — No Server Migration Dependency</w:t>
            </w:r>
          </w:p>
          <w:p>
            <w:pPr>
              <w:spacing w:before="0" w:after="0"/>
            </w:pPr>
            <w:r>
              <w:rPr>
                <w:rFonts w:ascii="Arial" w:cs="Arial" w:eastAsia="Arial" w:hAnsi="Arial"/>
                <w:sz w:val="20"/>
                <w:szCs w:val="20"/>
              </w:rPr>
              <w:t xml:space="preserve">All .xsl files are pure XML with no Java or Jakarta dependency. They are not affected by the server migration. This is a meaningful boundary — it means the entire visual presentation layer of GEB sits outside the migration scope.</w:t>
            </w:r>
          </w:p>
        </w:tc>
      </w:tr>
    </w:tbl>
    <w:p>
      <w:pPr>
        <w:spacing w:before="40" w:after="40"/>
      </w:pPr>
      <w:r>
        <w:t xml:space="preserve"/>
      </w:r>
    </w:p>
    <w:p>
      <w:pPr>
        <w:pStyle w:val="Heading2"/>
        <w:spacing w:before="280" w:after="100"/>
      </w:pPr>
      <w:r>
        <w:rPr>
          <w:rFonts w:ascii="Arial" w:cs="Arial" w:eastAsia="Arial" w:hAnsi="Arial"/>
          <w:b/>
          <w:bCs/>
          <w:color w:val="2E75B6"/>
          <w:sz w:val="26"/>
          <w:szCs w:val="26"/>
        </w:rPr>
        <w:t xml:space="preserve">2.6 Velocity — The Page Layout Engine</w:t>
      </w:r>
    </w:p>
    <w:p>
      <w:pPr>
        <w:spacing w:before="80" w:after="80"/>
      </w:pPr>
      <w:r>
        <w:rPr>
          <w:rFonts w:ascii="Arial" w:cs="Arial" w:eastAsia="Arial" w:hAnsi="Arial"/>
          <w:sz w:val="22"/>
          <w:szCs w:val="22"/>
        </w:rPr>
        <w:t xml:space="preserve">While XSLT renders content inside portlets, Velocity renders the outer page structure — navigation bars, headers, footers, and layout grids. Velocity template files (.vm) mix HTML with Velocity syntax ($variables and #directives). Key templates in GEB include TopUOB.vm, BottomUOB.vm, TopBIBP.vm, BottomBIBP.vm, DefaultGTPLayout, and VelocityPre.</w:t>
      </w:r>
    </w:p>
    <w:p>
      <w:pPr>
        <w:spacing w:before="40" w:after="40"/>
      </w:pPr>
      <w:r>
        <w:t xml:space="preserve"/>
      </w:r>
    </w:p>
    <w:p>
      <w:pPr>
        <w:spacing w:before="80" w:after="80"/>
      </w:pPr>
      <w:r>
        <w:rPr>
          <w:rFonts w:ascii="Arial" w:cs="Arial" w:eastAsia="Arial" w:hAnsi="Arial"/>
          <w:sz w:val="22"/>
          <w:szCs w:val="22"/>
        </w:rPr>
        <w:t xml:space="preserve">Direct Velocity usage in GEB source code is nearly zero — only 1 unique Velocity import found in the entire workspace. This confirms Velocity is entirely encapsulated within the GTPDefaultTemplateEngineService. Application developers never call Velocity directly.</w:t>
      </w:r>
    </w:p>
    <w:p>
      <w:pPr>
        <w:spacing w:before="40" w:after="40"/>
      </w:pPr>
      <w:r>
        <w:t xml:space="preserve"/>
      </w:r>
    </w:p>
    <w:p>
      <w:pPr>
        <w:pStyle w:val="Heading2"/>
        <w:spacing w:before="280" w:after="100"/>
      </w:pPr>
      <w:r>
        <w:rPr>
          <w:rFonts w:ascii="Arial" w:cs="Arial" w:eastAsia="Arial" w:hAnsi="Arial"/>
          <w:b/>
          <w:bCs/>
          <w:color w:val="2E75B6"/>
          <w:sz w:val="26"/>
          <w:szCs w:val="26"/>
        </w:rPr>
        <w:t xml:space="preserve">2.7 Dojo — The Browser UI Framework</w:t>
      </w:r>
    </w:p>
    <w:p>
      <w:pPr>
        <w:spacing w:before="80" w:after="80"/>
      </w:pPr>
      <w:r>
        <w:rPr>
          <w:rFonts w:ascii="Arial" w:cs="Arial" w:eastAsia="Arial" w:hAnsi="Arial"/>
          <w:sz w:val="22"/>
          <w:szCs w:val="22"/>
        </w:rPr>
        <w:t xml:space="preserve">Dojo is the JavaScript framework powering GEB's interactive browser UI. It provides all client-side widgets: dijit.form.ValidationTextBox (validated inputs), dijit.form.DateTextBox (date pickers), dojox.grid.DataGrid (transaction lists), dojo.xhrPost/xhrGet (AJAX calls), and dijit.Dialog (popups).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thick" w:color="2E7D32" w:sz="14"/>
              <w:bottom w:val="single" w:color="2E7D32" w:sz="3"/>
              <w:right w:val="single" w:color="2E7D32" w:sz="3"/>
            </w:tcBorders>
            <w:shd w:fill="E8F5E9" w:val="clear"/>
            <w:tcMar>
              <w:top w:type="dxa" w:w="120"/>
              <w:left w:type="dxa" w:w="200"/>
              <w:bottom w:type="dxa" w:w="120"/>
              <w:right w:type="dxa" w:w="160"/>
            </w:tcMar>
          </w:tcPr>
          <w:p>
            <w:pPr>
              <w:spacing w:before="0" w:after="60"/>
            </w:pPr>
            <w:r>
              <w:rPr>
                <w:rFonts w:ascii="Arial" w:cs="Arial" w:eastAsia="Arial" w:hAnsi="Arial"/>
                <w:b/>
                <w:bCs/>
                <w:color w:val="2E7D32"/>
                <w:sz w:val="20"/>
                <w:szCs w:val="20"/>
              </w:rPr>
              <w:t xml:space="preserve">Dojo UI Layer — No Server Migration Dependency</w:t>
            </w:r>
          </w:p>
          <w:p>
            <w:pPr>
              <w:spacing w:before="0" w:after="0"/>
            </w:pPr>
            <w:r>
              <w:rPr>
                <w:rFonts w:ascii="Arial" w:cs="Arial" w:eastAsia="Arial" w:hAnsi="Arial"/>
                <w:sz w:val="20"/>
                <w:szCs w:val="20"/>
              </w:rPr>
              <w:t xml:space="preserve">Dojo runs entirely in the browser with no dependency on the server-side container, Java version, or namespace. The interactive UI layer is not part of the server migration scope.</w:t>
            </w:r>
          </w:p>
        </w:tc>
      </w:tr>
    </w:tbl>
    <w:p>
      <w:pPr>
        <w:spacing w:before="40" w:after="40"/>
      </w:pPr>
      <w:r>
        <w:t xml:space="preserve"/>
      </w:r>
    </w:p>
    <w:p>
      <w:pPr>
        <w:pStyle w:val="Heading2"/>
        <w:spacing w:before="280" w:after="100"/>
      </w:pPr>
      <w:r>
        <w:rPr>
          <w:rFonts w:ascii="Arial" w:cs="Arial" w:eastAsia="Arial" w:hAnsi="Arial"/>
          <w:b/>
          <w:bCs/>
          <w:color w:val="2E75B6"/>
          <w:sz w:val="26"/>
          <w:szCs w:val="26"/>
        </w:rPr>
        <w:t xml:space="preserve">2.8 Torque — The Database ORM Layer</w:t>
      </w:r>
    </w:p>
    <w:p>
      <w:pPr>
        <w:spacing w:before="80" w:after="80"/>
      </w:pPr>
      <w:r>
        <w:rPr>
          <w:rFonts w:ascii="Arial" w:cs="Arial" w:eastAsia="Arial" w:hAnsi="Arial"/>
          <w:sz w:val="22"/>
          <w:szCs w:val="22"/>
        </w:rPr>
        <w:t xml:space="preserve">Apache Torque 3.1.1 is an Object-Relational Mapping framework from 2001. It generates Java Peer classes from schema.xml definitions, providing programmatic Criteria-based queries without writing raw SQL. In GEB, Torque was used heavily for the original core tables when the application was first built.</w:t>
      </w:r>
    </w:p>
    <w:p>
      <w:pPr>
        <w:spacing w:before="40" w:after="40"/>
      </w:pPr>
      <w:r>
        <w:t xml:space="preserve"/>
      </w:r>
    </w:p>
    <w:p>
      <w:pPr>
        <w:spacing w:before="80" w:after="80"/>
      </w:pPr>
      <w:r>
        <w:rPr>
          <w:rFonts w:ascii="Arial" w:cs="Arial" w:eastAsia="Arial" w:hAnsi="Arial"/>
          <w:sz w:val="22"/>
          <w:szCs w:val="22"/>
        </w:rPr>
        <w:t xml:space="preserve">However, over 20 years of development, newer features were built using direct SQL via PoolBrokerService — completely bypassing Torque. The classic StringBuffer query pattern is predominant in newer GEB code. This evolution is confirmed by the import analysis: only 21 unique Torque import lines exist across 68,420 total imports.</w:t>
      </w:r>
    </w:p>
    <w:p>
      <w:pPr>
        <w:spacing w:before="40" w:after="40"/>
      </w:pPr>
      <w:r>
        <w:t xml:space="preserve"/>
      </w:r>
    </w:p>
    <w:p>
      <w:pPr>
        <w:spacing w:before="80" w:after="80"/>
      </w:pPr>
      <w:r>
        <w:rPr>
          <w:rFonts w:ascii="Arial" w:cs="Arial" w:eastAsia="Arial" w:hAnsi="Arial"/>
          <w:sz w:val="22"/>
          <w:szCs w:val="22"/>
        </w:rPr>
        <w:t xml:space="preserve">Additionally, no schema.xml file was found anywhere in the workspace — confirming that Torque's code generation was done years ago and the schema source was not preserved. No schema.xml was found in the workspace, which means the Torque code generation source has not been preserved. This adds complexity to understanding the full generated class dependency. The forward path for Torque requires individual analysis of each usage point before any replacement strategy can be confirmed.</w:t>
      </w:r>
    </w:p>
    <w:p>
      <w:pPr>
        <w:spacing w:before="40" w:after="40"/>
      </w:pPr>
      <w:r>
        <w:t xml:space="preserve"/>
      </w:r>
    </w:p>
    <w:p>
      <w:pPr>
        <w:pStyle w:val="Heading2"/>
        <w:spacing w:before="280" w:after="100"/>
      </w:pPr>
      <w:r>
        <w:rPr>
          <w:rFonts w:ascii="Arial" w:cs="Arial" w:eastAsia="Arial" w:hAnsi="Arial"/>
          <w:b/>
          <w:bCs/>
          <w:color w:val="2E75B6"/>
          <w:sz w:val="26"/>
          <w:szCs w:val="26"/>
        </w:rPr>
        <w:t xml:space="preserve">2.9 PoolBrokerService — The Database Connection Facade</w:t>
      </w:r>
    </w:p>
    <w:p>
      <w:pPr>
        <w:spacing w:before="80" w:after="80"/>
      </w:pPr>
      <w:r>
        <w:rPr>
          <w:rFonts w:ascii="Arial" w:cs="Arial" w:eastAsia="Arial" w:hAnsi="Arial"/>
          <w:sz w:val="22"/>
          <w:szCs w:val="22"/>
        </w:rPr>
        <w:t xml:space="preserve">PoolBrokerService (com.misys.portal.services.db.PoolBrokerService) is Finastra's own facade pattern class that serves as the single point of access to database connections across the entire GEB application. It wraps Apache Commons DBCP connection pooling and exposes clean methods: getConnection(), getNewConnection(), beginTransaction(), commitTransaction(), rollbackTransaction(), releaseConnection().</w:t>
      </w:r>
    </w:p>
    <w:p>
      <w:pPr>
        <w:spacing w:before="40" w:after="40"/>
      </w:pPr>
      <w:r>
        <w:t xml:space="preserve"/>
      </w:r>
    </w:p>
    <w:p>
      <w:pPr>
        <w:spacing w:before="80" w:after="80"/>
      </w:pPr>
      <w:r>
        <w:rPr>
          <w:rFonts w:ascii="Arial" w:cs="Arial" w:eastAsia="Arial" w:hAnsi="Arial"/>
          <w:sz w:val="22"/>
          <w:szCs w:val="22"/>
        </w:rPr>
        <w:t xml:space="preserve">The majority of database access in GEB goes through PoolBrokerService — not through Torque. This is why Torque's import count is only 21 despite being a banking application with hundreds of database operations.</w:t>
      </w:r>
    </w:p>
    <w:p>
      <w:pPr>
        <w:spacing w:before="40" w:after="40"/>
      </w:pPr>
      <w:r>
        <w:t xml:space="preserve"/>
      </w:r>
    </w:p>
    <w:p>
      <w:pPr>
        <w:pStyle w:val="Heading2"/>
        <w:spacing w:before="240" w:after="80"/>
      </w:pPr>
      <w:r>
        <w:rPr>
          <w:rFonts w:ascii="Arial" w:cs="Arial" w:eastAsia="Arial" w:hAnsi="Arial"/>
          <w:b/>
          <w:bCs/>
          <w:color w:val="2E75B6"/>
          <w:sz w:val="26"/>
          <w:szCs w:val="26"/>
        </w:rPr>
        <w:t xml:space="preserve">2.10 XML Binding — Castor and JAXB</w:t>
      </w:r>
    </w:p>
    <w:p>
      <w:pPr>
        <w:spacing w:before="80" w:after="80"/>
      </w:pPr>
      <w:r>
        <w:rPr>
          <w:rFonts w:ascii="Arial" w:cs="Arial" w:eastAsia="Arial" w:hAnsi="Arial"/>
          <w:sz w:val="22"/>
          <w:szCs w:val="22"/>
        </w:rPr>
        <w:t xml:space="preserve">GEB uses two distinct XML binding technologies serving different purposes. Understanding this distinction is critical for the EAP 8 migration assessment.</w:t>
      </w:r>
    </w:p>
    <w:p>
      <w:pPr>
        <w:spacing w:before="80" w:after="40"/>
      </w:pPr>
      <w:r>
        <w:rPr>
          <w:rFonts w:ascii="Arial" w:cs="Arial" w:eastAsia="Arial" w:hAnsi="Arial"/>
          <w:b/>
          <w:sz w:val="22"/>
          <w:szCs w:val="22"/>
        </w:rPr>
        <w:t xml:space="preserve">Castor XML — PSML Parsing Only</w:t>
      </w:r>
    </w:p>
    <w:p>
      <w:pPr>
        <w:spacing w:before="60" w:after="60"/>
      </w:pPr>
      <w:r>
        <w:rPr>
          <w:rFonts w:ascii="Arial" w:cs="Arial" w:eastAsia="Arial" w:hAnsi="Arial"/>
          <w:sz w:val="22"/>
          <w:szCs w:val="22"/>
        </w:rPr>
        <w:t xml:space="preserve">Castor XML (org.exolab.castor.*) is used exclusively for PSML file parsing in GEB. Specifically, Castor handles the unmarshalling of PSML XML files into Java objects (PSMLPage, PSMLPortlet, PSMLLayout) using .castor.xml mapping files that describe how XML elements and attributes map to Java fields via FieldDescriptor, NodeType, and Marshaller classes.</w:t>
      </w:r>
    </w:p>
    <w:p>
      <w:pPr>
        <w:spacing w:before="60" w:after="60"/>
      </w:pPr>
      <w:r>
        <w:rPr>
          <w:rFonts w:ascii="Arial" w:cs="Arial" w:eastAsia="Arial" w:hAnsi="Arial"/>
          <w:sz w:val="22"/>
          <w:szCs w:val="22"/>
        </w:rPr>
        <w:t xml:space="preserve">Castor itself does NOT use javax.* EE namespace APIs — it uses java.xml.* which is part of Java SE. However, Castor 1.3.x was last released in 2014 (Java 6 era) and is fully abandoned. The critical risk is Java 17 strong encapsulation: Castor uses deep reflection on private fields which produced only warnings in Java 8 but will throw InaccessibleObjectException errors in Java 17, causing application startup failure on EAP 8.</w:t>
      </w:r>
    </w:p>
    <w:p>
      <w:pPr>
        <w:spacing w:before="80" w:after="40"/>
      </w:pPr>
      <w:r>
        <w:rPr>
          <w:rFonts w:ascii="Arial" w:cs="Arial" w:eastAsia="Arial" w:hAnsi="Arial"/>
          <w:b/>
          <w:sz w:val="22"/>
          <w:szCs w:val="22"/>
        </w:rPr>
        <w:t xml:space="preserve">JAXB — EAI Transaction XML Binding</w:t>
      </w:r>
    </w:p>
    <w:p>
      <w:pPr>
        <w:spacing w:before="60" w:after="60"/>
      </w:pPr>
      <w:r>
        <w:rPr>
          <w:rFonts w:ascii="Arial" w:cs="Arial" w:eastAsia="Arial" w:hAnsi="Arial"/>
          <w:sz w:val="22"/>
          <w:szCs w:val="22"/>
        </w:rPr>
        <w:t xml:space="preserve">JAXB (Java Architecture for XML Binding) is used heavily in GEB for EAI (Enterprise Application Integration) transaction XML binding. This covers the portal2eai XML synchronisation layer, transaction data marshalling/unmarshalling for inter-service communication (Fund Transfer, Letter of Credit, Bank Guarantee flows), and XML message structures exchanged with downstream banking systems.</w:t>
      </w:r>
    </w:p>
    <w:p>
      <w:pPr>
        <w:spacing w:before="60" w:after="80"/>
      </w:pPr>
      <w:r>
        <w:rPr>
          <w:rFonts w:ascii="Arial" w:cs="Arial" w:eastAsia="Arial" w:hAnsi="Arial"/>
          <w:sz w:val="22"/>
          <w:szCs w:val="22"/>
        </w:rPr>
        <w:t xml:space="preserve">JAXB uses javax.xml.bind.* which becomes jakarta.xml.bind.* in Jakarta EE 10. This is a medium-risk migration handled by OpenRewrite automation. Jakarta EE 10 on EAP 8 includes the full JAXB implementation (jakarta.xml.bind), so the JAXB layer will continue to function after the namespace rename with no structural changes required.</w:t>
      </w:r>
    </w:p>
    <w:p>
      <w:pPr>
        <w:spacing w:before="40" w:after="40"/>
      </w:pPr>
      <w:r>
        <w:rPr>
          <w:rFonts w:ascii="Arial" w:cs="Arial" w:eastAsia="Arial" w:hAnsi="Arial"/>
          <w:b/>
          <w:sz w:val="22"/>
          <w:szCs w:val="22"/>
          <w:color w:val="1F4E79"/>
        </w:rPr>
        <w:t xml:space="preserve">Summary: Castor (PSML) — HIGH Java 17 Risk, replace with JAXB or dom4j. JAXB (EAI) — MEDIUM Risk, OpenRewrite handles javax.xml.bind → jakarta.xml.bind namespace rename automatically.</w:t>
      </w:r>
    </w:p>
    <w:p>
      <w:pPr>
        <w:spacing w:before="40" w:after="40"/>
      </w:pPr>
      <w:r>
        <w:t xml:space="preserve"/>
      </w:r>
    </w:p>
    <w:p>
      <w:pPr>
        <w:pStyle w:val="Heading1"/>
        <w:spacing w:before="400" w:after="120"/>
      </w:pPr>
      <w:r>
        <w:rPr>
          <w:rFonts w:ascii="Arial" w:cs="Arial" w:eastAsia="Arial" w:hAnsi="Arial"/>
          <w:b/>
          <w:bCs/>
          <w:color w:val="1F4E79"/>
          <w:sz w:val="34"/>
          <w:szCs w:val="34"/>
        </w:rPr>
        <w:t xml:space="preserve">3. Full Workspace Import Audit — 28 March 2026</w:t>
      </w:r>
    </w:p>
    <w:p>
      <w:pPr>
        <w:pBdr>
          <w:bottom w:val="single" w:color="CCCCCC" w:sz="4" w:space="1"/>
        </w:pBdr>
        <w:spacing w:before="120" w:after="120"/>
      </w:pPr>
      <w:r>
        <w:t xml:space="preserve"/>
      </w:r>
    </w:p>
    <w:p>
      <w:pPr>
        <w:spacing w:before="80" w:after="80"/>
      </w:pPr>
      <w:r>
        <w:rPr>
          <w:rFonts w:ascii="Arial" w:cs="Arial" w:eastAsia="Arial" w:hAnsi="Arial"/>
          <w:sz w:val="22"/>
          <w:szCs w:val="22"/>
        </w:rPr>
        <w:t xml:space="preserve">A systematic import analysis was conducted on the full GEB workspace source using Windows CMD findstr commands. Every .java file under C:\setup\SourceCode\SGCode2\geb_uob_portal was scanned, all import statements extracted, sorted, and deduplicated.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53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Total import statements across workspace</w:t>
            </w:r>
          </w:p>
        </w:tc>
        <w:tc>
          <w:tcPr>
            <w:tcW w:type="dxa" w:w="5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68,420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unique import package paths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4,321</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Analysis date</w:t>
            </w:r>
          </w:p>
        </w:tc>
        <w:tc>
          <w:tcPr>
            <w:tcW w:type="dxa" w:w="5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28 March 2026</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path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C:\setup\SourceCode\SGCode2\geb_uob_portal</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Branch</w:t>
            </w:r>
          </w:p>
        </w:tc>
        <w:tc>
          <w:tcPr>
            <w:tcW w:type="dxa" w:w="5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feature/version-37.1_java8_SG_JBOSS8_POC</w:t>
            </w:r>
          </w:p>
        </w:tc>
      </w:tr>
    </w:tbl>
    <w:p>
      <w:pPr>
        <w:spacing w:before="40" w:after="40"/>
      </w:pPr>
      <w:r>
        <w:t xml:space="preserve"/>
      </w:r>
    </w:p>
    <w:p>
      <w:pPr>
        <w:pStyle w:val="Heading2"/>
        <w:spacing w:before="280" w:after="100"/>
      </w:pPr>
      <w:r>
        <w:rPr>
          <w:rFonts w:ascii="Arial" w:cs="Arial" w:eastAsia="Arial" w:hAnsi="Arial"/>
          <w:b/>
          <w:bCs/>
          <w:color w:val="2E75B6"/>
          <w:sz w:val="26"/>
          <w:szCs w:val="26"/>
        </w:rPr>
        <w:t xml:space="preserve">3.1 Codebase Dependency Analysis — What The Import Scan Reveals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2200"/>
        <w:gridCol w:w="1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Package Prefix</w:t>
            </w:r>
          </w:p>
        </w:tc>
        <w:tc>
          <w:tcPr>
            <w:tcW w:type="dxa" w:w="16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Unique Imports</w:t>
            </w:r>
          </w:p>
        </w:tc>
        <w:tc>
          <w:tcPr>
            <w:tcW w:type="dxa" w:w="1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 of Total</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What It Is</w:t>
            </w:r>
          </w:p>
        </w:tc>
        <w:tc>
          <w:tcPr>
            <w:tcW w:type="dxa" w:w="19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Migration Consideration</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com.misys.portal.*</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2,382</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55.1%</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Finastra + UOB custom business logic — the application itself</w:t>
            </w:r>
          </w:p>
        </w:tc>
        <w:tc>
          <w:tcPr>
            <w:tcW w:type="dxa" w:w="1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 Jakarta namespace dependency. This is Finastra and UOB custom banking code — the business logic layer. The migration infrastructure changes around this code, not inside it. However each class that extends a Turbine or Spring base class will need compilation verification as those base classes evolve.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Java SDK</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Java SDK classes are not affected by the javax→jakarta namespace change. However the Java version uplift from Java 8 to Java 17 introduces strong encapsulation of internal JDK APIs (module system). Any code using sun.* or internal reflection patterns will surface during Java 17 compatibility testing. This includes third-party libraries bundled in the application that were built for Java 8.</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javax.*</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160</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3.7%</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Jakarta migration target</w:t>
            </w:r>
          </w:p>
        </w:tc>
        <w:tc>
          <w:tcPr>
            <w:tcW w:type="dxa" w:w="1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Every javax.* import must become jakarta.* for JBoss EAP 8 compatibility. These 160 import lines represent the visible namespace surface. OpenRewrite can automate the rename across source files. What OpenRewrite cannot detect are runtime string references to javax class names, reflection-based instantiation, and configuration files that reference javax class paths by string. These require targeted code review beyond the import scan.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org.apache.turbine.*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Finastra-customized Turbine bundle (Apache core + GTP services)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Turbine is the structural heart of GEB. It controls every request, every service, and every module lifecycle. The version leap from 2.3.3 to 7.0 spans four major releases, each introducing architectural changes — the pipeline model, the security framework, the service container, and the Fulcrum component integration all evolved significantly. Critically the turbine.jar in GEB is not standard Apache Turbine — Finastra bundled their own GTP services (GTPInitializationService, GTPAuthenticationService, GTPPoolBrokerService and others) inside it. The impact of these internal architectural changes on GEB business logic requires deep structured analysis. The path exists but the full depth of the journey is what the assessment phase will map.</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org.springframework.*</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76</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1.8%</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Spring framework</w:t>
            </w:r>
          </w:p>
        </w:tc>
        <w:tc>
          <w:tcPr>
            <w:tcW w:type="dxa" w:w="1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Spring is used in the WSService layer — the REST API bridge between GEB and UOB Infinity. Spring 6 requires Jakarta EE and Java 17. The Spring 4 to Spring 6 gap is significant: several APIs were deprecated and removed across Spring 5 and 6, including the Spring MVC Portlet module which was deleted in Spring 5. The WSService layer must be assessed class by class to understand which Spring APIs are in active use and whether compatible replacements exist in Spring 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org.apache.ecs.*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 builder (ECS)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ECS (Element Construction Set) is a Java-only HTML generation library with no javax or Jakarta dependency. It predates modern web frameworks and is used in GEB for programmatic HTML building. The primary consideration is Java 17 runtime compatibility, which requires verification. Its usage pattern in GEB needs to be understood — whether it appears in production rendering paths or supporting utility code affects the priority of this assessment.</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org.apache.commons.*</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61</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1.4%</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Apache Commons utilities</w:t>
            </w:r>
          </w:p>
        </w:tc>
        <w:tc>
          <w:tcPr>
            <w:tcW w:type="dxa" w:w="1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Apache Commons libraries are foundational utilities used across the application — commons-lang, commons-collections, commons-io, commons-dbcp among others. Several of the versions bundled in GEB carry known CVEs (commons-fileupload, commons-httpclient). Beyond security, the older versions were built for Java 6/7 and their behaviour under Java 17 strong encapsulation requires verification. Upgrades are well-documented but each library version change carries its own API compatibility surface that must be tested within GEB context.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org.apache.torque.*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ORM — Torque 3.1.1 (core tables, XSL queries, Peer classes)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Torque 3.1.1 is used across GEB in multiple patterns — core table processing, XSL-driven query flows, and legacy ORM Peer class operations. There is no Jakarta-compatible version of Torque 3. The import count of 21 reflects direct Torque API references but Torque’s influence extends further through generated Peer classes and the village ResultSet handling layer. Each usage point requires individual assessment to understand what the Torque call is doing and what the appropriate forward path is. No schema.xml was found in the workspace, which adds complexity to understanding the full generated class dependency surface.</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com.workingdogs.village.*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9</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0.2%</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Torque ResultSet handler</w:t>
            </w:r>
          </w:p>
        </w:tc>
        <w:tc>
          <w:tcPr>
            <w:tcW w:type="dxa" w:w="1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Village is the ResultSet handling companion library to Torque 3. Its usage is directly tied to Torque query result processing. The forward path for Village is determined by the decisions made for Torque — they must be assessed and resolved together as a paired dependency.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org.apache.velocity.*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Template engine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1 direct Velocity import exists in the entire workspace, confirming that Velocity is accessed exclusively through GTPDefaultTemplateEngineService — Finastra’s own abstraction layer. Velocity 1.7 must move to Velocity Engine 2.x for Jakarta compatibility. The abstraction means the upgrade surface is concentrated in the service implementation rather than spread across the codebase. The hundreds of .vm template files use Velocity syntax that is largely backward compatible, but each template must be verified in a running environment.</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com.misys.portal.jetspeed.*</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13</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0.3%</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Portal engine (internal)</w:t>
            </w:r>
          </w:p>
        </w:tc>
        <w:tc>
          <w:tcPr>
            <w:tcW w:type="dxa" w:w="1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The Jetspeed portal engine is fully in source within com.misys.portal.jetspeed — this is one of the most significant findings of this assessment. Finastra embedded the 1998 Apache Jetspeed source and built their own portal layer on top of it. There is no black-box JAR dependency. The javax references within this layer are addressable through the same structured analysis applied to the rest of the codebase. The PSML page composition model, portlet lifecycle, and portal security are all owned code.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org.springframework (jboss)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JBoss-specific config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These are JBoss-specific Spring integration configuration references. Their forward path is determined alongside the main Spring framework assessment. JBoss EAP 8 module configuration changes will affect how Spring is wired into the container — this requires verification against EAP 8 deployment descriptor requirements.</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net.sf.*</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0.1%</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Minor third-party libs</w:t>
            </w:r>
          </w:p>
        </w:tc>
        <w:tc>
          <w:tcPr>
            <w:tcW w:type="dxa" w:w="1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Minor third-party utility libraries under the net.sf namespace. These require Java 17 runtime compatibility verification. The specific libraries and their usage context within GEB will be identified during the detailed dependency assessment phase.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Other / unclassified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~1,157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Third-party utilities, Finastra product JARs, XML/crypto/document libraries — detailed classification in progress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segment represents third-party utility and integration libraries that have not yet been individually classified — including XML processing libraries (Xalan, Xerces, dom4j), cryptography and security utilities (BC-FIPS, Nimbus JOSE), document generation libraries (iText, FOP, JFreeChart), messaging clients (ActiveMQ), JSON processing (Jackson, Gson), and various Finastra-specific product JARs (meridian, utils, xcl and others). These libraries carry no direct Jakarta namespace dependency but each requires Java 17 compatibility verification. Several of the Finastra-specific JARs (meridian.jar, utils-4.2.30.2-SNAPSHOT.jar, xcl.jar) have no publicly documented upgrade path and represent an area where deeper vendor-level understanding is needed. This segment also includes the Castor XML library used for PSML parsing — Castor was abandoned in 2014 and its reflection-based binding mechanism is known to conflict with Java 17 strong encapsulation. JAXB (jakarta.xml.bind) is the identified forward path for the XML binding layer. The full classification of this segment is the next structured analysis activity.</w:t>
            </w:r>
          </w:p>
        </w:tc>
      </w:tr>
    </w:tbl>
    <w:p>
      <w:pPr>
        <w:spacing w:before="40" w:after="40"/>
      </w:pPr>
      <w:r>
        <w:t xml:space="preserve"/>
      </w:r>
    </w:p>
    <w:p>
      <w:pPr>
        <w:pStyle w:val="Heading2"/>
        <w:spacing w:before="280" w:after="100"/>
      </w:pPr>
      <w:r>
        <w:rPr>
          <w:rFonts w:ascii="Arial" w:cs="Arial" w:eastAsia="Arial" w:hAnsi="Arial"/>
          <w:b/>
          <w:bCs/>
          <w:color w:val="2E75B6"/>
          <w:sz w:val="26"/>
          <w:szCs w:val="26"/>
        </w:rPr>
        <w:t xml:space="preserve">3.2 The javax.* Breakdown — The Migration Target</w:t>
      </w:r>
    </w:p>
    <w:p>
      <w:pPr>
        <w:spacing w:before="80" w:after="80"/>
      </w:pPr>
      <w:r>
        <w:rPr>
          <w:rFonts w:ascii="Arial" w:cs="Arial" w:eastAsia="Arial" w:hAnsi="Arial"/>
          <w:sz w:val="22"/>
          <w:szCs w:val="22"/>
        </w:rPr>
        <w:t xml:space="preserve">The 160 javax.* import lines break down across the following sub-packages. Each sub-package has a corresponding Jakarta equivalent and each has an automated rename path — however the rename is the first step of migration for each area, not the complete step. Hidden usage patterns within each sub-package will surface during compatibility testing.</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4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javax.* Package</w:t>
            </w:r>
          </w:p>
        </w:tc>
        <w:tc>
          <w:tcPr>
            <w:tcW w:type="dxa" w:w="2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What It Is</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Jakarta Equivalent</w:t>
            </w:r>
          </w:p>
        </w:tc>
        <w:tc>
          <w:tcPr>
            <w:tcW w:type="dxa" w:w="24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OpenRewrite?</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javax.servlet.*</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Servlet API — HttpServletRequest, HttpSession, ServletContext</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jakarta.servlet.*</w:t>
            </w:r>
          </w:p>
        </w:tc>
        <w:tc>
          <w:tcPr>
            <w:tcW w:type="dxa" w:w="24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Yes — automatic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javax.sql.*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 DataSource, Connection pooling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jakarta.sql.*</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automatic</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javax.naming.*</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JNDI — InitialContext, datasource lookup</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jakarta.naming.*</w:t>
            </w:r>
          </w:p>
        </w:tc>
        <w:tc>
          <w:tcPr>
            <w:tcW w:type="dxa" w:w="24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Yes — automatic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javax.validation.*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Bean validation — @NotNull, @Size etc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jakarta.validation.*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automatic</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javax.xml.*</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XML processing APIs</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jakarta.xml.*</w:t>
            </w:r>
          </w:p>
        </w:tc>
        <w:tc>
          <w:tcPr>
            <w:tcW w:type="dxa" w:w="24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Yes — automatic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javax.crypto.*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Encryption — used by E2EEService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jakarta.crypto.*</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automatic</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javax.annotation.*</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Common annotations</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jakarta.annotation.*</w:t>
            </w:r>
          </w:p>
        </w:tc>
        <w:tc>
          <w:tcPr>
            <w:tcW w:type="dxa" w:w="24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Yes — automatic</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thick" w:color="2E75B6" w:sz="14"/>
              <w:bottom w:val="single" w:color="2E75B6" w:sz="3"/>
              <w:right w:val="single" w:color="2E75B6" w:sz="3"/>
            </w:tcBorders>
            <w:shd w:fill="EBF5FB" w:val="clear"/>
            <w:tcMar>
              <w:top w:type="dxa" w:w="120"/>
              <w:left w:type="dxa" w:w="200"/>
              <w:bottom w:type="dxa" w:w="120"/>
              <w:right w:type="dxa" w:w="160"/>
            </w:tcMar>
          </w:tcPr>
          <w:p>
            <w:pPr>
              <w:spacing w:before="0" w:after="60"/>
            </w:pPr>
            <w:r>
              <w:rPr>
                <w:rFonts w:ascii="Arial" w:cs="Arial" w:eastAsia="Arial" w:hAnsi="Arial"/>
                <w:b/>
                <w:bCs/>
                <w:color w:val="2E75B6"/>
                <w:sz w:val="20"/>
                <w:szCs w:val="20"/>
              </w:rPr>
              <w:t xml:space="preserve">Key Insight on javax.* Count</w:t>
            </w:r>
          </w:p>
          <w:p>
            <w:pPr>
              <w:spacing w:before="0" w:after="0"/>
            </w:pPr>
            <w:r>
              <w:rPr>
                <w:rFonts w:ascii="Arial" w:cs="Arial" w:eastAsia="Arial" w:hAnsi="Arial"/>
                <w:sz w:val="20"/>
                <w:szCs w:val="20"/>
              </w:rPr>
              <w:t xml:space="preserve">160 unique javax.* import lines represents the visible namespace migration surface. OpenRewrite with a Maven build can automate the import renames across source files. However the javax migration is not complete with import renames alone — runtime string references, reflection patterns, and configuration file class paths require targeted code review. The import count establishes the starting boundary of the analysis, not its conclusion.</w:t>
            </w:r>
          </w:p>
        </w:tc>
      </w:tr>
    </w:tbl>
    <w:p>
      <w:pPr>
        <w:spacing w:before="40" w:after="40"/>
      </w:pPr>
      <w:r>
        <w:t xml:space="preserve"/>
      </w:r>
    </w:p>
    <w:p>
      <w:pPr>
        <w:pStyle w:val="Heading1"/>
        <w:spacing w:before="400" w:after="120"/>
      </w:pPr>
      <w:r>
        <w:rPr>
          <w:rFonts w:ascii="Arial" w:cs="Arial" w:eastAsia="Arial" w:hAnsi="Arial"/>
          <w:b/>
          <w:bCs/>
          <w:color w:val="1F4E79"/>
          <w:sz w:val="34"/>
          <w:szCs w:val="34"/>
        </w:rPr>
        <w:t xml:space="preserve">4. Key Findings — What Direct Code Analysis Has Revealed</w:t>
      </w:r>
    </w:p>
    <w:p>
      <w:pPr>
        <w:pBdr>
          <w:bottom w:val="single" w:color="CCCCCC" w:sz="4" w:space="1"/>
        </w:pBdr>
        <w:spacing w:before="120" w:after="120"/>
      </w:pPr>
      <w:r>
        <w:t xml:space="preserve"/>
      </w:r>
    </w:p>
    <w:p>
      <w:pPr>
        <w:spacing w:before="80" w:after="80"/>
      </w:pPr>
      <w:r>
        <w:rPr>
          <w:rFonts w:ascii="Arial" w:cs="Arial" w:eastAsia="Arial" w:hAnsi="Arial"/>
          <w:sz w:val="22"/>
          <w:szCs w:val="22"/>
        </w:rPr>
        <w:t xml:space="preserve">The following findings emerged from the deep technical analysis conducted on 28 March 2026. Each finding directly impacts the feasibility and approach of the EAP 8 migration.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2E7D32" w:sz="1"/>
              <w:left w:val="single" w:color="2E7D32" w:sz="1"/>
              <w:bottom w:val="single" w:color="2E7D32" w:sz="1"/>
              <w:right w:val="none" w:color="FFFFFF" w:sz="0"/>
            </w:tcBorders>
            <w:shd w:fill="2E7D32"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1</w:t>
            </w:r>
          </w:p>
        </w:tc>
        <w:tc>
          <w:tcPr>
            <w:tcW w:type="dxa" w:w="8960"/>
            <w:tcBorders>
              <w:top w:val="single" w:color="2E7D32" w:sz="1"/>
              <w:left w:val="none" w:color="FFFFFF" w:sz="0"/>
              <w:bottom w:val="single" w:color="2E7D32" w:sz="1"/>
              <w:right w:val="single" w:color="2E7D32" w:sz="1"/>
            </w:tcBorders>
            <w:shd w:fill="E8F5E9" w:val="clear"/>
            <w:tcMar>
              <w:top w:type="dxa" w:w="100"/>
              <w:left w:type="dxa" w:w="160"/>
              <w:bottom w:type="dxa" w:w="100"/>
              <w:right w:type="dxa" w:w="120"/>
            </w:tcMar>
          </w:tcPr>
          <w:p>
            <w:pPr>
              <w:spacing w:before="0" w:after="40"/>
            </w:pPr>
            <w:r>
              <w:rPr>
                <w:rFonts w:ascii="Arial" w:cs="Arial" w:eastAsia="Arial" w:hAnsi="Arial"/>
                <w:b/>
                <w:bCs/>
                <w:color w:val="2E7D32"/>
                <w:sz w:val="21"/>
                <w:szCs w:val="21"/>
              </w:rPr>
              <w:t xml:space="preserve">FINDING 1 — javax.portlet.* Source Scan Result</w:t>
            </w:r>
          </w:p>
          <w:p>
            <w:pPr>
              <w:spacing w:before="0" w:after="0"/>
            </w:pPr>
            <w:r>
              <w:rPr>
                <w:rFonts w:ascii="Arial" w:cs="Arial" w:eastAsia="Arial" w:hAnsi="Arial"/>
                <w:sz w:val="20"/>
                <w:szCs w:val="20"/>
              </w:rPr>
              <w:t xml:space="preserve">A global search for 'javax.portlet' across all Java files returned ZERO matches. Finastra built their portlet layer against their own com.misys.portal.core.portal.Portlet interface — a 1998 pre-standard design predating JSR-168. The portlet-api-1.0.jar in the classpath is not imported by any source file. This was previously discussed as a potential blocker. The import scan confirms no JSR-168 javax.portlet dependency exists in the source. What this means for the portal layer going forward is part of the ongoing architectural assessment.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2E7D32" w:sz="1"/>
              <w:left w:val="single" w:color="2E7D32" w:sz="1"/>
              <w:bottom w:val="single" w:color="2E7D32" w:sz="1"/>
              <w:right w:val="none" w:color="FFFFFF" w:sz="0"/>
            </w:tcBorders>
            <w:shd w:fill="2E7D32"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2</w:t>
            </w:r>
          </w:p>
        </w:tc>
        <w:tc>
          <w:tcPr>
            <w:tcW w:type="dxa" w:w="8960"/>
            <w:tcBorders>
              <w:top w:val="single" w:color="2E7D32" w:sz="1"/>
              <w:left w:val="none" w:color="FFFFFF" w:sz="0"/>
              <w:bottom w:val="single" w:color="2E7D32" w:sz="1"/>
              <w:right w:val="single" w:color="2E7D32" w:sz="1"/>
            </w:tcBorders>
            <w:shd w:fill="E8F5E9" w:val="clear"/>
            <w:tcMar>
              <w:top w:type="dxa" w:w="100"/>
              <w:left w:type="dxa" w:w="160"/>
              <w:bottom w:type="dxa" w:w="100"/>
              <w:right w:type="dxa" w:w="120"/>
            </w:tcMar>
          </w:tcPr>
          <w:p>
            <w:pPr>
              <w:spacing w:before="0" w:after="40"/>
            </w:pPr>
            <w:r>
              <w:rPr>
                <w:rFonts w:ascii="Arial" w:cs="Arial" w:eastAsia="Arial" w:hAnsi="Arial"/>
                <w:b/>
                <w:bCs/>
                <w:color w:val="2E7D32"/>
                <w:sz w:val="21"/>
                <w:szCs w:val="21"/>
              </w:rPr>
              <w:t xml:space="preserve">FINDING 2 — Jetspeed Portal Engine Source Is Owned Code</w:t>
            </w:r>
          </w:p>
          <w:p>
            <w:pPr>
              <w:spacing w:before="0" w:after="0"/>
            </w:pPr>
            <w:r>
              <w:rPr>
                <w:rFonts w:ascii="Arial" w:cs="Arial" w:eastAsia="Arial" w:hAnsi="Arial"/>
                <w:sz w:val="20"/>
                <w:szCs w:val="20"/>
              </w:rPr>
              <w:t xml:space="preserve">The com.misys.portal.jetspeed project contains the complete portal engine — Finastra embedded the original 1998 Apache Jetspeed source and built their own portal controllers, portlet factory, PSML manager, and portlet cache on top of it. This is owned source code with no external Jetspeed JAR dependency. The significance of this finding is that the portal engine is not a black-box constraint — it can be traced, understood, and assessed directly. The scope of work required to evolve this owned portal source under Turbine 7 and Java 17 is what the assessment phase continues to determine.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2E7D32" w:sz="1"/>
              <w:left w:val="single" w:color="2E7D32" w:sz="1"/>
              <w:bottom w:val="single" w:color="2E7D32" w:sz="1"/>
              <w:right w:val="none" w:color="FFFFFF" w:sz="0"/>
            </w:tcBorders>
            <w:shd w:fill="2E7D32"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3</w:t>
            </w:r>
          </w:p>
        </w:tc>
        <w:tc>
          <w:tcPr>
            <w:tcW w:type="dxa" w:w="8960"/>
            <w:tcBorders>
              <w:top w:val="single" w:color="2E7D32" w:sz="1"/>
              <w:left w:val="none" w:color="FFFFFF" w:sz="0"/>
              <w:bottom w:val="single" w:color="2E7D32" w:sz="1"/>
              <w:right w:val="single" w:color="2E7D32" w:sz="1"/>
            </w:tcBorders>
            <w:shd w:fill="E8F5E9" w:val="clear"/>
            <w:tcMar>
              <w:top w:type="dxa" w:w="100"/>
              <w:left w:type="dxa" w:w="160"/>
              <w:bottom w:type="dxa" w:w="100"/>
              <w:right w:type="dxa" w:w="120"/>
            </w:tcMar>
          </w:tcPr>
          <w:p>
            <w:pPr>
              <w:spacing w:before="0" w:after="40"/>
            </w:pPr>
            <w:r>
              <w:rPr>
                <w:rFonts w:ascii="Arial" w:cs="Arial" w:eastAsia="Arial" w:hAnsi="Arial"/>
                <w:b/>
                <w:bCs/>
                <w:color w:val="2E7D32"/>
                <w:sz w:val="21"/>
                <w:szCs w:val="21"/>
              </w:rPr>
              <w:t xml:space="preserve">FINDING 3 — Torque Footprint Requires Tracing Beyond Import Count</w:t>
            </w:r>
          </w:p>
          <w:p>
            <w:pPr>
              <w:spacing w:before="0" w:after="0"/>
            </w:pPr>
            <w:r>
              <w:rPr>
                <w:rFonts w:ascii="Arial" w:cs="Arial" w:eastAsia="Arial" w:hAnsi="Arial"/>
                <w:sz w:val="20"/>
                <w:szCs w:val="20"/>
              </w:rPr>
              <w:t xml:space="preserve">The import scan identified 21 direct org.apache.torque.* references in source files. However Torque’s actual presence in GEB extends well beyond these import lines. Torque-generated Peer classes are called from inside portlet business logic during data retrieval and persistence operations. The Village ResultSet library processes Torque query outputs. XSL-driven query flows interact with Torque-generated data structures. No schema.xml was found in the workspace — the original code generation source has not been preserved alongside the generated classes. This means the full Torque footprint cannot be determined from a static import scan. It requires tracing through the business logic of each portlet that handles core banking data operations. That tracing is an active part of the assessment work.</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2E7D32" w:sz="1"/>
              <w:left w:val="single" w:color="2E7D32" w:sz="1"/>
              <w:bottom w:val="single" w:color="2E7D32" w:sz="1"/>
              <w:right w:val="none" w:color="FFFFFF" w:sz="0"/>
            </w:tcBorders>
            <w:shd w:fill="2E7D32"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4</w:t>
            </w:r>
          </w:p>
        </w:tc>
        <w:tc>
          <w:tcPr>
            <w:tcW w:type="dxa" w:w="8960"/>
            <w:tcBorders>
              <w:top w:val="single" w:color="2E7D32" w:sz="1"/>
              <w:left w:val="none" w:color="FFFFFF" w:sz="0"/>
              <w:bottom w:val="single" w:color="2E7D32" w:sz="1"/>
              <w:right w:val="single" w:color="2E7D32" w:sz="1"/>
            </w:tcBorders>
            <w:shd w:fill="E8F5E9" w:val="clear"/>
            <w:tcMar>
              <w:top w:type="dxa" w:w="100"/>
              <w:left w:type="dxa" w:w="160"/>
              <w:bottom w:type="dxa" w:w="100"/>
              <w:right w:type="dxa" w:w="120"/>
            </w:tcMar>
          </w:tcPr>
          <w:p>
            <w:pPr>
              <w:spacing w:before="0" w:after="40"/>
            </w:pPr>
            <w:r>
              <w:rPr>
                <w:rFonts w:ascii="Arial" w:cs="Arial" w:eastAsia="Arial" w:hAnsi="Arial"/>
                <w:b/>
                <w:bCs/>
                <w:color w:val="2E7D32"/>
                <w:sz w:val="21"/>
                <w:szCs w:val="21"/>
              </w:rPr>
              <w:t xml:space="preserve">FINDING 4 — XSL Stylesheets and Dojo UI Have No Server Migration Dependency</w:t>
            </w:r>
          </w:p>
          <w:p>
            <w:pPr>
              <w:spacing w:before="0" w:after="0"/>
            </w:pPr>
            <w:r>
              <w:rPr>
                <w:rFonts w:ascii="Arial" w:cs="Arial" w:eastAsia="Arial" w:hAnsi="Arial"/>
                <w:sz w:val="20"/>
                <w:szCs w:val="20"/>
              </w:rPr>
              <w:t xml:space="preserve">XSL files are pure XML with no Java or Jakarta dependency — the server migration does not touch them. Dojo runs entirely in the browser with no server-side dependency. These two layers together represent a significant portion of the UI surface area. Their independence from the server infrastructure is a meaningful finding for understanding the overall scope.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2E75B6" w:sz="1"/>
              <w:left w:val="single" w:color="2E75B6" w:sz="1"/>
              <w:bottom w:val="single" w:color="2E75B6" w:sz="1"/>
              <w:right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5</w:t>
            </w:r>
          </w:p>
        </w:tc>
        <w:tc>
          <w:tcPr>
            <w:tcW w:type="dxa" w:w="8960"/>
            <w:tcBorders>
              <w:top w:val="single" w:color="2E75B6" w:sz="1"/>
              <w:left w:val="none" w:color="FFFFFF" w:sz="0"/>
              <w:bottom w:val="single" w:color="2E75B6" w:sz="1"/>
              <w:right w:val="single" w:color="2E75B6" w:sz="1"/>
            </w:tcBorders>
            <w:shd w:fill="EBF5FB" w:val="clear"/>
            <w:tcMar>
              <w:top w:type="dxa" w:w="100"/>
              <w:left w:type="dxa" w:w="160"/>
              <w:bottom w:type="dxa" w:w="100"/>
              <w:right w:type="dxa" w:w="120"/>
            </w:tcMar>
          </w:tcPr>
          <w:p>
            <w:pPr>
              <w:spacing w:before="0" w:after="40"/>
            </w:pPr>
            <w:r>
              <w:rPr>
                <w:rFonts w:ascii="Arial" w:cs="Arial" w:eastAsia="Arial" w:hAnsi="Arial"/>
                <w:b/>
                <w:bCs/>
                <w:color w:val="2E75B6"/>
                <w:sz w:val="21"/>
                <w:szCs w:val="21"/>
              </w:rPr>
              <w:t xml:space="preserve">FINDING 5 — Turbine 7.0 Provides a Jakarta-Compatible Forward Path</w:t>
            </w:r>
          </w:p>
          <w:p>
            <w:pPr>
              <w:spacing w:before="0" w:after="0"/>
            </w:pPr>
            <w:r>
              <w:rPr>
                <w:rFonts w:ascii="Arial" w:cs="Arial" w:eastAsia="Arial" w:hAnsi="Arial"/>
                <w:sz w:val="20"/>
                <w:szCs w:val="20"/>
              </w:rPr>
              <w:t xml:space="preserve">Apache Turbine 7.0 has been released and supports Jakarta Servlet 5+, Java 17, and Torque 6.0. A forward path exists at the framework level. The work required to traverse that path in GEB’s specific context is significant. The GEB turbine.jar is not standard Apache Turbine — Finastra bundled their own GTP services inside it. The version gap spans four major releases with architectural changes to the service container, pipeline model, security framework, and Fulcrum component integration at each step. Every portlet’s business logic calls GTP services that live inside this bundle. How those service interfaces and behaviours change across the version gap, and what that means for GEB’s banking logic, is the primary question the deep assessment phase is structured to answer.</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2E75B6" w:sz="1"/>
              <w:left w:val="single" w:color="2E75B6" w:sz="1"/>
              <w:bottom w:val="single" w:color="2E75B6" w:sz="1"/>
              <w:right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6</w:t>
            </w:r>
          </w:p>
        </w:tc>
        <w:tc>
          <w:tcPr>
            <w:tcW w:type="dxa" w:w="8960"/>
            <w:tcBorders>
              <w:top w:val="single" w:color="2E75B6" w:sz="1"/>
              <w:left w:val="none" w:color="FFFFFF" w:sz="0"/>
              <w:bottom w:val="single" w:color="2E75B6" w:sz="1"/>
              <w:right w:val="single" w:color="2E75B6" w:sz="1"/>
            </w:tcBorders>
            <w:shd w:fill="EBF5FB" w:val="clear"/>
            <w:tcMar>
              <w:top w:type="dxa" w:w="100"/>
              <w:left w:type="dxa" w:w="160"/>
              <w:bottom w:type="dxa" w:w="100"/>
              <w:right w:type="dxa" w:w="120"/>
            </w:tcMar>
          </w:tcPr>
          <w:p>
            <w:pPr>
              <w:spacing w:before="0" w:after="40"/>
            </w:pPr>
            <w:r>
              <w:rPr>
                <w:rFonts w:ascii="Arial" w:cs="Arial" w:eastAsia="Arial" w:hAnsi="Arial"/>
                <w:b/>
                <w:bCs/>
                <w:color w:val="2E75B6"/>
                <w:sz w:val="21"/>
                <w:szCs w:val="21"/>
              </w:rPr>
              <w:t xml:space="preserve">FINDING 6 — javax.* Visible Namespace Surface Identified — 160 Import Lines</w:t>
            </w:r>
          </w:p>
          <w:p>
            <w:pPr>
              <w:spacing w:before="0" w:after="0"/>
            </w:pPr>
            <w:r>
              <w:rPr>
                <w:rFonts w:ascii="Arial" w:cs="Arial" w:eastAsia="Arial" w:hAnsi="Arial"/>
                <w:sz w:val="20"/>
                <w:szCs w:val="20"/>
              </w:rPr>
              <w:t xml:space="preserve">The import scan identified 160 unique javax.* import lines across 68,420 total imports. These represent the visible namespace migration surface — the classes explicitly declared at the top of source files. OpenRewrite with a Maven build can automate the rename of these import declarations. Beyond these 160 lines, there are usage patterns the import scan cannot detect — runtime string references to javax class names, reflection-based class instantiation, and configuration files that contain class path strings. These hidden usages will surface during compilation and integration testing after the automated rename is applied.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2E75B6" w:sz="1"/>
              <w:left w:val="single" w:color="2E75B6" w:sz="1"/>
              <w:bottom w:val="single" w:color="2E75B6" w:sz="1"/>
              <w:right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7</w:t>
            </w:r>
          </w:p>
        </w:tc>
        <w:tc>
          <w:tcPr>
            <w:tcW w:type="dxa" w:w="8960"/>
            <w:tcBorders>
              <w:top w:val="single" w:color="2E75B6" w:sz="1"/>
              <w:left w:val="none" w:color="FFFFFF" w:sz="0"/>
              <w:bottom w:val="single" w:color="2E75B6" w:sz="1"/>
              <w:right w:val="single" w:color="2E75B6" w:sz="1"/>
            </w:tcBorders>
            <w:shd w:fill="EBF5FB" w:val="clear"/>
            <w:tcMar>
              <w:top w:type="dxa" w:w="100"/>
              <w:left w:type="dxa" w:w="160"/>
              <w:bottom w:type="dxa" w:w="100"/>
              <w:right w:type="dxa" w:w="120"/>
            </w:tcMar>
          </w:tcPr>
          <w:p>
            <w:pPr>
              <w:spacing w:before="0" w:after="40"/>
            </w:pPr>
            <w:r>
              <w:rPr>
                <w:rFonts w:ascii="Arial" w:cs="Arial" w:eastAsia="Arial" w:hAnsi="Arial"/>
                <w:b/>
                <w:bCs/>
                <w:color w:val="2E75B6"/>
                <w:sz w:val="21"/>
                <w:szCs w:val="21"/>
              </w:rPr>
              <w:t xml:space="preserve">FINDING 7 — PoolBrokerService Is The Centralised Database Access Point</w:t>
            </w:r>
          </w:p>
          <w:p>
            <w:pPr>
              <w:spacing w:before="0" w:after="0"/>
            </w:pPr>
            <w:r>
              <w:rPr>
                <w:rFonts w:ascii="Arial" w:cs="Arial" w:eastAsia="Arial" w:hAnsi="Arial"/>
                <w:sz w:val="20"/>
                <w:szCs w:val="20"/>
              </w:rPr>
              <w:t xml:space="preserve">PoolBrokerService is Finastra’s own facade class that serves as the single database connection access point for GEB. The majority of database operations across all portlets go through this class. Its direct javax dependency is narrow — one javax.sql.DataSource import that becomes jakarta.sql.DataSource. However its role as the gateway for all database operations means that any change in how JBoss EAP 8 manages datasource provisioning and JNDI binding will surface through this class first. It is therefore a high-priority component for integration testing under the new environment, regardless of the simplicity of its namespace change.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856404" w:sz="1"/>
              <w:left w:val="single" w:color="856404" w:sz="1"/>
              <w:bottom w:val="single" w:color="856404" w:sz="1"/>
              <w:right w:val="none" w:color="FFFFFF" w:sz="0"/>
            </w:tcBorders>
            <w:shd w:fill="856404"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8</w:t>
            </w:r>
          </w:p>
        </w:tc>
        <w:tc>
          <w:tcPr>
            <w:tcW w:type="dxa" w:w="8960"/>
            <w:tcBorders>
              <w:top w:val="single" w:color="856404" w:sz="1"/>
              <w:left w:val="none" w:color="FFFFFF" w:sz="0"/>
              <w:bottom w:val="single" w:color="856404" w:sz="1"/>
              <w:right w:val="single" w:color="856404" w:sz="1"/>
            </w:tcBorders>
            <w:shd w:fill="FFF3CD" w:val="clear"/>
            <w:tcMar>
              <w:top w:type="dxa" w:w="100"/>
              <w:left w:type="dxa" w:w="160"/>
              <w:bottom w:type="dxa" w:w="100"/>
              <w:right w:type="dxa" w:w="120"/>
            </w:tcMar>
          </w:tcPr>
          <w:p>
            <w:pPr>
              <w:spacing w:before="0" w:after="40"/>
            </w:pPr>
            <w:r>
              <w:rPr>
                <w:rFonts w:ascii="Arial" w:cs="Arial" w:eastAsia="Arial" w:hAnsi="Arial"/>
                <w:b/>
                <w:bCs/>
                <w:color w:val="856404"/>
                <w:sz w:val="21"/>
                <w:szCs w:val="21"/>
              </w:rPr>
              <w:t xml:space="preserve">FINDING 8 — Spring Usage Is Concentrated in the WSService Layer</w:t>
            </w:r>
          </w:p>
          <w:p>
            <w:pPr>
              <w:spacing w:before="0" w:after="0"/>
            </w:pPr>
            <w:r>
              <w:rPr>
                <w:rFonts w:ascii="Arial" w:cs="Arial" w:eastAsia="Arial" w:hAnsi="Arial"/>
                <w:sz w:val="20"/>
                <w:szCs w:val="20"/>
              </w:rPr>
              <w:t xml:space="preserve">The 76 Spring import lines are primarily in the WSService layer — the Spring DispatcherServlet that handles UOB Infinity REST API calls (/geb/wsaction/*). This is architecturally separate from the main Turbine portal. The WSService layer is architecturally separate from the main Turbine portal, which means it can be assessed independently. However Spring 4 to Spring 6 is a significant version gap — multiple APIs were deprecated and removed, and the Spring MVC Portlet module was deleted in Spring 5. Each class in the WSService layer needs assessment against Spring 6 API compatibility before the scope of that migration is understood.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00000" w:sz="1"/>
              <w:left w:val="single" w:color="C00000" w:sz="1"/>
              <w:bottom w:val="single" w:color="C00000" w:sz="1"/>
              <w:right w:val="none" w:color="FFFFFF" w:sz="0"/>
            </w:tcBorders>
            <w:shd w:fill="C00000"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w:t>
            </w:r>
          </w:p>
        </w:tc>
        <w:tc>
          <w:tcPr>
            <w:tcW w:type="dxa" w:w="8960"/>
            <w:tcBorders>
              <w:top w:val="single" w:color="C00000" w:sz="1"/>
              <w:left w:val="none" w:color="FFFFFF" w:sz="0"/>
              <w:bottom w:val="single" w:color="C00000" w:sz="1"/>
              <w:right w:val="single" w:color="C00000" w:sz="1"/>
            </w:tcBorders>
            <w:shd w:fill="FDEDED" w:val="clear"/>
            <w:tcMar>
              <w:top w:type="dxa" w:w="100"/>
              <w:left w:type="dxa" w:w="160"/>
              <w:bottom w:type="dxa" w:w="100"/>
              <w:right w:type="dxa" w:w="120"/>
            </w:tcMar>
          </w:tcPr>
          <w:p>
            <w:pPr>
              <w:spacing w:before="0" w:after="40"/>
            </w:pPr>
            <w:r>
              <w:rPr>
                <w:rFonts w:ascii="Arial" w:cs="Arial" w:eastAsia="Arial" w:hAnsi="Arial"/>
                <w:b/>
                <w:bCs/>
                <w:color w:val="C00000"/>
                <w:sz w:val="21"/>
                <w:szCs w:val="21"/>
              </w:rPr>
              <w:t xml:space="preserve">FINDING 9 — Ant Build Conversion Is Required Before Automated Tooling Can Be Applied</w:t>
            </w:r>
          </w:p>
          <w:p>
            <w:pPr>
              <w:spacing w:before="0" w:after="0"/>
            </w:pPr>
            <w:r>
              <w:rPr>
                <w:rFonts w:ascii="Arial" w:cs="Arial" w:eastAsia="Arial" w:hAnsi="Arial"/>
                <w:sz w:val="20"/>
                <w:szCs w:val="20"/>
              </w:rPr>
              <w:t xml:space="preserve">The GEB build system is Apache Ant. OpenRewrite and other automated migration tools require Maven or Gradle to run. Converting the Ant build to Maven is therefore a prerequisite for applying any automated tooling to the codebase. The conversion also requires resolving all JAR dependencies including Finastra-specific JARs that are not available in public Maven repositories. This work feeds directly into the dependency inventory and is an active item on the roadmap.</w:t>
            </w:r>
          </w:p>
        </w:tc>
      </w:tr>
    </w:tbl>
    <w:p>
      <w:pPr>
        <w:spacing w:before="40" w:after="40"/>
      </w:pPr>
      <w:r>
        <w:t xml:space="preserve"/>
      </w:r>
    </w:p>
    <w:p>
      <w:pPr>
        <w:pStyle w:val="Heading1"/>
        <w:spacing w:before="400" w:after="120"/>
      </w:pPr>
      <w:r>
        <w:rPr>
          <w:rFonts w:ascii="Arial" w:cs="Arial" w:eastAsia="Arial" w:hAnsi="Arial"/>
          <w:b/>
          <w:bCs/>
          <w:color w:val="1F4E79"/>
          <w:sz w:val="34"/>
          <w:szCs w:val="34"/>
        </w:rPr>
        <w:t xml:space="preserve">5. Component Assessment Status Map</w:t>
      </w:r>
    </w:p>
    <w:p>
      <w:pPr>
        <w:pBdr>
          <w:bottom w:val="single" w:color="CCCCCC"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500"/>
        <w:gridCol w:w="2400"/>
        <w:gridCol w:w="12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Current State</w:t>
            </w:r>
          </w:p>
        </w:tc>
        <w:tc>
          <w:tcPr>
            <w:tcW w:type="dxa" w:w="1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EAP 8 Risk</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What Analysis Has Found / What Comes Next</w:t>
            </w:r>
          </w:p>
        </w:tc>
        <w:tc>
          <w:tcPr>
            <w:tcW w:type="dxa" w:w="12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Scope Status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javax.portlet.*</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Zero direct imports found in source scan</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 JSR-168 source dependency found in import scan. Portlet architectural forward path under analysis.</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 JSR-168 namespace dependency found in source scan. Portal layer forward path under architectural assessment.</w:t>
            </w:r>
          </w:p>
        </w:tc>
        <w:tc>
          <w:tcPr>
            <w:tcW w:type="dxa" w:w="12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Under Assessment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Jetspeed portal engine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source in com.misys.portal.jetspeed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Owned source code. Portal engine migration scope under active analysis.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source owned in com.misys.portal.jetspeed. Scope of portal engine migration under analysis including interaction with Turbine 7 architecture changes.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 Assessment</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XSL / XSLT files</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Pure XML, no Java or Jakarta dependency</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 Jakarta or Java version dependency. Not in server migration scope.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 changes needed</w:t>
            </w:r>
          </w:p>
        </w:tc>
        <w:tc>
          <w:tcPr>
            <w:tcW w:type="dxa" w:w="12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Under Assessment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Dojo UI framework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Browser-side JavaScript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Jakarta or Java version dependency. Not in server migration scope.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changes needed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 Assessment</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javax.* (all)</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160 import lines</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Visible namespace surface identified via import scan. Hidden usage patterns require targeted code review beyond the rename.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OpenRewrite automated migration</w:t>
            </w:r>
          </w:p>
        </w:tc>
        <w:tc>
          <w:tcPr>
            <w:tcW w:type="dxa" w:w="12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Under Assessment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org.apache.turbine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 import lines, Turbine 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Structural heart of the application. Four-version architectural leap with GTP service bundle complexity. Business logic impact under deep analysis.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Turbine 7.0 exists and supports Jakarta. The GEB turbine.jar contains Finastra’s GTP service bundle alongside Apache Turbine core — not a standard JAR swap. Four major version gaps with architectural changes at each step. Impact on GEB business logic across 18+ banking modules is the primary focus of the structured assessment.</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 Assessment</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org.springframework</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76 import lines, Spring 4.2.9</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Significant Spring 4 to Spring 6 version gap. API removals require class-by-class compatibility assessment.</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Spring usage concentrated in WSService layer. Spring 4 to 6 gap includes API removals. Class-by-class compatibility assessment required to understand what is in active use and what the forward path is.</w:t>
            </w:r>
          </w:p>
        </w:tc>
        <w:tc>
          <w:tcPr>
            <w:tcW w:type="dxa" w:w="12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Under Assessment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Apache Torque 3.1.1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 import lines, no schema.xml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imports are the visible surface only. Generated Peer classes, XSL query patterns and Village layer extend the footprint. Individual usage analysis required.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Import count understates the footprint. Generated Peer classes called from portlet business logic. Village layer paired dependency. No schema.xml available. Individual tracing required through portlet code.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 Assessment</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Village 2.0</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9 import lines</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Paired dependency with Torque. Forward path determined by Torque analysis.</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Drops automatically with Torque</w:t>
            </w:r>
          </w:p>
        </w:tc>
        <w:tc>
          <w:tcPr>
            <w:tcW w:type="dxa" w:w="12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Under Assessment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Velocity 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import line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import point via GTPDefaultTemplateEngineService abstraction. Velocity 1.7 to 2.x upgrade scoped to service implementation. All .vm templates require environment verification.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import point via GTPDefaultTemplateEngineService abstraction. Upgrade surface concentrated in one service. All .vm templates require runtime verification.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 Assessment</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ECS 1.4.2</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64 import lines</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ECS is part of the rendering chain — ProductTool.parseToECS is called from every portlet before XSLTCachingService runs. 64 import lines. Java 17 compatibility and rendering chain behaviour require verification.</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Java-only — verify Java 17 compat</w:t>
            </w:r>
          </w:p>
        </w:tc>
        <w:tc>
          <w:tcPr>
            <w:tcW w:type="dxa" w:w="12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Under Assessment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log4j 1.2.17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CVE-2019-17571 (RCE)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Known security vulnerability. Remediation path identified. Independent of EAP 8 migration timeline.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with reload4j (drop-in)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 Assessment</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Ant build system</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Ant-based</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Required before any automated migration tooling can be applied. Conversion also drives dependency inventory including Finastra-specific JARs not in public repositories.</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Convert to Maven (OpenRewrite prerequisite)</w:t>
            </w:r>
          </w:p>
        </w:tc>
        <w:tc>
          <w:tcPr>
            <w:tcW w:type="dxa" w:w="12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Under Assessment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PoolBrokerService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javax.sql.DataSource only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javax.sql.DataSource import — narrow direct dependency surface. High-priority integration testing item as gateway for all database operations under EAP 8 datasource configuration.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import line — OpenRewrite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 Assessment</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Oracle DB / SQL</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Independent of JBoss</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Database layer independent of server migration. Direct SQL in StringBuffer patterns carry no namespace dependency.</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 changes needed</w:t>
            </w:r>
          </w:p>
        </w:tc>
        <w:tc>
          <w:tcPr>
            <w:tcW w:type="dxa" w:w="12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Under Assessment</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Castor XML 1.3.x</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PSML parsing only. Abandoned since 2014 (Java 6 era).</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Library abandoned since 2014 with known Java 17 reflection incompatibility. JAXB (jakarta.xml.bind) identified as the forward path for the XML binding layer. Migration scope under analysis.</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Replace with JAXB (jakarta.xml.bind) or dom4j for PSML parsing</w:t>
            </w:r>
          </w:p>
        </w:tc>
        <w:tc>
          <w:tcPr>
            <w:tcW w:type="dxa" w:w="12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Under Assessment</w:t>
            </w:r>
          </w:p>
        </w:tc>
      </w:tr>
    </w:tbl>
    <w:p>
      <w:pPr>
        <w:spacing w:before="40" w:after="40"/>
      </w:pPr>
      <w:r>
        <w:t xml:space="preserve"/>
      </w:r>
    </w:p>
    <w:p>
      <w:pPr>
        <w:pStyle w:val="Heading1"/>
        <w:spacing w:before="400" w:after="120"/>
      </w:pPr>
      <w:r>
        <w:rPr>
          <w:rFonts w:ascii="Arial" w:cs="Arial" w:eastAsia="Arial" w:hAnsi="Arial"/>
          <w:b/>
          <w:bCs/>
          <w:color w:val="1F4E79"/>
          <w:sz w:val="34"/>
          <w:szCs w:val="34"/>
        </w:rPr>
        <w:t xml:space="preserve">6. Recommended Migration Roadmap</w:t>
      </w:r>
    </w:p>
    <w:p>
      <w:pPr>
        <w:pBdr>
          <w:bottom w:val="single" w:color="CCCCCC" w:sz="4" w:space="1"/>
        </w:pBdr>
        <w:spacing w:before="120" w:after="120"/>
      </w:pPr>
      <w:r>
        <w:t xml:space="preserve"/>
      </w:r>
    </w:p>
    <w:p>
      <w:pPr>
        <w:spacing w:before="80" w:after="80"/>
      </w:pPr>
      <w:r>
        <w:rPr>
          <w:rFonts w:ascii="Arial" w:cs="Arial" w:eastAsia="Arial" w:hAnsi="Arial"/>
          <w:sz w:val="22"/>
          <w:szCs w:val="22"/>
        </w:rPr>
        <w:t xml:space="preserve">The roadmap below reflects where the analysis currently stands. Before migration work begins on any component, the assessment phase must establish the full picture — identifying deprecated API usages, hidden dependency patterns, and the behavioural changes that the version gaps introduce into GEB’s business logic. The phases below represent the logical sequence that emerges from that analysis. What each phase contains will be refined as the assessment progresses. The sequence is directional — not a fixed commitment — because the depth of each phase depends on what the analysis uncovers.</w:t>
      </w:r>
    </w:p>
    <w:p>
      <w:pPr>
        <w:spacing w:before="40" w:after="40"/>
      </w:pPr>
      <w:r>
        <w:t xml:space="preserve"/>
      </w:r>
    </w:p>
    <w:p>
      <w:pPr>
        <w:pStyle w:val="Heading2"/>
        <w:spacing w:before="280" w:after="100"/>
      </w:pPr>
      <w:r>
        <w:rPr>
          <w:rFonts w:ascii="Arial" w:cs="Arial" w:eastAsia="Arial" w:hAnsi="Arial"/>
          <w:b/>
          <w:bCs/>
          <w:color w:val="2E75B6"/>
          <w:sz w:val="26"/>
          <w:szCs w:val="26"/>
        </w:rPr>
        <w:t xml:space="preserve">Phase 1 — Immediate Security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thick" w:color="2E75B6" w:sz="14"/>
              <w:bottom w:val="single" w:color="2E75B6" w:sz="3"/>
              <w:right w:val="single" w:color="2E75B6" w:sz="3"/>
            </w:tcBorders>
            <w:shd w:fill="EBF5FB" w:val="clear"/>
            <w:tcMar>
              <w:top w:type="dxa" w:w="120"/>
              <w:left w:type="dxa" w:w="200"/>
              <w:bottom w:type="dxa" w:w="120"/>
              <w:right w:type="dxa" w:w="160"/>
            </w:tcMar>
          </w:tcPr>
          <w:p>
            <w:pPr>
              <w:spacing w:before="0" w:after="60"/>
            </w:pPr>
            <w:r>
              <w:rPr>
                <w:rFonts w:ascii="Arial" w:cs="Arial" w:eastAsia="Arial" w:hAnsi="Arial"/>
                <w:b/>
                <w:bCs/>
                <w:color w:val="2E75B6"/>
                <w:sz w:val="20"/>
                <w:szCs w:val="20"/>
              </w:rPr>
              <w:t xml:space="preserve">Goal</w:t>
            </w:r>
          </w:p>
          <w:p>
            <w:pPr>
              <w:spacing w:before="0" w:after="0"/>
            </w:pPr>
            <w:r>
              <w:rPr>
                <w:rFonts w:ascii="Arial" w:cs="Arial" w:eastAsia="Arial" w:hAnsi="Arial"/>
                <w:sz w:val="20"/>
                <w:szCs w:val="20"/>
              </w:rPr>
              <w:t xml:space="preserve">Address the identified CVEs in the dependency stack. This work is independent of the EAP 8 migration and can proceed in parallel with the assessment phase. It demonstrates active progress on a concrete, well-scoped problem while the deeper migration analysis continues.</w:t>
            </w:r>
          </w:p>
        </w:tc>
      </w:tr>
    </w:tbl>
    <w:p>
      <w:pPr>
        <w:spacing w:before="40" w:after="4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Replace log4j-1.2.17.jar with reload4j (drop-in replacement — same API, minimal effort)</w:t>
      </w:r>
    </w:p>
    <w:p>
      <w:pPr>
        <w:pStyle w:val="ListParagraph"/>
        <w:numPr>
          <w:ilvl w:val="0"/>
          <w:numId w:val="2"/>
        </w:numPr>
        <w:spacing w:before="40" w:after="40"/>
      </w:pPr>
      <w:r>
        <w:rPr>
          <w:rFonts w:ascii="Arial" w:cs="Arial" w:eastAsia="Arial" w:hAnsi="Arial"/>
          <w:b w:val="false"/>
          <w:bCs w:val="false"/>
          <w:sz w:val="22"/>
          <w:szCs w:val="22"/>
        </w:rPr>
        <w:t xml:space="preserve">Upgrade commons-fileupload-1.2.2 to 1.5+ (CVE-2016-1000031 fix)</w:t>
      </w:r>
    </w:p>
    <w:p>
      <w:pPr>
        <w:pStyle w:val="ListParagraph"/>
        <w:numPr>
          <w:ilvl w:val="0"/>
          <w:numId w:val="2"/>
        </w:numPr>
        <w:spacing w:before="40" w:after="40"/>
      </w:pPr>
      <w:r>
        <w:rPr>
          <w:rFonts w:ascii="Arial" w:cs="Arial" w:eastAsia="Arial" w:hAnsi="Arial"/>
          <w:b w:val="false"/>
          <w:bCs w:val="false"/>
          <w:sz w:val="22"/>
          <w:szCs w:val="22"/>
        </w:rPr>
        <w:t xml:space="preserve">Upgrade commons-httpclient-3.1 to HttpClient 4.x</w:t>
      </w:r>
    </w:p>
    <w:p>
      <w:pPr>
        <w:pStyle w:val="ListParagraph"/>
        <w:numPr>
          <w:ilvl w:val="0"/>
          <w:numId w:val="2"/>
        </w:numPr>
        <w:spacing w:before="40" w:after="40"/>
      </w:pPr>
      <w:r>
        <w:rPr>
          <w:rFonts w:ascii="Arial" w:cs="Arial" w:eastAsia="Arial" w:hAnsi="Arial"/>
          <w:b w:val="false"/>
          <w:bCs w:val="false"/>
          <w:sz w:val="22"/>
          <w:szCs w:val="22"/>
        </w:rPr>
        <w:t xml:space="preserve">Document CVE remediation for bank security team</w:t>
      </w:r>
    </w:p>
    <w:p>
      <w:pPr>
        <w:spacing w:before="40" w:after="40"/>
      </w:pPr>
      <w:r>
        <w:t xml:space="preserve"/>
      </w:r>
    </w:p>
    <w:p>
      <w:pPr>
        <w:pStyle w:val="Heading2"/>
        <w:spacing w:before="280" w:after="100"/>
      </w:pPr>
      <w:r>
        <w:rPr>
          <w:rFonts w:ascii="Arial" w:cs="Arial" w:eastAsia="Arial" w:hAnsi="Arial"/>
          <w:b/>
          <w:bCs/>
          <w:color w:val="2E75B6"/>
          <w:sz w:val="26"/>
          <w:szCs w:val="26"/>
        </w:rPr>
        <w:t xml:space="preserve">Phase 2 — Build Modernisation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3"/>
              <w:left w:val="thick" w:color="856404" w:sz="14"/>
              <w:bottom w:val="single" w:color="856404" w:sz="3"/>
              <w:right w:val="single" w:color="856404" w:sz="3"/>
            </w:tcBorders>
            <w:shd w:fill="FFF3CD" w:val="clear"/>
            <w:tcMar>
              <w:top w:type="dxa" w:w="120"/>
              <w:left w:type="dxa" w:w="200"/>
              <w:bottom w:type="dxa" w:w="120"/>
              <w:right w:type="dxa" w:w="160"/>
            </w:tcMar>
          </w:tcPr>
          <w:p>
            <w:pPr>
              <w:spacing w:before="0" w:after="60"/>
            </w:pPr>
            <w:r>
              <w:rPr>
                <w:rFonts w:ascii="Arial" w:cs="Arial" w:eastAsia="Arial" w:hAnsi="Arial"/>
                <w:b/>
                <w:bCs/>
                <w:color w:val="856404"/>
                <w:sz w:val="20"/>
                <w:szCs w:val="20"/>
              </w:rPr>
              <w:t xml:space="preserve">Goal</w:t>
            </w:r>
          </w:p>
          <w:p>
            <w:pPr>
              <w:spacing w:before="0" w:after="0"/>
            </w:pPr>
            <w:r>
              <w:rPr>
                <w:rFonts w:ascii="Arial" w:cs="Arial" w:eastAsia="Arial" w:hAnsi="Arial"/>
                <w:sz w:val="20"/>
                <w:szCs w:val="20"/>
              </w:rPr>
              <w:t xml:space="preserve">The current Ant build must be converted to Maven before automated migration tooling can be applied. This is a prerequisite — not optional. The conversion also provides the opportunity to properly inventory all dependencies, including the Finastra-specific JARs that are not in public repositories, which directly feeds the dependency analysis work.</w:t>
            </w:r>
          </w:p>
        </w:tc>
      </w:tr>
    </w:tbl>
    <w:p>
      <w:pPr>
        <w:spacing w:before="40" w:after="4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Analyse current build.xml files across all Eclipse projects</w:t>
      </w:r>
    </w:p>
    <w:p>
      <w:pPr>
        <w:pStyle w:val="ListParagraph"/>
        <w:numPr>
          <w:ilvl w:val="0"/>
          <w:numId w:val="2"/>
        </w:numPr>
        <w:spacing w:before="40" w:after="40"/>
      </w:pPr>
      <w:r>
        <w:rPr>
          <w:rFonts w:ascii="Arial" w:cs="Arial" w:eastAsia="Arial" w:hAnsi="Arial"/>
          <w:b w:val="false"/>
          <w:bCs w:val="false"/>
          <w:sz w:val="22"/>
          <w:szCs w:val="22"/>
        </w:rPr>
        <w:t xml:space="preserve">Create Maven pom.xml hierarchy — parent pom + module poms</w:t>
      </w:r>
    </w:p>
    <w:p>
      <w:pPr>
        <w:pStyle w:val="ListParagraph"/>
        <w:numPr>
          <w:ilvl w:val="0"/>
          <w:numId w:val="2"/>
        </w:numPr>
        <w:spacing w:before="40" w:after="40"/>
      </w:pPr>
      <w:r>
        <w:rPr>
          <w:rFonts w:ascii="Arial" w:cs="Arial" w:eastAsia="Arial" w:hAnsi="Arial"/>
          <w:b w:val="false"/>
          <w:bCs w:val="false"/>
          <w:sz w:val="22"/>
          <w:szCs w:val="22"/>
        </w:rPr>
        <w:t xml:space="preserve">Resolve all JAR dependencies in Maven coordinates (custom Finastra JARs go to local Maven repository)</w:t>
      </w:r>
    </w:p>
    <w:p>
      <w:pPr>
        <w:pStyle w:val="ListParagraph"/>
        <w:numPr>
          <w:ilvl w:val="0"/>
          <w:numId w:val="2"/>
        </w:numPr>
        <w:spacing w:before="40" w:after="40"/>
      </w:pPr>
      <w:r>
        <w:rPr>
          <w:rFonts w:ascii="Arial" w:cs="Arial" w:eastAsia="Arial" w:hAnsi="Arial"/>
          <w:b w:val="false"/>
          <w:bCs w:val="false"/>
          <w:sz w:val="22"/>
          <w:szCs w:val="22"/>
        </w:rPr>
        <w:t xml:space="preserve">Verify build produces identical output to Ant build</w:t>
      </w:r>
    </w:p>
    <w:p>
      <w:pPr>
        <w:pStyle w:val="ListParagraph"/>
        <w:numPr>
          <w:ilvl w:val="0"/>
          <w:numId w:val="2"/>
        </w:numPr>
        <w:spacing w:before="40" w:after="40"/>
      </w:pPr>
      <w:r>
        <w:rPr>
          <w:rFonts w:ascii="Arial" w:cs="Arial" w:eastAsia="Arial" w:hAnsi="Arial"/>
          <w:b w:val="false"/>
          <w:bCs w:val="false"/>
          <w:sz w:val="22"/>
          <w:szCs w:val="22"/>
        </w:rPr>
        <w:t xml:space="preserve">Set up CI pipeline on Maven build</w:t>
      </w:r>
    </w:p>
    <w:p>
      <w:pPr>
        <w:spacing w:before="40" w:after="40"/>
      </w:pPr>
      <w:r>
        <w:t xml:space="preserve"/>
      </w:r>
    </w:p>
    <w:p>
      <w:pPr>
        <w:pStyle w:val="Heading2"/>
        <w:spacing w:before="280" w:after="100"/>
      </w:pPr>
      <w:r>
        <w:rPr>
          <w:rFonts w:ascii="Arial" w:cs="Arial" w:eastAsia="Arial" w:hAnsi="Arial"/>
          <w:b/>
          <w:bCs/>
          <w:color w:val="2E75B6"/>
          <w:sz w:val="26"/>
          <w:szCs w:val="26"/>
        </w:rPr>
        <w:t xml:space="preserve">Phase 3 — Automated javax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thick" w:color="2E7D32" w:sz="14"/>
              <w:bottom w:val="single" w:color="2E7D32" w:sz="3"/>
              <w:right w:val="single" w:color="2E7D32" w:sz="3"/>
            </w:tcBorders>
            <w:shd w:fill="E8F5E9" w:val="clear"/>
            <w:tcMar>
              <w:top w:type="dxa" w:w="120"/>
              <w:left w:type="dxa" w:w="200"/>
              <w:bottom w:type="dxa" w:w="120"/>
              <w:right w:type="dxa" w:w="160"/>
            </w:tcMar>
          </w:tcPr>
          <w:p>
            <w:pPr>
              <w:spacing w:before="0" w:after="60"/>
            </w:pPr>
            <w:r>
              <w:rPr>
                <w:rFonts w:ascii="Arial" w:cs="Arial" w:eastAsia="Arial" w:hAnsi="Arial"/>
                <w:b/>
                <w:bCs/>
                <w:color w:val="2E7D32"/>
                <w:sz w:val="20"/>
                <w:szCs w:val="20"/>
              </w:rPr>
              <w:t xml:space="preserve">Goal</w:t>
            </w:r>
          </w:p>
          <w:p>
            <w:pPr>
              <w:spacing w:before="0" w:after="0"/>
            </w:pPr>
            <w:r>
              <w:rPr>
                <w:rFonts w:ascii="Arial" w:cs="Arial" w:eastAsia="Arial" w:hAnsi="Arial"/>
                <w:sz w:val="20"/>
                <w:szCs w:val="20"/>
              </w:rPr>
              <w:t xml:space="preserve">With the Maven build in place, run automated tools to address the visible namespace surface. The output of this phase is not a completed migration — it is a codebase with renamed imports that will then surface hidden compatibility issues during compilation and testing. Those issues are the real data that drives the subsequent phases.</w:t>
            </w:r>
          </w:p>
        </w:tc>
      </w:tr>
    </w:tbl>
    <w:p>
      <w:pPr>
        <w:spacing w:before="40" w:after="4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Add OpenRewrite Maven plugin to pom.xml</w:t>
      </w:r>
    </w:p>
    <w:p>
      <w:pPr>
        <w:pStyle w:val="ListParagraph"/>
        <w:numPr>
          <w:ilvl w:val="0"/>
          <w:numId w:val="2"/>
        </w:numPr>
        <w:spacing w:before="40" w:after="40"/>
      </w:pPr>
      <w:r>
        <w:rPr>
          <w:rFonts w:ascii="Arial" w:cs="Arial" w:eastAsia="Arial" w:hAnsi="Arial"/>
          <w:b w:val="false"/>
          <w:bCs w:val="false"/>
          <w:sz w:val="22"/>
          <w:szCs w:val="22"/>
        </w:rPr>
        <w:t xml:space="preserve">Run recipe: org.openrewrite.java.migrate.jakarta.JavaxMigrationToJakarta</w:t>
      </w:r>
    </w:p>
    <w:p>
      <w:pPr>
        <w:pStyle w:val="ListParagraph"/>
        <w:numPr>
          <w:ilvl w:val="0"/>
          <w:numId w:val="2"/>
        </w:numPr>
        <w:spacing w:before="40" w:after="40"/>
      </w:pPr>
      <w:r>
        <w:rPr>
          <w:rFonts w:ascii="Arial" w:cs="Arial" w:eastAsia="Arial" w:hAnsi="Arial"/>
          <w:b w:val="false"/>
          <w:bCs w:val="false"/>
          <w:sz w:val="22"/>
          <w:szCs w:val="22"/>
        </w:rPr>
        <w:t xml:space="preserve">Review and commit the 160 automatically changed import lines</w:t>
      </w:r>
    </w:p>
    <w:p>
      <w:pPr>
        <w:pStyle w:val="ListParagraph"/>
        <w:numPr>
          <w:ilvl w:val="0"/>
          <w:numId w:val="2"/>
        </w:numPr>
        <w:spacing w:before="40" w:after="40"/>
      </w:pPr>
      <w:r>
        <w:rPr>
          <w:rFonts w:ascii="Arial" w:cs="Arial" w:eastAsia="Arial" w:hAnsi="Arial"/>
          <w:b w:val="false"/>
          <w:bCs w:val="false"/>
          <w:sz w:val="22"/>
          <w:szCs w:val="22"/>
        </w:rPr>
        <w:t xml:space="preserve">Run additional recipes for Spring migration where applicable</w:t>
      </w:r>
    </w:p>
    <w:p>
      <w:pPr>
        <w:spacing w:before="40" w:after="40"/>
      </w:pPr>
      <w:r>
        <w:t xml:space="preserve"/>
      </w:r>
    </w:p>
    <w:p>
      <w:pPr>
        <w:pStyle w:val="Heading2"/>
        <w:spacing w:before="280" w:after="100"/>
      </w:pPr>
      <w:r>
        <w:rPr>
          <w:rFonts w:ascii="Arial" w:cs="Arial" w:eastAsia="Arial" w:hAnsi="Arial"/>
          <w:b/>
          <w:bCs/>
          <w:color w:val="2E75B6"/>
          <w:sz w:val="26"/>
          <w:szCs w:val="26"/>
        </w:rPr>
        <w:t xml:space="preserve">Phase 4 — Framework Upgrades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thick" w:color="2E75B6" w:sz="14"/>
              <w:bottom w:val="single" w:color="2E75B6" w:sz="3"/>
              <w:right w:val="single" w:color="2E75B6" w:sz="3"/>
            </w:tcBorders>
            <w:shd w:fill="EBF5FB" w:val="clear"/>
            <w:tcMar>
              <w:top w:type="dxa" w:w="120"/>
              <w:left w:type="dxa" w:w="200"/>
              <w:bottom w:type="dxa" w:w="120"/>
              <w:right w:type="dxa" w:w="160"/>
            </w:tcMar>
          </w:tcPr>
          <w:p>
            <w:pPr>
              <w:spacing w:before="0" w:after="60"/>
            </w:pPr>
            <w:r>
              <w:rPr>
                <w:rFonts w:ascii="Arial" w:cs="Arial" w:eastAsia="Arial" w:hAnsi="Arial"/>
                <w:b/>
                <w:bCs/>
                <w:color w:val="2E75B6"/>
                <w:sz w:val="20"/>
                <w:szCs w:val="20"/>
              </w:rPr>
              <w:t xml:space="preserve">Goal</w:t>
            </w:r>
          </w:p>
          <w:p>
            <w:pPr>
              <w:spacing w:before="0" w:after="0"/>
            </w:pPr>
            <w:r>
              <w:rPr>
                <w:rFonts w:ascii="Arial" w:cs="Arial" w:eastAsia="Arial" w:hAnsi="Arial"/>
                <w:sz w:val="20"/>
                <w:szCs w:val="20"/>
              </w:rPr>
              <w:t xml:space="preserve">This is where the depth of the assessment work determines the actual scope of the migration. Each framework — Turbine, Torque, Velocity, Spring — has its own version gap, its own deprecated API surface, and its own pattern of use within GEB’s business logic. The work in this phase begins with mapping what has changed between the current and target versions of each framework, identifying which of those changes touch GEB code, and then working through each one systematically. There will be surprises in this phase. The purpose of the assessment is to find them here, not in production.</w:t>
            </w:r>
          </w:p>
        </w:tc>
      </w:tr>
    </w:tbl>
    <w:p>
      <w:pPr>
        <w:spacing w:before="40" w:after="4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Turbine — map the API and architectural changes across four major versions, identify deprecated method usages in GEB code, understand the impact on GTP service bundle, determine the Fulcrum integration approach</w:t>
      </w:r>
    </w:p>
    <w:p>
      <w:pPr>
        <w:pStyle w:val="ListParagraph"/>
        <w:numPr>
          <w:ilvl w:val="0"/>
          <w:numId w:val="2"/>
        </w:numPr>
        <w:spacing w:before="40" w:after="40"/>
      </w:pPr>
      <w:r>
        <w:rPr>
          <w:rFonts w:ascii="Arial" w:cs="Arial" w:eastAsia="Arial" w:hAnsi="Arial"/>
          <w:b w:val="false"/>
          <w:bCs w:val="false"/>
          <w:sz w:val="22"/>
          <w:szCs w:val="22"/>
        </w:rPr>
        <w:t xml:space="preserve">Torque — trace each usage point through the application including generated Peer classes and XSL-driven patterns, determine the forward path for each usage, confirm what the Village layer requires</w:t>
      </w:r>
    </w:p>
    <w:p>
      <w:pPr>
        <w:pStyle w:val="ListParagraph"/>
        <w:numPr>
          <w:ilvl w:val="0"/>
          <w:numId w:val="2"/>
        </w:numPr>
        <w:spacing w:before="40" w:after="40"/>
      </w:pPr>
      <w:r>
        <w:rPr>
          <w:rFonts w:ascii="Arial" w:cs="Arial" w:eastAsia="Arial" w:hAnsi="Arial"/>
          <w:b w:val="false"/>
          <w:bCs w:val="false"/>
          <w:sz w:val="22"/>
          <w:szCs w:val="22"/>
        </w:rPr>
        <w:t xml:space="preserve">Velocity — assess the GTPDefaultTemplateEngineService upgrade path, verify all .vm templates in a running environment</w:t>
      </w:r>
    </w:p>
    <w:p>
      <w:pPr>
        <w:pStyle w:val="ListParagraph"/>
        <w:numPr>
          <w:ilvl w:val="0"/>
          <w:numId w:val="2"/>
        </w:numPr>
        <w:spacing w:before="40" w:after="40"/>
      </w:pPr>
      <w:r>
        <w:rPr>
          <w:rFonts w:ascii="Arial" w:cs="Arial" w:eastAsia="Arial" w:hAnsi="Arial"/>
          <w:b w:val="false"/>
          <w:bCs w:val="false"/>
          <w:sz w:val="22"/>
          <w:szCs w:val="22"/>
        </w:rPr>
        <w:t xml:space="preserve">Spring — assess the WSService layer against Spring 6 API compatibility, identify removed APIs in active use</w:t>
      </w:r>
    </w:p>
    <w:p>
      <w:pPr>
        <w:pStyle w:val="ListParagraph"/>
        <w:numPr>
          <w:ilvl w:val="0"/>
          <w:numId w:val="2"/>
        </w:numPr>
        <w:spacing w:before="40" w:after="40"/>
      </w:pPr>
      <w:r>
        <w:rPr>
          <w:rFonts w:ascii="Arial" w:cs="Arial" w:eastAsia="Arial" w:hAnsi="Arial"/>
          <w:b w:val="false"/>
          <w:bCs w:val="false"/>
          <w:sz w:val="22"/>
          <w:szCs w:val="22"/>
        </w:rPr>
        <w:t xml:space="preserve">ECS and remaining utility libraries — Java 17 runtime compatibility verification in context of GEB usage patterns</w:t>
      </w:r>
    </w:p>
    <w:p>
      <w:pPr>
        <w:spacing w:before="40" w:after="40"/>
      </w:pPr>
      <w:r>
        <w:t xml:space="preserve"/>
      </w:r>
    </w:p>
    <w:p>
      <w:pPr>
        <w:pStyle w:val="Heading2"/>
        <w:spacing w:before="280" w:after="100"/>
      </w:pPr>
      <w:r>
        <w:rPr>
          <w:rFonts w:ascii="Arial" w:cs="Arial" w:eastAsia="Arial" w:hAnsi="Arial"/>
          <w:b/>
          <w:bCs/>
          <w:color w:val="2E75B6"/>
          <w:sz w:val="26"/>
          <w:szCs w:val="26"/>
        </w:rPr>
        <w:t xml:space="preserve">Phase 5 — EAP 8 Deployment and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thick" w:color="2E7D32" w:sz="14"/>
              <w:bottom w:val="single" w:color="2E7D32" w:sz="3"/>
              <w:right w:val="single" w:color="2E7D32" w:sz="3"/>
            </w:tcBorders>
            <w:shd w:fill="E8F5E9" w:val="clear"/>
            <w:tcMar>
              <w:top w:type="dxa" w:w="120"/>
              <w:left w:type="dxa" w:w="200"/>
              <w:bottom w:type="dxa" w:w="120"/>
              <w:right w:type="dxa" w:w="160"/>
            </w:tcMar>
          </w:tcPr>
          <w:p>
            <w:pPr>
              <w:spacing w:before="0" w:after="60"/>
            </w:pPr>
            <w:r>
              <w:rPr>
                <w:rFonts w:ascii="Arial" w:cs="Arial" w:eastAsia="Arial" w:hAnsi="Arial"/>
                <w:b/>
                <w:bCs/>
                <w:color w:val="2E7D32"/>
                <w:sz w:val="20"/>
                <w:szCs w:val="20"/>
              </w:rPr>
              <w:t xml:space="preserve">Goal</w:t>
            </w:r>
          </w:p>
          <w:p>
            <w:pPr>
              <w:spacing w:before="0" w:after="0"/>
            </w:pPr>
            <w:r>
              <w:rPr>
                <w:rFonts w:ascii="Arial" w:cs="Arial" w:eastAsia="Arial" w:hAnsi="Arial"/>
                <w:sz w:val="20"/>
                <w:szCs w:val="20"/>
              </w:rPr>
              <w:t xml:space="preserve">Integration and regression testing is the phase where the complete picture is validated. This phase only begins when the framework upgrade work has been thoroughly tested in lower environments. The scope of regression testing covers all 18+ banking product modules, the maker-checker workflow, the WSService API layer, and batch processing. Issues found here are expected — the quality of the preceding analysis determines how many there are and how quickly they are resolved.</w:t>
            </w:r>
          </w:p>
        </w:tc>
      </w:tr>
    </w:tbl>
    <w:p>
      <w:pPr>
        <w:spacing w:before="40" w:after="4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Configure JBoss EAP 8 standalone.xml — datasources, security domains, module dependencies</w:t>
      </w:r>
    </w:p>
    <w:p>
      <w:pPr>
        <w:pStyle w:val="ListParagraph"/>
        <w:numPr>
          <w:ilvl w:val="0"/>
          <w:numId w:val="2"/>
        </w:numPr>
        <w:spacing w:before="40" w:after="40"/>
      </w:pPr>
      <w:r>
        <w:rPr>
          <w:rFonts w:ascii="Arial" w:cs="Arial" w:eastAsia="Arial" w:hAnsi="Arial"/>
          <w:b w:val="false"/>
          <w:bCs w:val="false"/>
          <w:sz w:val="22"/>
          <w:szCs w:val="22"/>
        </w:rPr>
        <w:t xml:space="preserve">Deploy migrated EAR to EAP 8</w:t>
      </w:r>
    </w:p>
    <w:p>
      <w:pPr>
        <w:pStyle w:val="ListParagraph"/>
        <w:numPr>
          <w:ilvl w:val="0"/>
          <w:numId w:val="2"/>
        </w:numPr>
        <w:spacing w:before="40" w:after="40"/>
      </w:pPr>
      <w:r>
        <w:rPr>
          <w:rFonts w:ascii="Arial" w:cs="Arial" w:eastAsia="Arial" w:hAnsi="Arial"/>
          <w:b w:val="false"/>
          <w:bCs w:val="false"/>
          <w:sz w:val="22"/>
          <w:szCs w:val="22"/>
        </w:rPr>
        <w:t xml:space="preserve">Resolve deployment issues — classloading, module configuration, JNDI datasource binding under EAP 8</w:t>
      </w:r>
    </w:p>
    <w:p>
      <w:pPr>
        <w:pStyle w:val="ListParagraph"/>
        <w:numPr>
          <w:ilvl w:val="0"/>
          <w:numId w:val="2"/>
        </w:numPr>
        <w:spacing w:before="40" w:after="40"/>
      </w:pPr>
      <w:r>
        <w:rPr>
          <w:rFonts w:ascii="Arial" w:cs="Arial" w:eastAsia="Arial" w:hAnsi="Arial"/>
          <w:b w:val="false"/>
          <w:bCs w:val="false"/>
          <w:sz w:val="22"/>
          <w:szCs w:val="22"/>
        </w:rPr>
        <w:t xml:space="preserve">Full functional regression across all banking modules — FT, LC, BG, Trade, Open Account, Reports, Maker-Checker</w:t>
      </w:r>
    </w:p>
    <w:p>
      <w:pPr>
        <w:pStyle w:val="ListParagraph"/>
        <w:numPr>
          <w:ilvl w:val="0"/>
          <w:numId w:val="2"/>
        </w:numPr>
        <w:spacing w:before="40" w:after="40"/>
      </w:pPr>
      <w:r>
        <w:rPr>
          <w:rFonts w:ascii="Arial" w:cs="Arial" w:eastAsia="Arial" w:hAnsi="Arial"/>
          <w:b w:val="false"/>
          <w:bCs w:val="false"/>
          <w:sz w:val="22"/>
          <w:szCs w:val="22"/>
        </w:rPr>
        <w:t xml:space="preserve">Performance and load testing against production transaction volume baselines</w:t>
      </w:r>
    </w:p>
    <w:p>
      <w:pPr>
        <w:pStyle w:val="ListParagraph"/>
        <w:numPr>
          <w:ilvl w:val="0"/>
          <w:numId w:val="2"/>
        </w:numPr>
        <w:spacing w:before="40" w:after="40"/>
      </w:pPr>
      <w:r>
        <w:rPr>
          <w:rFonts w:ascii="Arial" w:cs="Arial" w:eastAsia="Arial" w:hAnsi="Arial"/>
          <w:b w:val="false"/>
          <w:bCs w:val="false"/>
          <w:sz w:val="22"/>
          <w:szCs w:val="22"/>
        </w:rPr>
        <w:t xml:space="preserve">UAT with UOB Bank team</w:t>
      </w:r>
    </w:p>
    <w:p>
      <w:pPr>
        <w:pStyle w:val="ListParagraph"/>
        <w:numPr>
          <w:ilvl w:val="0"/>
          <w:numId w:val="2"/>
        </w:numPr>
        <w:spacing w:before="40" w:after="40"/>
      </w:pPr>
      <w:r>
        <w:rPr>
          <w:rFonts w:ascii="Arial" w:cs="Arial" w:eastAsia="Arial" w:hAnsi="Arial"/>
          <w:b w:val="false"/>
          <w:bCs w:val="false"/>
          <w:sz w:val="22"/>
          <w:szCs w:val="22"/>
        </w:rPr>
        <w:t xml:space="preserve">Production deployment</w:t>
      </w:r>
    </w:p>
    <w:p>
      <w:pPr>
        <w:spacing w:before="40" w:after="40"/>
      </w:pPr>
      <w:r>
        <w:t xml:space="preserve"/>
      </w:r>
    </w:p>
    <w:p>
      <w:pPr>
        <w:pStyle w:val="Heading1"/>
        <w:spacing w:before="400" w:after="120"/>
      </w:pPr>
      <w:r>
        <w:rPr>
          <w:rFonts w:ascii="Arial" w:cs="Arial" w:eastAsia="Arial" w:hAnsi="Arial"/>
          <w:b/>
          <w:bCs/>
          <w:color w:val="1F4E79"/>
          <w:sz w:val="34"/>
          <w:szCs w:val="34"/>
        </w:rPr>
        <w:t xml:space="preserve">7. AI Tool Strategy — Qwen and OpenRewrite</w:t>
      </w:r>
    </w:p>
    <w:p>
      <w:pPr>
        <w:pBdr>
          <w:bottom w:val="single" w:color="CCCCCC" w:sz="4" w:space="1"/>
        </w:pBdr>
        <w:spacing w:before="120" w:after="120"/>
      </w:pPr>
      <w:r>
        <w:t xml:space="preserve"/>
      </w:r>
    </w:p>
    <w:p>
      <w:pPr>
        <w:spacing w:before="80" w:after="80"/>
      </w:pPr>
      <w:r>
        <w:rPr>
          <w:rFonts w:ascii="Arial" w:cs="Arial" w:eastAsia="Arial" w:hAnsi="Arial"/>
          <w:sz w:val="22"/>
          <w:szCs w:val="22"/>
        </w:rPr>
        <w:t xml:space="preserve">The bank has proposed using AI tools including Alibaba's Qwen 2.0 model to assist with the migration. This is a valid and recommended approach. The following table defines exactly where AI tools add value and where they do not.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Migration Task</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AI Tool Value</w:t>
            </w:r>
          </w:p>
        </w:tc>
        <w:tc>
          <w:tcPr>
            <w:tcW w:type="dxa" w:w="51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Specific Capability</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javax.* to jakarta.* namespace rename</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HIGH — use OpenRewrite</w:t>
            </w:r>
          </w:p>
        </w:tc>
        <w:tc>
          <w:tcPr>
            <w:tcW w:type="dxa" w:w="5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OpenRewrite automates the import-level rename. Manual review is required for runtime string references and reflection patterns that the tool cannot detect.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 to Maven build conversion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use AI generation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can assist with pom.xml structure generation from build.xml analysis. Custom Finastra JARs not in Maven Central require local repository resolution. Output requires thorough human review and build verification.</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Torque Criteria to JdbcTemplate conversion</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HIGH — use AI generation</w:t>
            </w:r>
          </w:p>
        </w:tc>
        <w:tc>
          <w:tcPr>
            <w:tcW w:type="dxa" w:w="5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AI can assist with conversion patterns once each Torque usage has been individually analysed and the appropriate forward path determined. The 21 import count reflects direct references — the full usage surface including generated classes requires human-led analysis first.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Turbine 3 API to Turbine 7 API migration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 use AI with guidance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can rewrite individual service classes once migration pattern is defined by architect.</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Spring 4 to Spring 6 upgrade</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MEDIUM — use OpenRewrite</w:t>
            </w:r>
          </w:p>
        </w:tc>
        <w:tc>
          <w:tcPr>
            <w:tcW w:type="dxa" w:w="5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OpenRewrite Spring migration recipes exist. AI assists with manual fixes.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Portlet layer replacement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 architecture first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portal layer architectural forward path requires human architectural decision-making. AI tooling can assist with implementation once the approach is defined and validated.</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XSL file migration</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NOT NEEDED</w:t>
            </w:r>
          </w:p>
        </w:tc>
        <w:tc>
          <w:tcPr>
            <w:tcW w:type="dxa" w:w="5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XSL files require zero changes. AI not needed here.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Regression test generation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use AI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can generate unit and integration test cases for migrated code.</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Oracle SQL queries</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NOT NEEDED</w:t>
            </w:r>
          </w:p>
        </w:tc>
        <w:tc>
          <w:tcPr>
            <w:tcW w:type="dxa" w:w="5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Direct SQL in StringBuffer patterns has no Jakarta namespace dependency. These patterns require Java 17 runtime compatibility verification but no namespace migration.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thick" w:color="2E7D32" w:sz="14"/>
              <w:bottom w:val="single" w:color="2E7D32" w:sz="3"/>
              <w:right w:val="single" w:color="2E7D32" w:sz="3"/>
            </w:tcBorders>
            <w:shd w:fill="E8F5E9" w:val="clear"/>
            <w:tcMar>
              <w:top w:type="dxa" w:w="120"/>
              <w:left w:type="dxa" w:w="200"/>
              <w:bottom w:type="dxa" w:w="120"/>
              <w:right w:type="dxa" w:w="160"/>
            </w:tcMar>
          </w:tcPr>
          <w:p>
            <w:pPr>
              <w:spacing w:before="0" w:after="60"/>
            </w:pPr>
            <w:r>
              <w:rPr>
                <w:rFonts w:ascii="Arial" w:cs="Arial" w:eastAsia="Arial" w:hAnsi="Arial"/>
                <w:b/>
                <w:bCs/>
                <w:color w:val="2E7D32"/>
                <w:sz w:val="20"/>
                <w:szCs w:val="20"/>
              </w:rPr>
              <w:t xml:space="preserve">Message to Bank Regarding AI Tools</w:t>
            </w:r>
          </w:p>
          <w:p>
            <w:pPr>
              <w:spacing w:before="0" w:after="0"/>
            </w:pPr>
            <w:r>
              <w:rPr>
                <w:rFonts w:ascii="Arial" w:cs="Arial" w:eastAsia="Arial" w:hAnsi="Arial"/>
                <w:sz w:val="20"/>
                <w:szCs w:val="20"/>
              </w:rPr>
              <w:t xml:space="preserve">AI tooling including OpenRewrite and generative AI code assistance has a well-defined role in this migration. OpenRewrite addresses import-level namespace renames. AI code assistance supports pattern-based conversion work once the analysis phase has determined the approach for each component. The scope of what AI tooling can and cannot handle has been documented per component in this section. Human-led architectural analysis remains the foundation that AI tooling builds upon.</w:t>
            </w:r>
          </w:p>
        </w:tc>
      </w:tr>
    </w:tbl>
    <w:p>
      <w:pPr>
        <w:spacing w:before="40" w:after="40"/>
      </w:pPr>
      <w:r>
        <w:t xml:space="preserve"/>
      </w:r>
    </w:p>
    <w:p>
      <w:pPr>
        <w:pStyle w:val="Heading1"/>
        <w:spacing w:before="400" w:after="120"/>
      </w:pPr>
      <w:r>
        <w:rPr>
          <w:rFonts w:ascii="Arial" w:cs="Arial" w:eastAsia="Arial" w:hAnsi="Arial"/>
          <w:b/>
          <w:bCs/>
          <w:color w:val="1F4E79"/>
          <w:sz w:val="34"/>
          <w:szCs w:val="34"/>
        </w:rPr>
        <w:t xml:space="preserve">8. Summary — What We Know, What We Are Finding, What Comes Next</w:t>
      </w:r>
    </w:p>
    <w:p>
      <w:pPr>
        <w:pBdr>
          <w:bottom w:val="single" w:color="CCCCCC"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Question</w:t>
            </w:r>
          </w:p>
        </w:tc>
        <w:tc>
          <w:tcPr>
            <w:tcW w:type="dxa" w:w="58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Answer</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Is EAP 8 migration feasible?</w:t>
            </w:r>
          </w:p>
        </w:tc>
        <w:tc>
          <w:tcPr>
            <w:tcW w:type="dxa" w:w="5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This assessment has moved from assumption to evidence. We have gone into the code directly and documented what is actually there. Some areas that were previously discussed as blockers have been examined and their actual nature is now documented. Other areas — particularly Turbine’s internal architecture, the GTP service bundle, the rendering chain through ECS and XSLTCachingService, and the full Torque footprint including generated Peer classes — require continued structured analysis before the complete picture is clear. The assessment is ongoing and this document represents where that analysis currently stands.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was the biggest feared blocker?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javax.portlet.* dependency was the most discussed concern — the assumption that GEB’s portlet layer was tied to the JSR-168 specification which has no Jakarta equivalent.</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Was the feared blocker real?</w:t>
            </w:r>
          </w:p>
        </w:tc>
        <w:tc>
          <w:tcPr>
            <w:tcW w:type="dxa" w:w="5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The import scan found zero javax.portlet.* references across all Java source files. Finastra built GEB’s portlet layer against their own interface — com.misys.portal.core.portal.Portlet — which predates JSR-168 entirely. The portlet-api-1.0.jar in the classpath is not referenced by any source file. This finding changes the nature of the portlet layer question from a namespace blocker to an architectural evolution question — and that evolution is what the assessment is now focused 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many javax.* imports need changing?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160 unique javax.* import lines were identified across 68,420 total imports. These represent the visible namespace surface that automated tooling can address. Beyond these 160 lines, runtime string references to javax class names, reflection-based class loading, and configuration file class paths also require targeted review — these are not visible to an import scanner.</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Is Jetspeed a problem?</w:t>
            </w:r>
          </w:p>
        </w:tc>
        <w:tc>
          <w:tcPr>
            <w:tcW w:type="dxa" w:w="5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Jetspeed is fully in owned source within com.misys.portal.jetspeed. Finastra embedded the 1998 Apache Jetspeed source and built their own portal engine on top of it. There is no external JAR dependency to negotiate. The work involved in migrating that owned portal source — understanding how it interacts with Turbine 7’s changed architecture, how PSML loading and portlet aggregation behave — is part of the ongoing assessment.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Torque a big problem?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Torque cannot be assessed from the import count alone. The 21 direct org.apache.torque.* import lines are the visible surface. Beyond them, Torque-generated Peer classes are called from inside portlet business logic during data retrieval and persistence — these classes do not surface in an import scan. No schema.xml was found in the workspace, meaning the generated class surface cannot be mapped from a definition file. The full Torque footprint can only be determined by tracing through portlet business logic systematically. That analysis is part of the structured discovery work.</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What is truly safe — zero risk?</w:t>
            </w:r>
          </w:p>
        </w:tc>
        <w:tc>
          <w:tcPr>
            <w:tcW w:type="dxa" w:w="5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The XSL stylesheet files themselves have no Java or Jakarta dependency — they are not affected by the server migration. Dojo runs entirely in the browser with no server-side dependency. Direct SQL queries written in StringBuffer patterns have no namespace dependency. These are the layers with no migration scope. Note that the services which invoke XSL transformation — XSLTCachingService, ECS, and Xalan — do require compatibility assessment even though the .xsl files themselves do not.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the hardest part?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Turbine is the structural heart of GEB — it controls every request, every service, and every module lifecycle. The turbine.jar in GEB is not standard Apache Turbine. Finastra bundled their own GTP services inside it. The version gap from 2.3.3 to 7.0 spans four major releases, each with architectural changes to the service container, pipeline, security framework, and Fulcrum integration. Every portlet’s business logic calls GTP services that live inside this bundle. How those service contracts change across the version gap, and how 20 years of business logic across 18+ banking modules is affected, is the core of what the assessment is working to map.</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What is the first thing to do?</w:t>
            </w:r>
          </w:p>
        </w:tc>
        <w:tc>
          <w:tcPr>
            <w:tcW w:type="dxa" w:w="5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Two immediate actions are independent of the EAP 8 migration and can begin now. First, address the known CVEs in log4j 1.2.17 and commons-fileupload — these are security obligations that do not require any migration decision. Second, convert the Ant build to Maven — this is a prerequisite that unlocks automated tooling for all subsequent phases. In parallel, the structured assessment work — tracing deprecated API usage, mapping the Torque generated class footprint, understanding the rendering chain under Turbine 7 — continues alongside these activities.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AI tools help?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tooling has a well-defined role once the analysis phase establishes the approach for each component. OpenRewrite addresses import-level namespace renames. AI code assistance can support pattern-based conversion work for components where the migration pattern has been validated by human analysis. For architectural decisions — particularly around Turbine’s GTP service bundle, Torque’s generated class surface, and the rendering chain — human-led analysis must come first. AI tooling builds on that foundation.</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Total estimated source migration effort?</w:t>
            </w:r>
          </w:p>
        </w:tc>
        <w:tc>
          <w:tcPr>
            <w:tcW w:type="dxa" w:w="5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Subject to detailed scoping — effort estimation in progress across all phases.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does the bank get at end?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GEB FCC running on JBoss EAP 8 with Java 17 and Jakarta EE 10. All known CVEs resolved. Every component in the dependency landscape assessed, migrated, and regression tested across all 18+ banking modules, the maker-checker workflow, WSService APIs, and batch processing. A platform that is fully supported, current, and no longer carrying the technical risk of running on an end-of-life stack.</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3"/>
              <w:left w:val="thick" w:color="1F4E79" w:sz="14"/>
              <w:bottom w:val="single" w:color="1F4E79" w:sz="3"/>
              <w:right w:val="single" w:color="1F4E79" w:sz="3"/>
            </w:tcBorders>
            <w:shd w:fill="E8F4FD" w:val="clear"/>
            <w:tcMar>
              <w:top w:type="dxa" w:w="120"/>
              <w:left w:type="dxa" w:w="200"/>
              <w:bottom w:type="dxa" w:w="120"/>
              <w:right w:type="dxa" w:w="160"/>
            </w:tcMar>
          </w:tcPr>
          <w:p>
            <w:pPr>
              <w:spacing w:before="0" w:after="60"/>
            </w:pPr>
            <w:r>
              <w:rPr>
                <w:rFonts w:ascii="Arial" w:cs="Arial" w:eastAsia="Arial" w:hAnsi="Arial"/>
                <w:b/>
                <w:bCs/>
                <w:color w:val="1F4E79"/>
                <w:sz w:val="20"/>
                <w:szCs w:val="20"/>
              </w:rPr>
              <w:t xml:space="preserve">Final Statement</w:t>
            </w:r>
          </w:p>
          <w:p>
            <w:pPr>
              <w:spacing w:before="0" w:after="0"/>
            </w:pPr>
            <w:r>
              <w:rPr>
                <w:rFonts w:ascii="Arial" w:cs="Arial" w:eastAsia="Arial" w:hAnsi="Arial"/>
                <w:sz w:val="20"/>
                <w:szCs w:val="20"/>
              </w:rPr>
              <w:t xml:space="preserve">The GEB FCC application is a 20+ year old enterprise banking platform built with tremendous architectural care by Finastra. The key discovery of this assessment is that Finastra's own abstraction layers — particularly the Portlet abstraction and the PoolBrokerService database facade — have significantly reduced the migration complexity. What initially appeared to be an extremely complex, multi-year rewrite has been confirmed by this assessment to be significantly more manageable with the right phased approach and AI tooling. The code is cleaner than anyone knew. Detailed effort estimation is currently in progress and will be presented as a follow-up deliverable. The path forward is clear.</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808080"/>
        <w:sz w:val="16"/>
        <w:szCs w:val="16"/>
      </w:rPr>
      <w:t xml:space="preserve">Confidential — Wipro Internal / UOB Bank</w:t>
    </w:r>
    <w:r>
      <w:rPr>
        <w:rFonts w:ascii="Arial" w:cs="Arial" w:eastAsia="Arial" w:hAnsi="Arial"/>
        <w:color w:val="808080"/>
        <w:sz w:val="16"/>
        <w:szCs w:val="16"/>
      </w:rPr>
      <w:t xml:space="preserve">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pPr>
    <w:r>
      <w:rPr>
        <w:rFonts w:ascii="Arial" w:cs="Arial" w:eastAsia="Arial" w:hAnsi="Arial"/>
        <w:color w:val="1F4E79"/>
        <w:sz w:val="17"/>
        <w:szCs w:val="17"/>
      </w:rPr>
      <w:t xml:space="preserve">GEB FCC Platform — Application Architecture &amp; EAP 8 Migration Assessment</w:t>
    </w:r>
    <w:r>
      <w:rPr>
        <w:rFonts w:ascii="Arial" w:cs="Arial" w:eastAsia="Arial" w:hAnsi="Arial"/>
        <w:color w:val="808080"/>
        <w:sz w:val="17"/>
        <w:szCs w:val="17"/>
      </w:rPr>
      <w:t xml:space="preserve">    |    Wipro / UOB Bank Singapore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F4E79"/>
      <w:sz w:val="34"/>
      <w:szCs w:val="34"/>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2026-03-28T13:04:30.348Z</dcterms:created>
  <dcterms:modified xsi:type="dcterms:W3CDTF">2026-03-28T13:04:30.349Z</dcterms:modified>
</cp:coreProperties>
</file>

<file path=docProps/custom.xml><?xml version="1.0" encoding="utf-8"?>
<Properties xmlns="http://schemas.openxmlformats.org/officeDocument/2006/custom-properties" xmlns:vt="http://schemas.openxmlformats.org/officeDocument/2006/docPropsVTypes"/>
</file>