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Calibri" w:cs="Calibri" w:eastAsia="Calibri" w:hAnsi="Calibri"/>
          <w:b w:val="false"/>
          <w:bCs w:val="false"/>
          <w:i w:val="false"/>
          <w:iCs w:val="false"/>
          <w:color w:val="2C3E50"/>
          <w:sz w:val="40"/>
          <w:szCs w:val="40"/>
        </w:rPr>
        <w:t xml:space="preserve"/>
      </w:r>
    </w:p>
    <w:p>
      <w:pPr>
        <w:spacing w:after="100" w:before="0"/>
        <w:jc w:val="center"/>
      </w:pPr>
      <w:r>
        <w:rPr>
          <w:rFonts w:ascii="Calibri" w:cs="Calibri" w:eastAsia="Calibri" w:hAnsi="Calibri"/>
          <w:b/>
          <w:bCs/>
          <w:i w:val="false"/>
          <w:iCs w:val="false"/>
          <w:color w:val="1F3559"/>
          <w:sz w:val="56"/>
          <w:szCs w:val="56"/>
        </w:rPr>
        <w:t xml:space="preserve">GEB Platform</w:t>
      </w:r>
    </w:p>
    <w:p>
      <w:pPr>
        <w:spacing w:after="300" w:before="0"/>
        <w:jc w:val="center"/>
      </w:pPr>
      <w:r>
        <w:rPr>
          <w:rFonts w:ascii="Calibri" w:cs="Calibri" w:eastAsia="Calibri" w:hAnsi="Calibri"/>
          <w:b/>
          <w:bCs/>
          <w:i w:val="false"/>
          <w:iCs w:val="false"/>
          <w:color w:val="324B6E"/>
          <w:sz w:val="40"/>
          <w:szCs w:val="40"/>
        </w:rPr>
        <w:t xml:space="preserve">CVE Remediation — Solution Document</w:t>
      </w:r>
    </w:p>
    <w:p>
      <w:pPr>
        <w:spacing w:after="60" w:before="0"/>
        <w:jc w:val="center"/>
      </w:pPr>
      <w:r>
        <w:rPr>
          <w:rFonts w:ascii="Calibri" w:cs="Calibri" w:eastAsia="Calibri" w:hAnsi="Calibri"/>
          <w:b w:val="false"/>
          <w:bCs w:val="false"/>
          <w:i w:val="false"/>
          <w:iCs w:val="false"/>
          <w:color w:val="5A6A7A"/>
          <w:sz w:val="24"/>
          <w:szCs w:val="24"/>
        </w:rPr>
        <w:t xml:space="preserve">Portal Application  ·  Countries in Scope: SG, CN, TH</w:t>
      </w:r>
    </w:p>
    <w:p>
      <w:pPr>
        <w:spacing w:after="2000" w:before="0"/>
        <w:jc w:val="center"/>
      </w:pPr>
      <w:r>
        <w:rPr>
          <w:rFonts w:ascii="Calibri" w:cs="Calibri" w:eastAsia="Calibri" w:hAnsi="Calibri"/>
          <w:b w:val="false"/>
          <w:bCs w:val="false"/>
          <w:i/>
          <w:iCs/>
          <w:color w:val="5A6A7A"/>
          <w:sz w:val="24"/>
          <w:szCs w:val="24"/>
        </w:rPr>
        <w:t xml:space="preserve">August 2026 Release</w:t>
      </w:r>
    </w:p>
    <w:p>
      <w:pPr>
        <w:spacing w:after="60" w:before="0"/>
        <w:jc w:val="center"/>
      </w:pPr>
      <w:r>
        <w:rPr>
          <w:rFonts w:ascii="Calibri" w:cs="Calibri" w:eastAsia="Calibri" w:hAnsi="Calibri"/>
          <w:b/>
          <w:bCs/>
          <w:i w:val="false"/>
          <w:iCs w:val="false"/>
          <w:color w:val="2C3E50"/>
          <w:sz w:val="22"/>
          <w:szCs w:val="22"/>
        </w:rPr>
        <w:t xml:space="preserve">Prepared by  Wipro Consulting</w:t>
      </w:r>
    </w:p>
    <w:p>
      <w:pPr>
        <w:spacing w:after="400" w:before="0"/>
        <w:jc w:val="center"/>
      </w:pPr>
      <w:r>
        <w:rPr>
          <w:rFonts w:ascii="Calibri" w:cs="Calibri" w:eastAsia="Calibri" w:hAnsi="Calibri"/>
          <w:b/>
          <w:bCs/>
          <w:i w:val="false"/>
          <w:iCs w:val="false"/>
          <w:color w:val="2C3E50"/>
          <w:sz w:val="22"/>
          <w:szCs w:val="22"/>
        </w:rPr>
        <w:t xml:space="preserve">For  United Overseas Bank (UOB)</w:t>
      </w:r>
    </w:p>
    <w:p>
      <w:pPr>
        <w:spacing w:after="40" w:before="0"/>
        <w:jc w:val="center"/>
      </w:pPr>
      <w:r>
        <w:rPr>
          <w:rFonts w:ascii="Calibri" w:cs="Calibri" w:eastAsia="Calibri" w:hAnsi="Calibri"/>
          <w:b w:val="false"/>
          <w:bCs w:val="false"/>
          <w:i w:val="false"/>
          <w:iCs w:val="false"/>
          <w:color w:val="5A6A7A"/>
          <w:sz w:val="20"/>
          <w:szCs w:val="20"/>
        </w:rPr>
        <w:t xml:space="preserve">Version 1.0</w:t>
      </w:r>
    </w:p>
    <w:p>
      <w:pPr>
        <w:spacing w:after="40" w:before="0"/>
        <w:jc w:val="center"/>
      </w:pPr>
      <w:r>
        <w:rPr>
          <w:rFonts w:ascii="Calibri" w:cs="Calibri" w:eastAsia="Calibri" w:hAnsi="Calibri"/>
          <w:b w:val="false"/>
          <w:bCs w:val="false"/>
          <w:i/>
          <w:iCs/>
          <w:color w:val="5A6A7A"/>
          <w:sz w:val="20"/>
          <w:szCs w:val="20"/>
        </w:rPr>
        <w:t xml:space="preserve">Classification: Restricted</w:t>
      </w:r>
    </w:p>
    <w:p>
      <w:r>
        <w:br w:type="page"/>
      </w:r>
    </w:p>
    <w:p>
      <w:pPr>
        <w:sectPr>
          <w:pgSz w:w="11906" w:h="16838" w:orient="portrait"/>
          <w:pgMar w:top="1440" w:right="1080" w:bottom="1440" w:left="1080" w:header="708" w:footer="708" w:gutter="0"/>
          <w:pgNumType/>
          <w:docGrid w:linePitch="360"/>
        </w:sectPr>
      </w:pPr>
    </w:p>
    <w:p>
      <w:pPr>
        <w:pStyle w:val="Heading1"/>
        <w:pBdr>
          <w:bottom w:val="single" w:color="324B6E" w:sz="10" w:space="6"/>
        </w:pBdr>
        <w:spacing w:after="180" w:before="320" w:line="320"/>
      </w:pPr>
      <w:r>
        <w:rPr>
          <w:rFonts w:ascii="Calibri" w:cs="Calibri" w:eastAsia="Calibri" w:hAnsi="Calibri"/>
          <w:b/>
          <w:bCs/>
          <w:color w:val="1F3559"/>
          <w:sz w:val="32"/>
          <w:szCs w:val="32"/>
        </w:rPr>
        <w:t xml:space="preserve">Document Control</w:t>
      </w:r>
    </w:p>
    <w:p>
      <w:pPr>
        <w:pStyle w:val="Heading2"/>
        <w:spacing w:after="100" w:before="240" w:line="300"/>
      </w:pPr>
      <w:r>
        <w:rPr>
          <w:rFonts w:ascii="Calibri" w:cs="Calibri" w:eastAsia="Calibri" w:hAnsi="Calibri"/>
          <w:b/>
          <w:bCs/>
          <w:color w:val="324B6E"/>
          <w:sz w:val="26"/>
          <w:szCs w:val="26"/>
        </w:rPr>
        <w:t xml:space="preserve">Version History</w:t>
      </w:r>
    </w:p>
    <w:tbl>
      <w:tblPr>
        <w:tblW w:type="dxa" w:w="9200"/>
        <w:tblBorders>
          <w:top w:val="single" w:color="B5BEC9" w:sz="6"/>
          <w:left w:val="single" w:color="B5BEC9" w:sz="6"/>
          <w:bottom w:val="single" w:color="B5BEC9" w:sz="6"/>
          <w:right w:val="single" w:color="B5BEC9" w:sz="6"/>
          <w:insideH w:val="single" w:color="D6DCE5" w:sz="4"/>
          <w:insideV w:val="single" w:color="D6DCE5" w:sz="4"/>
        </w:tblBorders>
      </w:tblPr>
      <w:tblGrid>
        <w:gridCol w:w="1000"/>
        <w:gridCol w:w="1400"/>
        <w:gridCol w:w="2400"/>
        <w:gridCol w:w="4400"/>
      </w:tblGrid>
      <w:tr>
        <w:trPr>
          <w:tblHeader/>
          <w:trHeight w:val="500" w:hRule="atLeast"/>
        </w:trPr>
        <w:tc>
          <w:tcPr>
            <w:tcW w:type="dxa" w:w="1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Version</w:t>
            </w:r>
          </w:p>
        </w:tc>
        <w:tc>
          <w:tcPr>
            <w:tcW w:type="dxa" w:w="1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Date</w:t>
            </w:r>
          </w:p>
        </w:tc>
        <w:tc>
          <w:tcPr>
            <w:tcW w:type="dxa" w:w="2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Author</w:t>
            </w:r>
          </w:p>
        </w:tc>
        <w:tc>
          <w:tcPr>
            <w:tcW w:type="dxa" w:w="4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Change Summary</w:t>
            </w:r>
          </w:p>
        </w:tc>
      </w:tr>
      <w:tr>
        <w:trPr>
          <w:trHeight w:val="400" w:hRule="atLeast"/>
        </w:trPr>
        <w:tc>
          <w:tcPr>
            <w:tcW w:type="dxa" w:w="1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1.0</w:t>
            </w:r>
          </w:p>
        </w:tc>
        <w:tc>
          <w:tcPr>
            <w:tcW w:type="dxa" w:w="1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07 Jul 2026</w:t>
            </w:r>
          </w:p>
        </w:tc>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Sai Pavan Jaldu (Wipro)</w:t>
            </w:r>
          </w:p>
        </w:tc>
        <w:tc>
          <w:tcPr>
            <w:tcW w:type="dxa" w:w="4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Initial baseline for SG, CN, TH August release.</w:t>
            </w:r>
          </w:p>
        </w:tc>
      </w:tr>
    </w:tbl>
    <w:p>
      <w:pPr>
        <w:spacing w:after="60" w:before="60" w:line="300"/>
        <w:jc w:val="left"/>
      </w:pPr>
      <w:r>
        <w:rPr>
          <w:rFonts w:ascii="Calibri" w:cs="Calibri" w:eastAsia="Calibri" w:hAnsi="Calibri"/>
          <w:b w:val="false"/>
          <w:bCs w:val="false"/>
          <w:i w:val="false"/>
          <w:iCs w:val="false"/>
          <w:color w:val="2C3E50"/>
          <w:sz w:val="22"/>
          <w:szCs w:val="22"/>
        </w:rPr>
        <w:t xml:space="preserve"/>
      </w:r>
    </w:p>
    <w:p>
      <w:pPr>
        <w:pStyle w:val="Heading2"/>
        <w:spacing w:after="100" w:before="240" w:line="300"/>
      </w:pPr>
      <w:r>
        <w:rPr>
          <w:rFonts w:ascii="Calibri" w:cs="Calibri" w:eastAsia="Calibri" w:hAnsi="Calibri"/>
          <w:b/>
          <w:bCs/>
          <w:color w:val="324B6E"/>
          <w:sz w:val="26"/>
          <w:szCs w:val="26"/>
        </w:rPr>
        <w:t xml:space="preserve">Prepared By</w:t>
      </w:r>
    </w:p>
    <w:tbl>
      <w:tblPr>
        <w:tblW w:type="dxa" w:w="9200"/>
        <w:tblBorders>
          <w:top w:val="single" w:color="B5BEC9" w:sz="6"/>
          <w:left w:val="single" w:color="B5BEC9" w:sz="6"/>
          <w:bottom w:val="single" w:color="B5BEC9" w:sz="6"/>
          <w:right w:val="single" w:color="B5BEC9" w:sz="6"/>
          <w:insideH w:val="single" w:color="D6DCE5" w:sz="4"/>
          <w:insideV w:val="single" w:color="D6DCE5" w:sz="4"/>
        </w:tblBorders>
      </w:tblPr>
      <w:tblGrid>
        <w:gridCol w:w="3200"/>
        <w:gridCol w:w="3600"/>
        <w:gridCol w:w="2400"/>
      </w:tblGrid>
      <w:tr>
        <w:trPr>
          <w:tblHeader/>
          <w:trHeight w:val="500" w:hRule="atLeast"/>
        </w:trPr>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Name</w:t>
            </w:r>
          </w:p>
        </w:tc>
        <w:tc>
          <w:tcPr>
            <w:tcW w:type="dxa" w:w="36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Role</w:t>
            </w:r>
          </w:p>
        </w:tc>
        <w:tc>
          <w:tcPr>
            <w:tcW w:type="dxa" w:w="2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Organisation</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Sai Pavan Jaldu</w:t>
            </w:r>
          </w:p>
        </w:tc>
        <w:tc>
          <w:tcPr>
            <w:tcW w:type="dxa" w:w="3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Consultant, Engagement Lead</w:t>
            </w:r>
          </w:p>
        </w:tc>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Wipro Consulting</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Archana Rajendiran</w:t>
            </w:r>
          </w:p>
        </w:tc>
        <w:tc>
          <w:tcPr>
            <w:tcW w:type="dxa" w:w="3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Solution Architect</w:t>
            </w:r>
          </w:p>
        </w:tc>
        <w:tc>
          <w:tcPr>
            <w:tcW w:type="dxa" w:w="2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Wipro Consulting</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Mohan Panchagnula</w:t>
            </w:r>
          </w:p>
        </w:tc>
        <w:tc>
          <w:tcPr>
            <w:tcW w:type="dxa" w:w="3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Delivery Lead</w:t>
            </w:r>
          </w:p>
        </w:tc>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Wipro Consulting</w:t>
            </w:r>
          </w:p>
        </w:tc>
      </w:tr>
    </w:tbl>
    <w:p>
      <w:pPr>
        <w:spacing w:after="60" w:before="60" w:line="300"/>
        <w:jc w:val="left"/>
      </w:pPr>
      <w:r>
        <w:rPr>
          <w:rFonts w:ascii="Calibri" w:cs="Calibri" w:eastAsia="Calibri" w:hAnsi="Calibri"/>
          <w:b w:val="false"/>
          <w:bCs w:val="false"/>
          <w:i w:val="false"/>
          <w:iCs w:val="false"/>
          <w:color w:val="2C3E50"/>
          <w:sz w:val="22"/>
          <w:szCs w:val="22"/>
        </w:rPr>
        <w:t xml:space="preserve"/>
      </w:r>
    </w:p>
    <w:p>
      <w:pPr>
        <w:pStyle w:val="Heading2"/>
        <w:spacing w:after="100" w:before="240" w:line="300"/>
      </w:pPr>
      <w:r>
        <w:rPr>
          <w:rFonts w:ascii="Calibri" w:cs="Calibri" w:eastAsia="Calibri" w:hAnsi="Calibri"/>
          <w:b/>
          <w:bCs/>
          <w:color w:val="324B6E"/>
          <w:sz w:val="26"/>
          <w:szCs w:val="26"/>
        </w:rPr>
        <w:t xml:space="preserve">Reviewed By</w:t>
      </w:r>
    </w:p>
    <w:tbl>
      <w:tblPr>
        <w:tblW w:type="dxa" w:w="9200"/>
        <w:tblBorders>
          <w:top w:val="single" w:color="B5BEC9" w:sz="6"/>
          <w:left w:val="single" w:color="B5BEC9" w:sz="6"/>
          <w:bottom w:val="single" w:color="B5BEC9" w:sz="6"/>
          <w:right w:val="single" w:color="B5BEC9" w:sz="6"/>
          <w:insideH w:val="single" w:color="D6DCE5" w:sz="4"/>
          <w:insideV w:val="single" w:color="D6DCE5" w:sz="4"/>
        </w:tblBorders>
      </w:tblPr>
      <w:tblGrid>
        <w:gridCol w:w="3200"/>
        <w:gridCol w:w="3600"/>
        <w:gridCol w:w="2400"/>
      </w:tblGrid>
      <w:tr>
        <w:trPr>
          <w:tblHeader/>
          <w:trHeight w:val="500" w:hRule="atLeast"/>
        </w:trPr>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Name</w:t>
            </w:r>
          </w:p>
        </w:tc>
        <w:tc>
          <w:tcPr>
            <w:tcW w:type="dxa" w:w="36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Role</w:t>
            </w:r>
          </w:p>
        </w:tc>
        <w:tc>
          <w:tcPr>
            <w:tcW w:type="dxa" w:w="2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Organisation</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Gwee Bor Ching</w:t>
            </w:r>
          </w:p>
        </w:tc>
        <w:tc>
          <w:tcPr>
            <w:tcW w:type="dxa" w:w="3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SVP — GEB Platform</w:t>
            </w:r>
          </w:p>
        </w:tc>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UOB Bank</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Veeramani Surekha</w:t>
            </w:r>
          </w:p>
        </w:tc>
        <w:tc>
          <w:tcPr>
            <w:tcW w:type="dxa" w:w="3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VP — GEB Delivery</w:t>
            </w:r>
          </w:p>
        </w:tc>
        <w:tc>
          <w:tcPr>
            <w:tcW w:type="dxa" w:w="2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UOB Bank</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Govindarajan Subburayan</w:t>
            </w:r>
          </w:p>
        </w:tc>
        <w:tc>
          <w:tcPr>
            <w:tcW w:type="dxa" w:w="3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Bank Technical Lead</w:t>
            </w:r>
          </w:p>
        </w:tc>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UOB Bank</w:t>
            </w:r>
          </w:p>
        </w:tc>
      </w:tr>
    </w:tbl>
    <w:p>
      <w:pPr>
        <w:spacing w:after="60" w:before="60" w:line="300"/>
        <w:jc w:val="left"/>
      </w:pPr>
      <w:r>
        <w:rPr>
          <w:rFonts w:ascii="Calibri" w:cs="Calibri" w:eastAsia="Calibri" w:hAnsi="Calibri"/>
          <w:b w:val="false"/>
          <w:bCs w:val="false"/>
          <w:i w:val="false"/>
          <w:iCs w:val="false"/>
          <w:color w:val="2C3E50"/>
          <w:sz w:val="22"/>
          <w:szCs w:val="22"/>
        </w:rPr>
        <w:t xml:space="preserve"/>
      </w:r>
    </w:p>
    <w:p>
      <w:pPr>
        <w:pStyle w:val="Heading2"/>
        <w:spacing w:after="100" w:before="240" w:line="300"/>
      </w:pPr>
      <w:r>
        <w:rPr>
          <w:rFonts w:ascii="Calibri" w:cs="Calibri" w:eastAsia="Calibri" w:hAnsi="Calibri"/>
          <w:b/>
          <w:bCs/>
          <w:color w:val="324B6E"/>
          <w:sz w:val="26"/>
          <w:szCs w:val="26"/>
        </w:rPr>
        <w:t xml:space="preserve">Approvers</w:t>
      </w:r>
    </w:p>
    <w:tbl>
      <w:tblPr>
        <w:tblW w:type="dxa" w:w="9200"/>
        <w:tblBorders>
          <w:top w:val="single" w:color="B5BEC9" w:sz="6"/>
          <w:left w:val="single" w:color="B5BEC9" w:sz="6"/>
          <w:bottom w:val="single" w:color="B5BEC9" w:sz="6"/>
          <w:right w:val="single" w:color="B5BEC9" w:sz="6"/>
          <w:insideH w:val="single" w:color="D6DCE5" w:sz="4"/>
          <w:insideV w:val="single" w:color="D6DCE5" w:sz="4"/>
        </w:tblBorders>
      </w:tblPr>
      <w:tblGrid>
        <w:gridCol w:w="3200"/>
        <w:gridCol w:w="3600"/>
        <w:gridCol w:w="2400"/>
      </w:tblGrid>
      <w:tr>
        <w:trPr>
          <w:tblHeader/>
          <w:trHeight w:val="500" w:hRule="atLeast"/>
        </w:trPr>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Name</w:t>
            </w:r>
          </w:p>
        </w:tc>
        <w:tc>
          <w:tcPr>
            <w:tcW w:type="dxa" w:w="36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Role</w:t>
            </w:r>
          </w:p>
        </w:tc>
        <w:tc>
          <w:tcPr>
            <w:tcW w:type="dxa" w:w="2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Organisation</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Gwee Bor Ching</w:t>
            </w:r>
          </w:p>
        </w:tc>
        <w:tc>
          <w:tcPr>
            <w:tcW w:type="dxa" w:w="3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SVP — GEB Platform</w:t>
            </w:r>
          </w:p>
        </w:tc>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UOB Bank</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Veeramani Surekha</w:t>
            </w:r>
          </w:p>
        </w:tc>
        <w:tc>
          <w:tcPr>
            <w:tcW w:type="dxa" w:w="3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VP — GEB Delivery</w:t>
            </w:r>
          </w:p>
        </w:tc>
        <w:tc>
          <w:tcPr>
            <w:tcW w:type="dxa" w:w="2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UOB Bank</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Country SPOCs — SG, CN, TH</w:t>
            </w:r>
          </w:p>
        </w:tc>
        <w:tc>
          <w:tcPr>
            <w:tcW w:type="dxa" w:w="3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Country Delivery Owners</w:t>
            </w:r>
          </w:p>
        </w:tc>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UOB Bank</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Mohan Panchagnula</w:t>
            </w:r>
          </w:p>
        </w:tc>
        <w:tc>
          <w:tcPr>
            <w:tcW w:type="dxa" w:w="3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Delivery Lead</w:t>
            </w:r>
          </w:p>
        </w:tc>
        <w:tc>
          <w:tcPr>
            <w:tcW w:type="dxa" w:w="2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Wipro Consulting</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Archana Rajendiran</w:t>
            </w:r>
          </w:p>
        </w:tc>
        <w:tc>
          <w:tcPr>
            <w:tcW w:type="dxa" w:w="3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Solution Architect</w:t>
            </w:r>
          </w:p>
        </w:tc>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Wipro Consulting</w:t>
            </w:r>
          </w:p>
        </w:tc>
      </w:tr>
    </w:tbl>
    <w:p>
      <w:r>
        <w:br w:type="page"/>
      </w:r>
    </w:p>
    <w:p>
      <w:pPr>
        <w:pStyle w:val="Heading1"/>
        <w:pBdr>
          <w:bottom w:val="single" w:color="324B6E" w:sz="10" w:space="6"/>
        </w:pBdr>
        <w:spacing w:after="180" w:before="320" w:line="320"/>
      </w:pPr>
      <w:r>
        <w:rPr>
          <w:rFonts w:ascii="Calibri" w:cs="Calibri" w:eastAsia="Calibri" w:hAnsi="Calibri"/>
          <w:b/>
          <w:bCs/>
          <w:color w:val="1F3559"/>
          <w:sz w:val="32"/>
          <w:szCs w:val="32"/>
        </w:rPr>
        <w:t xml:space="preserve">1.  Introduction</w:t>
      </w:r>
    </w:p>
    <w:p>
      <w:pPr>
        <w:pStyle w:val="Heading2"/>
        <w:spacing w:after="100" w:before="240" w:line="300"/>
      </w:pPr>
      <w:r>
        <w:rPr>
          <w:rFonts w:ascii="Calibri" w:cs="Calibri" w:eastAsia="Calibri" w:hAnsi="Calibri"/>
          <w:b/>
          <w:bCs/>
          <w:color w:val="324B6E"/>
          <w:sz w:val="26"/>
          <w:szCs w:val="26"/>
        </w:rPr>
        <w:t xml:space="preserve">1.1  Purpose</w:t>
      </w:r>
    </w:p>
    <w:p>
      <w:pPr>
        <w:spacing w:after="60" w:before="60" w:line="300"/>
        <w:jc w:val="left"/>
      </w:pPr>
      <w:r>
        <w:rPr>
          <w:rFonts w:ascii="Calibri" w:cs="Calibri" w:eastAsia="Calibri" w:hAnsi="Calibri"/>
          <w:b w:val="false"/>
          <w:bCs w:val="false"/>
          <w:i w:val="false"/>
          <w:iCs w:val="false"/>
          <w:color w:val="2C3E50"/>
          <w:sz w:val="21"/>
          <w:szCs w:val="21"/>
        </w:rPr>
        <w:t xml:space="preserve">This document is the formal solution baseline for the CVE remediation activity on the GEB Portal platform, jointly agreed between UOB and Wipro. It defines the scope of remediation, the analysis approach that was applied, the per-JAR solution being delivered, the residual risk position on items that cannot be fully closed on the current technology stack, and the testing responsibility split between Wipro and UOB.</w:t>
      </w:r>
    </w:p>
    <w:p>
      <w:pPr>
        <w:spacing w:after="60" w:before="60" w:line="300"/>
        <w:jc w:val="left"/>
      </w:pPr>
      <w:r>
        <w:rPr>
          <w:rFonts w:ascii="Calibri" w:cs="Calibri" w:eastAsia="Calibri" w:hAnsi="Calibri"/>
          <w:b w:val="false"/>
          <w:bCs w:val="false"/>
          <w:i w:val="false"/>
          <w:iCs w:val="false"/>
          <w:color w:val="2C3E50"/>
          <w:sz w:val="21"/>
          <w:szCs w:val="21"/>
        </w:rPr>
        <w:t xml:space="preserve">The intent is that this document becomes the single reference point for both organisations during and after the delivery cycle — for build, test, release, audit and post-implementation review.</w:t>
      </w:r>
    </w:p>
    <w:p>
      <w:pPr>
        <w:pStyle w:val="Heading2"/>
        <w:spacing w:after="100" w:before="240" w:line="300"/>
      </w:pPr>
      <w:r>
        <w:rPr>
          <w:rFonts w:ascii="Calibri" w:cs="Calibri" w:eastAsia="Calibri" w:hAnsi="Calibri"/>
          <w:b/>
          <w:bCs/>
          <w:color w:val="324B6E"/>
          <w:sz w:val="26"/>
          <w:szCs w:val="26"/>
        </w:rPr>
        <w:t xml:space="preserve">1.2  Background</w:t>
      </w:r>
    </w:p>
    <w:p>
      <w:pPr>
        <w:spacing w:after="60" w:before="60" w:line="300"/>
        <w:jc w:val="left"/>
      </w:pPr>
      <w:r>
        <w:rPr>
          <w:rFonts w:ascii="Calibri" w:cs="Calibri" w:eastAsia="Calibri" w:hAnsi="Calibri"/>
          <w:b w:val="false"/>
          <w:bCs w:val="false"/>
          <w:i w:val="false"/>
          <w:iCs w:val="false"/>
          <w:color w:val="2C3E50"/>
          <w:sz w:val="21"/>
          <w:szCs w:val="21"/>
        </w:rPr>
        <w:t xml:space="preserve">UOB uses Veracode as the Software Composition Analysis (SCA) tool for the GEB Portal codebase. The Veracode scan performed on 5 May 2026 flagged a set of open-source Java library components with published Common Vulnerabilities and Exposures (CVEs) at CVSS ≥ 7.0. The bank has mandated remediation of these High and Critical items across all markets running the GEB platform. A parallel assessment shared by the bank team, referenced in this document as the 'Claude Report', was used by Wipro as a cross-validation input for the target version and exploitability analysis.</w:t>
      </w:r>
    </w:p>
    <w:p>
      <w:pPr>
        <w:spacing w:after="60" w:before="60" w:line="300"/>
        <w:jc w:val="left"/>
      </w:pPr>
      <w:r>
        <w:rPr>
          <w:rFonts w:ascii="Calibri" w:cs="Calibri" w:eastAsia="Calibri" w:hAnsi="Calibri"/>
          <w:b w:val="false"/>
          <w:bCs w:val="false"/>
          <w:i w:val="false"/>
          <w:iCs w:val="false"/>
          <w:color w:val="2C3E50"/>
          <w:sz w:val="21"/>
          <w:szCs w:val="21"/>
        </w:rPr>
        <w:t xml:space="preserve">This activity is being executed as a country-phased delivery. The first phase, covered by this document, targets the SG, CN and TH markets for the August 2026 release. Subsequent markets (MY, HK, ID, OV) are planned for later cycles and are outside the current agreement.</w:t>
      </w:r>
    </w:p>
    <w:p>
      <w:pPr>
        <w:pStyle w:val="Heading2"/>
        <w:spacing w:after="100" w:before="240" w:line="300"/>
      </w:pPr>
      <w:r>
        <w:rPr>
          <w:rFonts w:ascii="Calibri" w:cs="Calibri" w:eastAsia="Calibri" w:hAnsi="Calibri"/>
          <w:b/>
          <w:bCs/>
          <w:color w:val="324B6E"/>
          <w:sz w:val="26"/>
          <w:szCs w:val="26"/>
        </w:rPr>
        <w:t xml:space="preserve">1.3  Audience and Applicability</w:t>
      </w:r>
    </w:p>
    <w:p>
      <w:pPr>
        <w:spacing w:after="60" w:before="60" w:line="300"/>
        <w:jc w:val="left"/>
      </w:pPr>
      <w:r>
        <w:rPr>
          <w:rFonts w:ascii="Calibri" w:cs="Calibri" w:eastAsia="Calibri" w:hAnsi="Calibri"/>
          <w:b w:val="false"/>
          <w:bCs w:val="false"/>
          <w:i w:val="false"/>
          <w:iCs w:val="false"/>
          <w:color w:val="2C3E50"/>
          <w:sz w:val="21"/>
          <w:szCs w:val="21"/>
        </w:rPr>
        <w:t xml:space="preserve">The primary readers of this document are Wipro and UOB stakeholders directly involved in the remediation cycle — senior leadership on both sides, country delivery SPOCs, and the technical teams executing the fix. The document applies to the Portal application within GEB and to the 21 JAR components identified as in scope for the August release.</w:t>
      </w:r>
    </w:p>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2.  Scope</w:t>
      </w:r>
    </w:p>
    <w:p>
      <w:pPr>
        <w:pStyle w:val="Heading2"/>
        <w:spacing w:after="100" w:before="240" w:line="300"/>
      </w:pPr>
      <w:r>
        <w:rPr>
          <w:rFonts w:ascii="Calibri" w:cs="Calibri" w:eastAsia="Calibri" w:hAnsi="Calibri"/>
          <w:b/>
          <w:bCs/>
          <w:color w:val="324B6E"/>
          <w:sz w:val="26"/>
          <w:szCs w:val="26"/>
        </w:rPr>
        <w:t xml:space="preserve">2.1  In-Scope Countries</w:t>
      </w:r>
    </w:p>
    <w:p>
      <w:pPr>
        <w:spacing w:after="60" w:before="60" w:line="300"/>
        <w:jc w:val="left"/>
      </w:pPr>
      <w:r>
        <w:rPr>
          <w:rFonts w:ascii="Calibri" w:cs="Calibri" w:eastAsia="Calibri" w:hAnsi="Calibri"/>
          <w:b w:val="false"/>
          <w:bCs w:val="false"/>
          <w:i w:val="false"/>
          <w:iCs w:val="false"/>
          <w:color w:val="2C3E50"/>
          <w:sz w:val="21"/>
          <w:szCs w:val="21"/>
        </w:rPr>
        <w:t xml:space="preserve">The current release cycle covers three markets:</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1600"/>
        <w:gridCol w:w="3600"/>
        <w:gridCol w:w="3800"/>
      </w:tblGrid>
      <w:tr>
        <w:trPr>
          <w:tblHeader/>
          <w:trHeight w:val="500" w:hRule="atLeast"/>
        </w:trPr>
        <w:tc>
          <w:tcPr>
            <w:tcW w:type="dxa" w:w="16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Country</w:t>
            </w:r>
          </w:p>
        </w:tc>
        <w:tc>
          <w:tcPr>
            <w:tcW w:type="dxa" w:w="36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Current Stack Position</w:t>
            </w:r>
          </w:p>
        </w:tc>
        <w:tc>
          <w:tcPr>
            <w:tcW w:type="dxa" w:w="38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Target State (August 2026)</w:t>
            </w:r>
          </w:p>
        </w:tc>
      </w:tr>
      <w:tr>
        <w:trPr>
          <w:trHeight w:val="400" w:hRule="atLeast"/>
        </w:trPr>
        <w:tc>
          <w:tcPr>
            <w:tcW w:type="dxa" w:w="1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Singapore (SG)</w:t>
            </w:r>
          </w:p>
        </w:tc>
        <w:tc>
          <w:tcPr>
            <w:tcW w:type="dxa" w:w="3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 4.2.9 family on GEB Portal.</w:t>
            </w:r>
          </w:p>
        </w:tc>
        <w:tc>
          <w:tcPr>
            <w:tcW w:type="dxa" w:w="3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to 5.3.34 target. Delivered in two batches (Batch 1: 07 Jul, Batch 2: 14 Jul via CN retrofit).</w:t>
            </w:r>
          </w:p>
        </w:tc>
      </w:tr>
      <w:tr>
        <w:trPr>
          <w:trHeight w:val="400" w:hRule="atLeast"/>
        </w:trPr>
        <w:tc>
          <w:tcPr>
            <w:tcW w:type="dxa" w:w="1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China (CN)</w:t>
            </w:r>
          </w:p>
        </w:tc>
        <w:tc>
          <w:tcPr>
            <w:tcW w:type="dxa" w:w="3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 5.3.27 family on GEB Portal.</w:t>
            </w:r>
          </w:p>
        </w:tc>
        <w:tc>
          <w:tcPr>
            <w:tcW w:type="dxa" w:w="3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Upgraded to 5.3.34 target. CN acts as the primary development lane; CN artefacts become the retrofit source for TH and SG Batch 2.</w:t>
            </w:r>
          </w:p>
        </w:tc>
      </w:tr>
      <w:tr>
        <w:trPr>
          <w:trHeight w:val="400" w:hRule="atLeast"/>
        </w:trPr>
        <w:tc>
          <w:tcPr>
            <w:tcW w:type="dxa" w:w="1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Thailand (TH)</w:t>
            </w:r>
          </w:p>
        </w:tc>
        <w:tc>
          <w:tcPr>
            <w:tcW w:type="dxa" w:w="3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 5.3.27 family on GEB Portal.</w:t>
            </w:r>
          </w:p>
        </w:tc>
        <w:tc>
          <w:tcPr>
            <w:tcW w:type="dxa" w:w="3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to 5.3.34 via retrofit from CN. Target release 22 Aug 2026.</w:t>
            </w:r>
          </w:p>
        </w:tc>
      </w:tr>
    </w:tbl>
    <w:p>
      <w:pPr>
        <w:pStyle w:val="Heading2"/>
        <w:spacing w:after="100" w:before="240" w:line="300"/>
      </w:pPr>
      <w:r>
        <w:rPr>
          <w:rFonts w:ascii="Calibri" w:cs="Calibri" w:eastAsia="Calibri" w:hAnsi="Calibri"/>
          <w:b/>
          <w:bCs/>
          <w:color w:val="324B6E"/>
          <w:sz w:val="26"/>
          <w:szCs w:val="26"/>
        </w:rPr>
        <w:t xml:space="preserve">2.2  In-Scope Application</w:t>
      </w:r>
    </w:p>
    <w:p>
      <w:pPr>
        <w:spacing w:after="60" w:before="60" w:line="300"/>
        <w:jc w:val="left"/>
      </w:pPr>
      <w:r>
        <w:rPr>
          <w:rFonts w:ascii="Calibri" w:cs="Calibri" w:eastAsia="Calibri" w:hAnsi="Calibri"/>
          <w:b w:val="false"/>
          <w:bCs w:val="false"/>
          <w:i w:val="false"/>
          <w:iCs w:val="false"/>
          <w:color w:val="2C3E50"/>
          <w:sz w:val="21"/>
          <w:szCs w:val="21"/>
        </w:rPr>
        <w:t xml:space="preserve">The scope is limited to the GEB Portal application. Batch application scope is being tracked as a separate work stream and is not covered by this document.</w:t>
      </w:r>
    </w:p>
    <w:p>
      <w:pPr>
        <w:pStyle w:val="Heading2"/>
        <w:spacing w:after="100" w:before="240" w:line="300"/>
      </w:pPr>
      <w:r>
        <w:rPr>
          <w:rFonts w:ascii="Calibri" w:cs="Calibri" w:eastAsia="Calibri" w:hAnsi="Calibri"/>
          <w:b/>
          <w:bCs/>
          <w:color w:val="324B6E"/>
          <w:sz w:val="26"/>
          <w:szCs w:val="26"/>
        </w:rPr>
        <w:t xml:space="preserve">2.3  In-Scope JAR Baseline</w:t>
      </w:r>
    </w:p>
    <w:p>
      <w:pPr>
        <w:spacing w:after="60" w:before="60" w:line="300"/>
        <w:jc w:val="left"/>
      </w:pPr>
      <w:r>
        <w:rPr>
          <w:rFonts w:ascii="Calibri" w:cs="Calibri" w:eastAsia="Calibri" w:hAnsi="Calibri"/>
          <w:b w:val="false"/>
          <w:bCs w:val="false"/>
          <w:i w:val="false"/>
          <w:iCs w:val="false"/>
          <w:color w:val="2C3E50"/>
          <w:sz w:val="21"/>
          <w:szCs w:val="21"/>
        </w:rPr>
        <w:t xml:space="preserve">Twenty-one (21) JAR components on the GEB Portal application are in scope for the August release. The baseline is anchored to the Veracode scan output and validated through source code review, Maven Central verification and public CVE database cross-check by Wipro. This same baseline applies uniformly across SG, CN and TH, with the practical action per country determined by each country's current version.</w:t>
      </w:r>
    </w:p>
    <w:p>
      <w:pPr>
        <w:pStyle w:val="Heading2"/>
        <w:spacing w:after="100" w:before="240" w:line="300"/>
      </w:pPr>
      <w:r>
        <w:rPr>
          <w:rFonts w:ascii="Calibri" w:cs="Calibri" w:eastAsia="Calibri" w:hAnsi="Calibri"/>
          <w:b/>
          <w:bCs/>
          <w:color w:val="324B6E"/>
          <w:sz w:val="26"/>
          <w:szCs w:val="26"/>
        </w:rPr>
        <w:t xml:space="preserve">2.4  Out of Scope</w:t>
      </w:r>
    </w:p>
    <w:p>
      <w:pPr>
        <w:spacing w:after="60" w:before="60" w:line="300"/>
        <w:jc w:val="left"/>
      </w:pPr>
      <w:r>
        <w:rPr>
          <w:rFonts w:ascii="Calibri" w:cs="Calibri" w:eastAsia="Calibri" w:hAnsi="Calibri"/>
          <w:b w:val="false"/>
          <w:bCs w:val="false"/>
          <w:i w:val="false"/>
          <w:iCs w:val="false"/>
          <w:color w:val="2C3E50"/>
          <w:sz w:val="21"/>
          <w:szCs w:val="21"/>
        </w:rPr>
        <w:t xml:space="preserve">The items below are outside the direct Wipro delivery scope for this cycle but are noted here for completeness so there is no ambiguity between the two organisations.</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Bank-owned Batik modules — batik-svgrasterizer 1.11 and batik-svgbrowser 1.11 — are maintained by the bank technical team, with source code not shared with Wipro. Handled by UOB (Praveen). Section 7 of this document carries the reference position.</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Portal residual items that require a JDK or JBoss uplift (currently Java 8 / JBoss EAP 7.3) are treated as residual risk, not remediation actions — see Section 9.</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GEB Batch application remediation is not covered by this document.</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Markets outside SG, CN, TH (namely MY, HK, ID, OV) are targeted in subsequent releases and will be governed by a separate solution baseline or a versioned update of this document.</w:t>
      </w:r>
    </w:p>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3.  Solution Approach</w:t>
      </w:r>
    </w:p>
    <w:p>
      <w:pPr>
        <w:pStyle w:val="Heading2"/>
        <w:spacing w:after="100" w:before="240" w:line="300"/>
      </w:pPr>
      <w:r>
        <w:rPr>
          <w:rFonts w:ascii="Calibri" w:cs="Calibri" w:eastAsia="Calibri" w:hAnsi="Calibri"/>
          <w:b/>
          <w:bCs/>
          <w:color w:val="324B6E"/>
          <w:sz w:val="26"/>
          <w:szCs w:val="26"/>
        </w:rPr>
        <w:t xml:space="preserve">3.1  Analysis Method</w:t>
      </w:r>
    </w:p>
    <w:p>
      <w:pPr>
        <w:spacing w:after="60" w:before="60" w:line="300"/>
        <w:jc w:val="left"/>
      </w:pPr>
      <w:r>
        <w:rPr>
          <w:rFonts w:ascii="Calibri" w:cs="Calibri" w:eastAsia="Calibri" w:hAnsi="Calibri"/>
          <w:b w:val="false"/>
          <w:bCs w:val="false"/>
          <w:i w:val="false"/>
          <w:iCs w:val="false"/>
          <w:color w:val="2C3E50"/>
          <w:sz w:val="21"/>
          <w:szCs w:val="21"/>
        </w:rPr>
        <w:t xml:space="preserve">For every JAR in scope, four independent checks were performed before locking a target version:</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Source code review of the GEB Portal codebase to establish where and how the library is used, and whether the flagged CVE's vulnerable class or API is exercised in GEB's execution path.</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Maven Central verification for available Java 8 / JBoss 7.3 compatible versions, and for the dependency graph that a chosen target brings into the classpath.</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Public CVE database cross-check (NVD, Snyk, vendor advisories) to confirm the CVE fix version reported in the Veracode output, and to test whether a target version is itself free of open High or Critical items.</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Reference market alignment — checking what version of each library already runs in reference markets and using that as the retrofit target wherever it fully closes the flagged CVE.</w:t>
      </w:r>
    </w:p>
    <w:p>
      <w:pPr>
        <w:pStyle w:val="Heading2"/>
        <w:spacing w:after="100" w:before="240" w:line="300"/>
      </w:pPr>
      <w:r>
        <w:rPr>
          <w:rFonts w:ascii="Calibri" w:cs="Calibri" w:eastAsia="Calibri" w:hAnsi="Calibri"/>
          <w:b/>
          <w:bCs/>
          <w:color w:val="324B6E"/>
          <w:sz w:val="26"/>
          <w:szCs w:val="26"/>
        </w:rPr>
        <w:t xml:space="preserve">3.2  Reference Market Retrofit Strategy</w:t>
      </w:r>
    </w:p>
    <w:p>
      <w:pPr>
        <w:spacing w:after="60" w:before="60" w:line="300"/>
        <w:jc w:val="left"/>
      </w:pPr>
      <w:r>
        <w:rPr>
          <w:rFonts w:ascii="Calibri" w:cs="Calibri" w:eastAsia="Calibri" w:hAnsi="Calibri"/>
          <w:b w:val="false"/>
          <w:bCs w:val="false"/>
          <w:i w:val="false"/>
          <w:iCs w:val="false"/>
          <w:color w:val="2C3E50"/>
          <w:sz w:val="21"/>
          <w:szCs w:val="21"/>
        </w:rPr>
        <w:t xml:space="preserve">Where a reference market (HK, VN, TH, CN, ID) is already on a version that closes the flagged CVE, Wipro's solution is to retrofit that version into the action markets rather than target a newer version. This minimises change, aligns SG with the other markets, and reduces regression risk. Where the reference market version still carries the CVE or where additional residual CVEs emerge at the newer 5.3.x line, the target has been raised to the highest compatible Java 8 open-source version.</w:t>
      </w:r>
    </w:p>
    <w:p>
      <w:pPr>
        <w:pStyle w:val="Heading2"/>
        <w:spacing w:after="100" w:before="240" w:line="300"/>
      </w:pPr>
      <w:r>
        <w:rPr>
          <w:rFonts w:ascii="Calibri" w:cs="Calibri" w:eastAsia="Calibri" w:hAnsi="Calibri"/>
          <w:b/>
          <w:bCs/>
          <w:color w:val="324B6E"/>
          <w:sz w:val="26"/>
          <w:szCs w:val="26"/>
        </w:rPr>
        <w:t xml:space="preserve">3.3  Bank Claude Report — Cross-Validation Input</w:t>
      </w:r>
    </w:p>
    <w:p>
      <w:pPr>
        <w:spacing w:after="60" w:before="60" w:line="300"/>
        <w:jc w:val="left"/>
      </w:pPr>
      <w:r>
        <w:rPr>
          <w:rFonts w:ascii="Calibri" w:cs="Calibri" w:eastAsia="Calibri" w:hAnsi="Calibri"/>
          <w:b w:val="false"/>
          <w:bCs w:val="false"/>
          <w:i w:val="false"/>
          <w:iCs w:val="false"/>
          <w:color w:val="2C3E50"/>
          <w:sz w:val="21"/>
          <w:szCs w:val="21"/>
        </w:rPr>
        <w:t xml:space="preserve">The Claude Report shared by the bank team was reviewed alongside Wipro's own analysis. Where the two aligned, this document records the position as confirmed. Where minor differences existed — typically because the report was generated against a generic classpath that grouped adjacent GEB applications together — Wipro's code-anchored assessment prevails, and the report is treated as a supporting reference. The report's most useful contribution has been the per-CVE exploitability rationale for items that cannot be fully closed on the current stack, which is carried into Section 9 of this document.</w:t>
      </w:r>
    </w:p>
    <w:p>
      <w:pPr>
        <w:pStyle w:val="Heading2"/>
        <w:spacing w:after="100" w:before="240" w:line="300"/>
      </w:pPr>
      <w:r>
        <w:rPr>
          <w:rFonts w:ascii="Calibri" w:cs="Calibri" w:eastAsia="Calibri" w:hAnsi="Calibri"/>
          <w:b/>
          <w:bCs/>
          <w:color w:val="324B6E"/>
          <w:sz w:val="26"/>
          <w:szCs w:val="26"/>
        </w:rPr>
        <w:t xml:space="preserve">3.4  Categorisation Framework</w:t>
      </w:r>
    </w:p>
    <w:p>
      <w:pPr>
        <w:spacing w:after="60" w:before="60" w:line="300"/>
        <w:jc w:val="left"/>
      </w:pPr>
      <w:r>
        <w:rPr>
          <w:rFonts w:ascii="Calibri" w:cs="Calibri" w:eastAsia="Calibri" w:hAnsi="Calibri"/>
          <w:b w:val="false"/>
          <w:bCs w:val="false"/>
          <w:i w:val="false"/>
          <w:iCs w:val="false"/>
          <w:color w:val="2C3E50"/>
          <w:sz w:val="21"/>
          <w:szCs w:val="21"/>
        </w:rPr>
        <w:t xml:space="preserve">Each JAR is placed into one of the following four solution categories. The categories drive the effort, testing scope and residual position.</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2400"/>
        <w:gridCol w:w="6600"/>
      </w:tblGrid>
      <w:tr>
        <w:trPr>
          <w:tblHeader/>
          <w:trHeight w:val="500" w:hRule="atLeast"/>
        </w:trPr>
        <w:tc>
          <w:tcPr>
            <w:tcW w:type="dxa" w:w="2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Category</w:t>
            </w:r>
          </w:p>
        </w:tc>
        <w:tc>
          <w:tcPr>
            <w:tcW w:type="dxa" w:w="66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Definition</w:t>
            </w:r>
          </w:p>
        </w:tc>
      </w:tr>
      <w:tr>
        <w:trPr>
          <w:trHeight w:val="400" w:hRule="atLeast"/>
        </w:trPr>
        <w:tc>
          <w:tcPr>
            <w:tcW w:type="dxa" w:w="2400"/>
            <w:tcBorders>
              <w:top w:val="single" w:color="D6DCE5" w:sz="4"/>
              <w:left w:val="single" w:color="D6DCE5" w:sz="4"/>
              <w:bottom w:val="single" w:color="D6DCE5" w:sz="4"/>
              <w:right w:val="single" w:color="D6DCE5" w:sz="4"/>
            </w:tcBorders>
            <w:shd w:fill="EAEFF5"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Decommission</w:t>
            </w:r>
          </w:p>
        </w:tc>
        <w:tc>
          <w:tcPr>
            <w:tcW w:type="dxa" w:w="6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Library is not required at runtime and can be removed cleanly from the EAR without an upgrade.</w:t>
            </w:r>
          </w:p>
        </w:tc>
      </w:tr>
      <w:tr>
        <w:trPr>
          <w:trHeight w:val="400" w:hRule="atLeast"/>
        </w:trPr>
        <w:tc>
          <w:tcPr>
            <w:tcW w:type="dxa" w:w="2400"/>
            <w:tcBorders>
              <w:top w:val="single" w:color="D6DCE5" w:sz="4"/>
              <w:left w:val="single" w:color="D6DCE5" w:sz="4"/>
              <w:bottom w:val="single" w:color="D6DCE5" w:sz="4"/>
              <w:right w:val="single" w:color="D6DCE5" w:sz="4"/>
            </w:tcBorders>
            <w:shd w:fill="EAEFF5"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Direct Retrofit</w:t>
            </w:r>
          </w:p>
        </w:tc>
        <w:tc>
          <w:tcPr>
            <w:tcW w:type="dxa" w:w="6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Library is upgraded to the reference market version. No code change required. Purely a JAR swap.</w:t>
            </w:r>
          </w:p>
        </w:tc>
      </w:tr>
      <w:tr>
        <w:trPr>
          <w:trHeight w:val="400" w:hRule="atLeast"/>
        </w:trPr>
        <w:tc>
          <w:tcPr>
            <w:tcW w:type="dxa" w:w="2400"/>
            <w:tcBorders>
              <w:top w:val="single" w:color="D6DCE5" w:sz="4"/>
              <w:left w:val="single" w:color="D6DCE5" w:sz="4"/>
              <w:bottom w:val="single" w:color="D6DCE5" w:sz="4"/>
              <w:right w:val="single" w:color="D6DCE5" w:sz="4"/>
            </w:tcBorders>
            <w:shd w:fill="EAEFF5"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Retrofit with Dependency Update</w:t>
            </w:r>
          </w:p>
        </w:tc>
        <w:tc>
          <w:tcPr>
            <w:tcW w:type="dxa" w:w="6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Library is upgraded to a target version. The target introduces or upgrades one or more companion JARs that must be delivered together. Minor build and configuration changes only.</w:t>
            </w:r>
          </w:p>
        </w:tc>
      </w:tr>
      <w:tr>
        <w:trPr>
          <w:trHeight w:val="400" w:hRule="atLeast"/>
        </w:trPr>
        <w:tc>
          <w:tcPr>
            <w:tcW w:type="dxa" w:w="2400"/>
            <w:tcBorders>
              <w:top w:val="single" w:color="D6DCE5" w:sz="4"/>
              <w:left w:val="single" w:color="D6DCE5" w:sz="4"/>
              <w:bottom w:val="single" w:color="D6DCE5" w:sz="4"/>
              <w:right w:val="single" w:color="D6DCE5" w:sz="4"/>
            </w:tcBorders>
            <w:shd w:fill="EAEFF5"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Framework Upgrade</w:t>
            </w:r>
          </w:p>
        </w:tc>
        <w:tc>
          <w:tcPr>
            <w:tcW w:type="dxa" w:w="6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 Framework family upgrade from 4.2.9 (or 5.3.27) to 5.3.34, covering four primary Spring artefacts and ten dependent Spring / AspectJ libraries. Handled as one solution unit.</w:t>
            </w:r>
          </w:p>
        </w:tc>
      </w:tr>
    </w:tbl>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4.  Per-JAR Solution</w:t>
      </w:r>
    </w:p>
    <w:p>
      <w:pPr>
        <w:spacing w:after="60" w:before="60" w:line="300"/>
        <w:jc w:val="left"/>
      </w:pPr>
      <w:r>
        <w:rPr>
          <w:rFonts w:ascii="Calibri" w:cs="Calibri" w:eastAsia="Calibri" w:hAnsi="Calibri"/>
          <w:b w:val="false"/>
          <w:bCs w:val="false"/>
          <w:i w:val="false"/>
          <w:iCs w:val="false"/>
          <w:color w:val="2C3E50"/>
          <w:sz w:val="21"/>
          <w:szCs w:val="21"/>
        </w:rPr>
        <w:t xml:space="preserve">This section presents the solution for the 21 in-scope JARs grouped by category. The Spring Framework upgrade is covered separately in Section 5 given the number of dependencies involved.</w:t>
      </w:r>
    </w:p>
    <w:p>
      <w:pPr>
        <w:pStyle w:val="Heading2"/>
        <w:spacing w:after="100" w:before="240" w:line="300"/>
      </w:pPr>
      <w:r>
        <w:rPr>
          <w:rFonts w:ascii="Calibri" w:cs="Calibri" w:eastAsia="Calibri" w:hAnsi="Calibri"/>
          <w:b/>
          <w:bCs/>
          <w:color w:val="324B6E"/>
          <w:sz w:val="26"/>
          <w:szCs w:val="26"/>
        </w:rPr>
        <w:t xml:space="preserve">4.1  Decommission (4 items)</w:t>
      </w:r>
    </w:p>
    <w:p>
      <w:pPr>
        <w:spacing w:after="60" w:before="60" w:line="300"/>
        <w:jc w:val="left"/>
      </w:pPr>
      <w:r>
        <w:rPr>
          <w:rFonts w:ascii="Calibri" w:cs="Calibri" w:eastAsia="Calibri" w:hAnsi="Calibri"/>
          <w:b w:val="false"/>
          <w:bCs w:val="false"/>
          <w:i w:val="false"/>
          <w:iCs w:val="false"/>
          <w:color w:val="2C3E50"/>
          <w:sz w:val="21"/>
          <w:szCs w:val="21"/>
        </w:rPr>
        <w:t xml:space="preserve">The following four libraries are removed from the Portal EAR. Removal is preceded in each case by explicit verification that the library is not required at runtime.</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2400"/>
        <w:gridCol w:w="1200"/>
        <w:gridCol w:w="5400"/>
      </w:tblGrid>
      <w:tr>
        <w:trPr>
          <w:tblHeader/>
          <w:trHeight w:val="500" w:hRule="atLeast"/>
        </w:trPr>
        <w:tc>
          <w:tcPr>
            <w:tcW w:type="dxa" w:w="2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1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Version</w:t>
            </w:r>
          </w:p>
        </w:tc>
        <w:tc>
          <w:tcPr>
            <w:tcW w:type="dxa" w:w="5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Verification / Rationale</w:t>
            </w:r>
          </w:p>
        </w:tc>
      </w:tr>
      <w:tr>
        <w:trPr>
          <w:trHeight w:val="400" w:hRule="atLeast"/>
        </w:trPr>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activemq-core</w:t>
            </w:r>
          </w:p>
        </w:tc>
        <w:tc>
          <w:tcPr>
            <w:tcW w:type="dxa" w:w="1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5.4.1</w:t>
            </w:r>
          </w:p>
        </w:tc>
        <w:tc>
          <w:tcPr>
            <w:tcW w:type="dxa" w:w="5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Source code and portal.properties confirm the library is not in use in the GEB Portal execution path. Removal from the EAR is safe subject to bank's confirmation on the server-level configuration.</w:t>
            </w:r>
          </w:p>
        </w:tc>
      </w:tr>
      <w:tr>
        <w:trPr>
          <w:trHeight w:val="400" w:hRule="atLeast"/>
        </w:trPr>
        <w:tc>
          <w:tcPr>
            <w:tcW w:type="dxa" w:w="2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activemq-jaas</w:t>
            </w:r>
          </w:p>
        </w:tc>
        <w:tc>
          <w:tcPr>
            <w:tcW w:type="dxa" w:w="1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5.4.3</w:t>
            </w:r>
          </w:p>
        </w:tc>
        <w:tc>
          <w:tcPr>
            <w:tcW w:type="dxa" w:w="5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Not present in the EAR after verification by the Wipro dev team. Formal closure after bank confirmation.</w:t>
            </w:r>
          </w:p>
        </w:tc>
      </w:tr>
      <w:tr>
        <w:trPr>
          <w:trHeight w:val="400" w:hRule="atLeast"/>
        </w:trPr>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batik-all</w:t>
            </w:r>
          </w:p>
        </w:tc>
        <w:tc>
          <w:tcPr>
            <w:tcW w:type="dxa" w:w="1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1.11</w:t>
            </w:r>
          </w:p>
        </w:tc>
        <w:tc>
          <w:tcPr>
            <w:tcW w:type="dxa" w:w="5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SG EAR carries a duplicate. The 1.6 baseline is retained. The 1.11 duplicate is removed to eliminate the flagged CVE surface without affecting the batik functional path.</w:t>
            </w:r>
          </w:p>
        </w:tc>
      </w:tr>
      <w:tr>
        <w:trPr>
          <w:trHeight w:val="400" w:hRule="atLeast"/>
        </w:trPr>
        <w:tc>
          <w:tcPr>
            <w:tcW w:type="dxa" w:w="2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springfox-swagger-ui</w:t>
            </w:r>
          </w:p>
        </w:tc>
        <w:tc>
          <w:tcPr>
            <w:tcW w:type="dxa" w:w="1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2.6.1</w:t>
            </w:r>
          </w:p>
        </w:tc>
        <w:tc>
          <w:tcPr>
            <w:tcW w:type="dxa" w:w="5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Springfox project is not maintained. SG completed the decommission via the May 2026 release. CN and TH follow the same decommission approach. The API documentation surface does not require an alternative library for the Portal application.</w:t>
            </w:r>
          </w:p>
        </w:tc>
      </w:tr>
    </w:tbl>
    <w:p>
      <w:pPr>
        <w:pStyle w:val="Heading2"/>
        <w:spacing w:after="100" w:before="240" w:line="300"/>
      </w:pPr>
      <w:r>
        <w:rPr>
          <w:rFonts w:ascii="Calibri" w:cs="Calibri" w:eastAsia="Calibri" w:hAnsi="Calibri"/>
          <w:b/>
          <w:bCs/>
          <w:color w:val="324B6E"/>
          <w:sz w:val="26"/>
          <w:szCs w:val="26"/>
        </w:rPr>
        <w:t xml:space="preserve">4.2  Direct Retrofit — 9 items</w:t>
      </w:r>
    </w:p>
    <w:p>
      <w:pPr>
        <w:spacing w:after="60" w:before="60" w:line="300"/>
        <w:jc w:val="left"/>
      </w:pPr>
      <w:r>
        <w:rPr>
          <w:rFonts w:ascii="Calibri" w:cs="Calibri" w:eastAsia="Calibri" w:hAnsi="Calibri"/>
          <w:b w:val="false"/>
          <w:bCs w:val="false"/>
          <w:i w:val="false"/>
          <w:iCs w:val="false"/>
          <w:color w:val="2C3E50"/>
          <w:sz w:val="21"/>
          <w:szCs w:val="21"/>
        </w:rPr>
        <w:t xml:space="preserve">The libraries below are upgraded to the version already running in reference markets. Each target is confirmed to close the flagged CVE without introducing new High or Critical items, and each is a drop-in replacement (no source code change required). Companion dependencies, where they apply, are noted alongside.</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2500"/>
        <w:gridCol w:w="1500"/>
        <w:gridCol w:w="1500"/>
        <w:gridCol w:w="3500"/>
      </w:tblGrid>
      <w:tr>
        <w:trPr>
          <w:tblHeader/>
          <w:trHeight w:val="500" w:hRule="atLeast"/>
        </w:trPr>
        <w:tc>
          <w:tcPr>
            <w:tcW w:type="dxa" w:w="2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Current</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Target</w:t>
            </w:r>
          </w:p>
        </w:tc>
        <w:tc>
          <w:tcPr>
            <w:tcW w:type="dxa" w:w="3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Notes</w:t>
            </w:r>
          </w:p>
        </w:tc>
      </w:tr>
      <w:tr>
        <w:trPr>
          <w:trHeight w:val="400" w:hRule="atLeast"/>
        </w:trPr>
        <w:tc>
          <w:tcPr>
            <w:tcW w:type="dxa" w:w="2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xmlbeans</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2.3.0</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3.0.0</w:t>
            </w:r>
          </w:p>
        </w:tc>
        <w:tc>
          <w:tcPr>
            <w:tcW w:type="dxa" w:w="3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Reference market version. Closes CVE-2021-23926 (XXE). No new dependency.</w:t>
            </w:r>
          </w:p>
        </w:tc>
      </w:tr>
      <w:tr>
        <w:trPr>
          <w:trHeight w:val="400" w:hRule="atLeast"/>
        </w:trPr>
        <w:tc>
          <w:tcPr>
            <w:tcW w:type="dxa" w:w="2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jackson-databind</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2.10.0</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2.15.0</w:t>
            </w:r>
          </w:p>
        </w:tc>
        <w:tc>
          <w:tcPr>
            <w:tcW w:type="dxa" w:w="3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Reference market version. Closes CVE-2019-16942, 16943, 2019-14892 and related. Moves as a pair with jackson-core.</w:t>
            </w:r>
          </w:p>
        </w:tc>
      </w:tr>
      <w:tr>
        <w:trPr>
          <w:trHeight w:val="400" w:hRule="atLeast"/>
        </w:trPr>
        <w:tc>
          <w:tcPr>
            <w:tcW w:type="dxa" w:w="2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jackson-core</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2.10.4</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2.15.0</w:t>
            </w:r>
          </w:p>
        </w:tc>
        <w:tc>
          <w:tcPr>
            <w:tcW w:type="dxa" w:w="3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Paired with jackson-databind. Closes CVE-2025-52999.</w:t>
            </w:r>
          </w:p>
        </w:tc>
      </w:tr>
      <w:tr>
        <w:trPr>
          <w:trHeight w:val="400" w:hRule="atLeast"/>
        </w:trPr>
        <w:tc>
          <w:tcPr>
            <w:tcW w:type="dxa" w:w="2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commons-beanutils</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1.8.0</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1.9.4</w:t>
            </w:r>
          </w:p>
        </w:tc>
        <w:tc>
          <w:tcPr>
            <w:tcW w:type="dxa" w:w="3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Reference market version. Closes CVE-2014-0114 and CVE-2019-10086. Also brings commons-logging 1.2 as a required companion (currently commons-logging-1.1.1.jar is present and is replaced).</w:t>
            </w:r>
          </w:p>
        </w:tc>
      </w:tr>
      <w:tr>
        <w:trPr>
          <w:trHeight w:val="400" w:hRule="atLeast"/>
        </w:trPr>
        <w:tc>
          <w:tcPr>
            <w:tcW w:type="dxa" w:w="2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gson</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2.8.6</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2.8.9</w:t>
            </w:r>
          </w:p>
        </w:tc>
        <w:tc>
          <w:tcPr>
            <w:tcW w:type="dxa" w:w="3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Reference market version. Closes CVE-2022-25647.</w:t>
            </w:r>
          </w:p>
        </w:tc>
      </w:tr>
      <w:tr>
        <w:trPr>
          <w:trHeight w:val="400" w:hRule="atLeast"/>
        </w:trPr>
        <w:tc>
          <w:tcPr>
            <w:tcW w:type="dxa" w:w="2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xalan</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2.7.2</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2.7.3</w:t>
            </w:r>
          </w:p>
        </w:tc>
        <w:tc>
          <w:tcPr>
            <w:tcW w:type="dxa" w:w="3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Reference market version. Closes CVE-2022-34169. Companion library xercesImpl (currently 2.12.0) verified as compatible; no upgrade required.</w:t>
            </w:r>
          </w:p>
        </w:tc>
      </w:tr>
      <w:tr>
        <w:trPr>
          <w:trHeight w:val="400" w:hRule="atLeast"/>
        </w:trPr>
        <w:tc>
          <w:tcPr>
            <w:tcW w:type="dxa" w:w="2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jsoup</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1.5.2</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1.16.1</w:t>
            </w:r>
          </w:p>
        </w:tc>
        <w:tc>
          <w:tcPr>
            <w:tcW w:type="dxa" w:w="3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Reference market version. Closes CVE-2021-37714 and related parser CVEs. No new dependency.</w:t>
            </w:r>
          </w:p>
        </w:tc>
      </w:tr>
      <w:tr>
        <w:trPr>
          <w:trHeight w:val="400" w:hRule="atLeast"/>
        </w:trPr>
        <w:tc>
          <w:tcPr>
            <w:tcW w:type="dxa" w:w="2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guava</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18.0</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32.0.1-jre</w:t>
            </w:r>
          </w:p>
        </w:tc>
        <w:tc>
          <w:tcPr>
            <w:tcW w:type="dxa" w:w="3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Reference market version. Closes CVE-2023-2976 and related. Brings one required runtime companion — failureaccess 1.0.1 (a 4 KB helper JAR internal to Guava's ListenableFuture path). Both JARs deployed together.</w:t>
            </w:r>
          </w:p>
        </w:tc>
      </w:tr>
      <w:tr>
        <w:trPr>
          <w:trHeight w:val="400" w:hRule="atLeast"/>
        </w:trPr>
        <w:tc>
          <w:tcPr>
            <w:tcW w:type="dxa" w:w="2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commons-fileupload</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1.2.2</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1.6</w:t>
            </w:r>
          </w:p>
        </w:tc>
        <w:tc>
          <w:tcPr>
            <w:tcW w:type="dxa" w:w="3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Highest Java 8 open-source version. Closes CVE-2016-1000031, CVE-2023-24998 and related. Requires companion commons-io upgrade — see Section 4.3.</w:t>
            </w:r>
          </w:p>
        </w:tc>
      </w:tr>
    </w:tbl>
    <w:p>
      <w:pPr>
        <w:pStyle w:val="Heading2"/>
        <w:spacing w:after="100" w:before="240" w:line="300"/>
      </w:pPr>
      <w:r>
        <w:rPr>
          <w:rFonts w:ascii="Calibri" w:cs="Calibri" w:eastAsia="Calibri" w:hAnsi="Calibri"/>
          <w:b/>
          <w:bCs/>
          <w:color w:val="324B6E"/>
          <w:sz w:val="26"/>
          <w:szCs w:val="26"/>
        </w:rPr>
        <w:t xml:space="preserve">4.3  Retrofit With Dependency Update — 2 items</w:t>
      </w:r>
    </w:p>
    <w:p>
      <w:pPr>
        <w:spacing w:after="60" w:before="60" w:line="300"/>
        <w:jc w:val="left"/>
      </w:pPr>
      <w:r>
        <w:rPr>
          <w:rFonts w:ascii="Calibri" w:cs="Calibri" w:eastAsia="Calibri" w:hAnsi="Calibri"/>
          <w:b w:val="false"/>
          <w:bCs w:val="false"/>
          <w:i w:val="false"/>
          <w:iCs w:val="false"/>
          <w:color w:val="2C3E50"/>
          <w:sz w:val="21"/>
          <w:szCs w:val="21"/>
        </w:rPr>
        <w:t xml:space="preserve">The two libraries below are upgraded to their highest Java 8 open-source target. Each carries a companion JAR set that must be delivered as one unit. Companion changes are captured in Section 6 alongside the aggregate dependency table.</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2500"/>
        <w:gridCol w:w="1500"/>
        <w:gridCol w:w="2000"/>
        <w:gridCol w:w="3000"/>
      </w:tblGrid>
      <w:tr>
        <w:trPr>
          <w:tblHeader/>
          <w:trHeight w:val="500" w:hRule="atLeast"/>
        </w:trPr>
        <w:tc>
          <w:tcPr>
            <w:tcW w:type="dxa" w:w="2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Current</w:t>
            </w:r>
          </w:p>
        </w:tc>
        <w:tc>
          <w:tcPr>
            <w:tcW w:type="dxa" w:w="2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Target</w:t>
            </w:r>
          </w:p>
        </w:tc>
        <w:tc>
          <w:tcPr>
            <w:tcW w:type="dxa" w:w="3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Dependency Companion Set</w:t>
            </w:r>
          </w:p>
        </w:tc>
      </w:tr>
      <w:tr>
        <w:trPr>
          <w:trHeight w:val="400" w:hRule="atLeast"/>
        </w:trPr>
        <w:tc>
          <w:tcPr>
            <w:tcW w:type="dxa" w:w="2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log4j</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1.2.17</w:t>
            </w:r>
          </w:p>
        </w:tc>
        <w:tc>
          <w:tcPr>
            <w:tcW w:type="dxa" w:w="2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log4j-core 2.19.0</w:t>
            </w:r>
          </w:p>
        </w:tc>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Requires log4j-api 2.19.0, log4j-jcl 2.19.0, log4j-slf4j-impl 2.19.0. Companion utilities: disruptor 3.4.4 (async logger backing), util-java8 helper JAR, and turbine.jar as it interfaces the logging path. The 1.2.17 to 2.x move is an API family change and is delivered as one grouped set.</w:t>
            </w:r>
          </w:p>
        </w:tc>
      </w:tr>
      <w:tr>
        <w:trPr>
          <w:trHeight w:val="400" w:hRule="atLeast"/>
        </w:trPr>
        <w:tc>
          <w:tcPr>
            <w:tcW w:type="dxa" w:w="2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nimbus-jose-jwt</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4.40-jdk16</w:t>
            </w:r>
          </w:p>
        </w:tc>
        <w:tc>
          <w:tcPr>
            <w:tcW w:type="dxa" w:w="2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9.37.4</w:t>
            </w:r>
          </w:p>
        </w:tc>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Requires json-smart 2.5.0 as a declared dependency (replaces the currently deployed json-smart 1.3.1) and brings accessors-smart 2.5.0 as a newly introduced dependency of json-smart 2.5.0.</w:t>
            </w:r>
          </w:p>
        </w:tc>
      </w:tr>
    </w:tbl>
    <w:p>
      <w:pPr>
        <w:spacing w:after="60" w:before="60" w:line="300"/>
        <w:jc w:val="left"/>
      </w:pPr>
      <w:r>
        <w:rPr>
          <w:rFonts w:ascii="Calibri" w:cs="Calibri" w:eastAsia="Calibri" w:hAnsi="Calibri"/>
          <w:b w:val="false"/>
          <w:bCs w:val="false"/>
          <w:i w:val="false"/>
          <w:iCs w:val="false"/>
          <w:color w:val="2C3E50"/>
          <w:sz w:val="21"/>
          <w:szCs w:val="21"/>
        </w:rPr>
        <w:t xml:space="preserve">A note on json-smart. The bank scan flagged json-smart-1.3.1 as a Portal-level entry (Sr. No. 17 in the baseline). Source code review shows GEB Portal does not call json-smart directly — the presence of json-smart 1.3.1 in the EAR was a transitive artefact of the current nimbus-jose-jwt 4.40 line. The nimbus upgrade to 9.37.4 replaces this by bringing json-smart 2.5.0 (which is a High-fix version) and accessors-smart 2.5.0 as its transitive companion. Net effect: the vulnerable 1.3.1 leaves the EAR and json-smart 2.5.0 arrives as part of the nimbus solution unit.</w:t>
      </w:r>
    </w:p>
    <w:p>
      <w:pPr>
        <w:pStyle w:val="Heading2"/>
        <w:spacing w:after="100" w:before="240" w:line="300"/>
      </w:pPr>
      <w:r>
        <w:rPr>
          <w:rFonts w:ascii="Calibri" w:cs="Calibri" w:eastAsia="Calibri" w:hAnsi="Calibri"/>
          <w:b/>
          <w:bCs/>
          <w:color w:val="324B6E"/>
          <w:sz w:val="26"/>
          <w:szCs w:val="26"/>
        </w:rPr>
        <w:t xml:space="preserve">4.4  Velocity — Residual Item on Current Stack</w:t>
      </w:r>
    </w:p>
    <w:p>
      <w:pPr>
        <w:spacing w:after="60" w:before="60" w:line="300"/>
        <w:jc w:val="left"/>
      </w:pPr>
      <w:r>
        <w:rPr>
          <w:rFonts w:ascii="Calibri" w:cs="Calibri" w:eastAsia="Calibri" w:hAnsi="Calibri"/>
          <w:b w:val="false"/>
          <w:bCs w:val="false"/>
          <w:i w:val="false"/>
          <w:iCs w:val="false"/>
          <w:color w:val="2C3E50"/>
          <w:sz w:val="21"/>
          <w:szCs w:val="21"/>
        </w:rPr>
        <w:t xml:space="preserve">The Portal deploys velocity 1.7 uniformly across SG, CN and TH. Velocity 1.7 carries CVE-2020-13936. The remediation path is to move to velocity-engine-core 2.x, which in the Portal's case requires an accompanying Turbine framework uplift; this uplift is outside the current stack boundary and outside the scope of the August release. The residual position is that velocity 1.7 remains deployed for this cycle. Exploitability analysis has been performed and is captured in Section 9.</w:t>
      </w:r>
    </w:p>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5.  Spring Framework Upgrade — 5.3.34 Target</w:t>
      </w:r>
    </w:p>
    <w:p>
      <w:pPr>
        <w:pStyle w:val="Heading2"/>
        <w:spacing w:after="100" w:before="240" w:line="300"/>
      </w:pPr>
      <w:r>
        <w:rPr>
          <w:rFonts w:ascii="Calibri" w:cs="Calibri" w:eastAsia="Calibri" w:hAnsi="Calibri"/>
          <w:b/>
          <w:bCs/>
          <w:color w:val="324B6E"/>
          <w:sz w:val="26"/>
          <w:szCs w:val="26"/>
        </w:rPr>
        <w:t xml:space="preserve">5.1  Rationale for the 5.3.34 Target</w:t>
      </w:r>
    </w:p>
    <w:p>
      <w:pPr>
        <w:spacing w:after="60" w:before="60" w:line="300"/>
        <w:jc w:val="left"/>
      </w:pPr>
      <w:r>
        <w:rPr>
          <w:rFonts w:ascii="Calibri" w:cs="Calibri" w:eastAsia="Calibri" w:hAnsi="Calibri"/>
          <w:b w:val="false"/>
          <w:bCs w:val="false"/>
          <w:i w:val="false"/>
          <w:iCs w:val="false"/>
          <w:color w:val="2C3E50"/>
          <w:sz w:val="21"/>
          <w:szCs w:val="21"/>
        </w:rPr>
        <w:t xml:space="preserve">The Spring Framework family is treated as one solution unit because the four Wipro-scope Spring artefacts (spring-webmvc, spring-beans, spring-web, spring-core) must move together, and because the target version choice affects the residual CVE picture on each of them.</w:t>
      </w:r>
    </w:p>
    <w:p>
      <w:pPr>
        <w:spacing w:after="60" w:before="60" w:line="300"/>
        <w:jc w:val="left"/>
      </w:pPr>
      <w:r>
        <w:rPr>
          <w:rFonts w:ascii="Calibri" w:cs="Calibri" w:eastAsia="Calibri" w:hAnsi="Calibri"/>
          <w:b w:val="false"/>
          <w:bCs w:val="false"/>
          <w:i w:val="false"/>
          <w:iCs w:val="false"/>
          <w:color w:val="2C3E50"/>
          <w:sz w:val="21"/>
          <w:szCs w:val="21"/>
        </w:rPr>
        <w:t xml:space="preserve">Reference markets (CN, TH) currently run Spring 5.3.27. Analysis showed that 5.3.27 fully closes the flagged CVEs on spring-beans, but leaves residual High CVEs on spring-webmvc, spring-web and spring-core. Moving to Spring 5.3.34 — which remains within the open-source line, is Java 8 compatible, and involves no additional code-change effort beyond what the 4.x → 5.x migration already requires — additionally closes CVE-2024-22243, CVE-2024-22259 and CVE-2024-22262 on spring-web. On this basis, 5.3.34 is the agreed target for all three markets in this release, with SG performing a 4.2.9 → 5.3.34 move and CN and TH performing a 5.3.27 → 5.3.34 retrofit.</w:t>
      </w:r>
    </w:p>
    <w:p>
      <w:pPr>
        <w:pStyle w:val="Heading2"/>
        <w:spacing w:after="100" w:before="240" w:line="300"/>
      </w:pPr>
      <w:r>
        <w:rPr>
          <w:rFonts w:ascii="Calibri" w:cs="Calibri" w:eastAsia="Calibri" w:hAnsi="Calibri"/>
          <w:b/>
          <w:bCs/>
          <w:color w:val="324B6E"/>
          <w:sz w:val="26"/>
          <w:szCs w:val="26"/>
        </w:rPr>
        <w:t xml:space="preserve">5.2  Version Progression</w:t>
      </w:r>
    </w:p>
    <w:p>
      <w:pPr>
        <w:spacing w:after="60" w:before="60" w:line="300"/>
        <w:jc w:val="left"/>
      </w:pPr>
      <w:r>
        <w:rPr>
          <w:rFonts w:ascii="Calibri" w:cs="Calibri" w:eastAsia="Calibri" w:hAnsi="Calibri"/>
          <w:b w:val="false"/>
          <w:bCs w:val="false"/>
          <w:i w:val="false"/>
          <w:iCs w:val="false"/>
          <w:color w:val="2C3E50"/>
          <w:sz w:val="21"/>
          <w:szCs w:val="21"/>
        </w:rPr>
        <w:t xml:space="preserve">The visual below summarises the per-artefact position at the current version, at the reference market version, at the 5.3.34 target, and the residual CVE that remains after 5.3.34 with the reason it cannot be closed on the current stack.</w:t>
      </w:r>
    </w:p>
    <w:p>
      <w:pPr>
        <w:spacing w:after="20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pStyle w:val="Heading2"/>
        <w:spacing w:after="100" w:before="240" w:line="300"/>
      </w:pPr>
      <w:r>
        <w:rPr>
          <w:rFonts w:ascii="Calibri" w:cs="Calibri" w:eastAsia="Calibri" w:hAnsi="Calibri"/>
          <w:b/>
          <w:bCs/>
          <w:color w:val="324B6E"/>
          <w:sz w:val="26"/>
          <w:szCs w:val="26"/>
        </w:rPr>
        <w:t xml:space="preserve">5.3  Primary Libraries Upgraded</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200"/>
        <w:gridCol w:w="1500"/>
        <w:gridCol w:w="1500"/>
        <w:gridCol w:w="2800"/>
      </w:tblGrid>
      <w:tr>
        <w:trPr>
          <w:tblHeader/>
          <w:trHeight w:val="500" w:hRule="atLeast"/>
        </w:trPr>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Current</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Target</w:t>
            </w:r>
          </w:p>
        </w:tc>
        <w:tc>
          <w:tcPr>
            <w:tcW w:type="dxa" w:w="28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CVEs Closed by 5.3.34</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spring-webmvc</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 (SG) / 5.3.27 (CN, TH)</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2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CVE-2018-11040, 2018-15756, 2022-22965 (Spring4Shell) and related. CVE-2024-38819 remains — see Section 9.</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spring-beans</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 (SG) / 5.3.27 (CN, TH)</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2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CVE-2022-22965 (Spring4Shell). No residual on this artefact.</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spring-web</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 (SG) / 5.3.27 (CN, TH)</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2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CVE-2018-15756, CVE-2024-22243, CVE-2024-22259, CVE-2024-22262. CVE-2016-1000027 remains — see Section 9.</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spring-core</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 (SG) / 5.3.27 (CN, TH)</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2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CVE-2016-5007, CVE-2018-1272 and related. CVE-2025-41249 remains — see Section 9.</w:t>
            </w:r>
          </w:p>
        </w:tc>
      </w:tr>
    </w:tbl>
    <w:p>
      <w:pPr>
        <w:pStyle w:val="Heading2"/>
        <w:spacing w:after="100" w:before="240" w:line="300"/>
      </w:pPr>
      <w:r>
        <w:rPr>
          <w:rFonts w:ascii="Calibri" w:cs="Calibri" w:eastAsia="Calibri" w:hAnsi="Calibri"/>
          <w:b/>
          <w:bCs/>
          <w:color w:val="324B6E"/>
          <w:sz w:val="26"/>
          <w:szCs w:val="26"/>
        </w:rPr>
        <w:t xml:space="preserve">5.4  Associated Dependency Libraries Upgraded</w:t>
      </w:r>
    </w:p>
    <w:p>
      <w:pPr>
        <w:spacing w:after="60" w:before="60" w:line="300"/>
        <w:jc w:val="left"/>
      </w:pPr>
      <w:r>
        <w:rPr>
          <w:rFonts w:ascii="Calibri" w:cs="Calibri" w:eastAsia="Calibri" w:hAnsi="Calibri"/>
          <w:b w:val="false"/>
          <w:bCs w:val="false"/>
          <w:i w:val="false"/>
          <w:iCs w:val="false"/>
          <w:color w:val="2C3E50"/>
          <w:sz w:val="21"/>
          <w:szCs w:val="21"/>
        </w:rPr>
        <w:t xml:space="preserve">The following Spring and AspectJ libraries move together with the Spring family upgrade to maintain internal version alignment and prevent classloader conflicts. All targets are open-source Java 8 compatible releases.</w:t>
      </w:r>
    </w:p>
    <w:tbl>
      <w:tblPr>
        <w:tblW w:type="dxa" w:w="9500"/>
        <w:tblBorders>
          <w:top w:val="single" w:color="B5BEC9" w:sz="6"/>
          <w:left w:val="single" w:color="B5BEC9" w:sz="6"/>
          <w:bottom w:val="single" w:color="B5BEC9" w:sz="6"/>
          <w:right w:val="single" w:color="B5BEC9" w:sz="6"/>
          <w:insideH w:val="single" w:color="D6DCE5" w:sz="4"/>
          <w:insideV w:val="single" w:color="D6DCE5" w:sz="4"/>
        </w:tblBorders>
      </w:tblPr>
      <w:tblGrid>
        <w:gridCol w:w="3200"/>
        <w:gridCol w:w="1800"/>
        <w:gridCol w:w="1800"/>
        <w:gridCol w:w="2700"/>
      </w:tblGrid>
      <w:tr>
        <w:trPr>
          <w:tblHeader/>
          <w:trHeight w:val="500" w:hRule="atLeast"/>
        </w:trPr>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18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Current</w:t>
            </w:r>
          </w:p>
        </w:tc>
        <w:tc>
          <w:tcPr>
            <w:tcW w:type="dxa" w:w="18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Target</w:t>
            </w:r>
          </w:p>
        </w:tc>
        <w:tc>
          <w:tcPr>
            <w:tcW w:type="dxa" w:w="27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Notes</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spring-aop</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5.3.27</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27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with Spring family upgrade.</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spring-aspects</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5.3.27</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27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with Spring family upgrade.</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spring-context</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5.3.27</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27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with Spring family upgrade.</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spring-expression</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5.3.27</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27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with Spring family upgrade.</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spring-tx</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5.3.27</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27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with Spring family upgrade.</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spring-oxm</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4.3.1 (SG) / 5.3.27 (CN, TH)</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27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with Spring family upgrade.</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spring-jcl</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not present (SG) / 5.3.27 (CN, TH)</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27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Introduced newly for SG; carried across for CN and TH.</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spring-webmvc-portlet</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 (SG)</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Decommissioned</w:t>
            </w:r>
          </w:p>
        </w:tc>
        <w:tc>
          <w:tcPr>
            <w:tcW w:type="dxa" w:w="27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Removed. GEB Portal does not use the portlet integration path.</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aspectjrt</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1.9.2 (SG) / 1.8.6 (CN, TH)</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1.9.22</w:t>
            </w:r>
          </w:p>
        </w:tc>
        <w:tc>
          <w:tcPr>
            <w:tcW w:type="dxa" w:w="27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AspectJ runtime aligned to the Spring 5.3.34 baseline.</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aspectjtools</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1.8.6</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1.9.22</w:t>
            </w:r>
          </w:p>
        </w:tc>
        <w:tc>
          <w:tcPr>
            <w:tcW w:type="dxa" w:w="27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AspectJ tools aligned to the Spring 5.3.34 baseline.</w:t>
            </w:r>
          </w:p>
        </w:tc>
      </w:tr>
    </w:tbl>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6.  Dependency Chain — Consolidated View</w:t>
      </w:r>
    </w:p>
    <w:p>
      <w:pPr>
        <w:spacing w:after="60" w:before="60" w:line="300"/>
        <w:jc w:val="left"/>
      </w:pPr>
      <w:r>
        <w:rPr>
          <w:rFonts w:ascii="Calibri" w:cs="Calibri" w:eastAsia="Calibri" w:hAnsi="Calibri"/>
          <w:b w:val="false"/>
          <w:bCs w:val="false"/>
          <w:i w:val="false"/>
          <w:iCs w:val="false"/>
          <w:color w:val="2C3E50"/>
          <w:sz w:val="21"/>
          <w:szCs w:val="21"/>
        </w:rPr>
        <w:t xml:space="preserve">This section captures every new or upgraded JAR being brought into the Portal EAR as a result of the solution described in Sections 4 and 5. The intent is to provide the bank with an unambiguous view of the delivered artefact set.</w:t>
      </w:r>
    </w:p>
    <w:p>
      <w:pPr>
        <w:pStyle w:val="Heading2"/>
        <w:spacing w:after="100" w:before="240" w:line="300"/>
      </w:pPr>
      <w:r>
        <w:rPr>
          <w:rFonts w:ascii="Calibri" w:cs="Calibri" w:eastAsia="Calibri" w:hAnsi="Calibri"/>
          <w:b/>
          <w:bCs/>
          <w:color w:val="324B6E"/>
          <w:sz w:val="26"/>
          <w:szCs w:val="26"/>
        </w:rPr>
        <w:t xml:space="preserve">6.1  New Dependency JARs Introduced</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200"/>
        <w:gridCol w:w="1600"/>
        <w:gridCol w:w="4200"/>
      </w:tblGrid>
      <w:tr>
        <w:trPr>
          <w:tblHeader/>
          <w:trHeight w:val="500" w:hRule="atLeast"/>
        </w:trPr>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New Library</w:t>
            </w:r>
          </w:p>
        </w:tc>
        <w:tc>
          <w:tcPr>
            <w:tcW w:type="dxa" w:w="16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Version</w:t>
            </w:r>
          </w:p>
        </w:tc>
        <w:tc>
          <w:tcPr>
            <w:tcW w:type="dxa" w:w="4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Reason for Inclusion</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failureaccess</w:t>
            </w:r>
          </w:p>
        </w:tc>
        <w:tc>
          <w:tcPr>
            <w:tcW w:type="dxa" w:w="1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1.0.1</w:t>
            </w:r>
          </w:p>
        </w:tc>
        <w:tc>
          <w:tcPr>
            <w:tcW w:type="dxa" w:w="4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Required runtime helper for guava 32.0.1-jre. Small 4 KB internal utility JAR.</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accessors-smart</w:t>
            </w:r>
          </w:p>
        </w:tc>
        <w:tc>
          <w:tcPr>
            <w:tcW w:type="dxa" w:w="1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2.5.0</w:t>
            </w:r>
          </w:p>
        </w:tc>
        <w:tc>
          <w:tcPr>
            <w:tcW w:type="dxa" w:w="4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Declared dependency of json-smart 2.5.0 which arrives via the nimbus-jose-jwt 9.37.4 upgrade.</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log4j-api</w:t>
            </w:r>
          </w:p>
        </w:tc>
        <w:tc>
          <w:tcPr>
            <w:tcW w:type="dxa" w:w="1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2.19.0</w:t>
            </w:r>
          </w:p>
        </w:tc>
        <w:tc>
          <w:tcPr>
            <w:tcW w:type="dxa" w:w="4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Companion for log4j-core 2.19.0.</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log4j-jcl</w:t>
            </w:r>
          </w:p>
        </w:tc>
        <w:tc>
          <w:tcPr>
            <w:tcW w:type="dxa" w:w="1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2.19.0</w:t>
            </w:r>
          </w:p>
        </w:tc>
        <w:tc>
          <w:tcPr>
            <w:tcW w:type="dxa" w:w="4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Commons-logging bridge for log4j-core 2.19.0.</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log4j-slf4j-impl</w:t>
            </w:r>
          </w:p>
        </w:tc>
        <w:tc>
          <w:tcPr>
            <w:tcW w:type="dxa" w:w="1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2.19.0</w:t>
            </w:r>
          </w:p>
        </w:tc>
        <w:tc>
          <w:tcPr>
            <w:tcW w:type="dxa" w:w="4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SLF4J bridge for log4j-core 2.19.0.</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disruptor</w:t>
            </w:r>
          </w:p>
        </w:tc>
        <w:tc>
          <w:tcPr>
            <w:tcW w:type="dxa" w:w="1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3.4.4</w:t>
            </w:r>
          </w:p>
        </w:tc>
        <w:tc>
          <w:tcPr>
            <w:tcW w:type="dxa" w:w="4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Async logger backing library required by log4j-core 2.x. Version pinned to 3.x for log4j 2.19.0 compatibility.</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spring-jcl</w:t>
            </w:r>
          </w:p>
        </w:tc>
        <w:tc>
          <w:tcPr>
            <w:tcW w:type="dxa" w:w="1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4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SG introduces this newly to complete the Spring 5.3.x baseline; already present in CN and TH.</w:t>
            </w:r>
          </w:p>
        </w:tc>
      </w:tr>
    </w:tbl>
    <w:p>
      <w:pPr>
        <w:pStyle w:val="Heading2"/>
        <w:spacing w:after="100" w:before="240" w:line="300"/>
      </w:pPr>
      <w:r>
        <w:rPr>
          <w:rFonts w:ascii="Calibri" w:cs="Calibri" w:eastAsia="Calibri" w:hAnsi="Calibri"/>
          <w:b/>
          <w:bCs/>
          <w:color w:val="324B6E"/>
          <w:sz w:val="26"/>
          <w:szCs w:val="26"/>
        </w:rPr>
        <w:t xml:space="preserve">6.2  Existing Libraries Being Upgraded</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200"/>
        <w:gridCol w:w="1500"/>
        <w:gridCol w:w="1500"/>
        <w:gridCol w:w="2800"/>
      </w:tblGrid>
      <w:tr>
        <w:trPr>
          <w:tblHeader/>
          <w:trHeight w:val="500" w:hRule="atLeast"/>
        </w:trPr>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Current</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Target</w:t>
            </w:r>
          </w:p>
        </w:tc>
        <w:tc>
          <w:tcPr>
            <w:tcW w:type="dxa" w:w="28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Source of Change</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commons-io</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1.3.1 (SG) / 2.11 (CN, TH)</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2.14</w:t>
            </w:r>
          </w:p>
        </w:tc>
        <w:tc>
          <w:tcPr>
            <w:tcW w:type="dxa" w:w="2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Companion of commons-fileupload 1.6 upgrade.</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commons-logging</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1.1.1</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1.2</w:t>
            </w:r>
          </w:p>
        </w:tc>
        <w:tc>
          <w:tcPr>
            <w:tcW w:type="dxa" w:w="2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Companion of commons-beanutils 1.9.4 retrofit.</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json-smart</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1.3.1</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2.5.0</w:t>
            </w:r>
          </w:p>
        </w:tc>
        <w:tc>
          <w:tcPr>
            <w:tcW w:type="dxa" w:w="2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Dependency of nimbus-jose-jwt 9.37.4.</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util-java8 helper</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existing baseline</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to log4j-core 2.19.0</w:t>
            </w:r>
          </w:p>
        </w:tc>
        <w:tc>
          <w:tcPr>
            <w:tcW w:type="dxa" w:w="2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Utility JAR aligned as part of log4j family move.</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turbine.jar</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existing baseline</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to log4j-core 2.19.0</w:t>
            </w:r>
          </w:p>
        </w:tc>
        <w:tc>
          <w:tcPr>
            <w:tcW w:type="dxa" w:w="2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Interface library aligned as part of log4j family move.</w:t>
            </w:r>
          </w:p>
        </w:tc>
      </w:tr>
    </w:tbl>
    <w:p>
      <w:pPr>
        <w:pStyle w:val="Heading2"/>
        <w:spacing w:after="100" w:before="240" w:line="300"/>
      </w:pPr>
      <w:r>
        <w:rPr>
          <w:rFonts w:ascii="Calibri" w:cs="Calibri" w:eastAsia="Calibri" w:hAnsi="Calibri"/>
          <w:b/>
          <w:bCs/>
          <w:color w:val="324B6E"/>
          <w:sz w:val="26"/>
          <w:szCs w:val="26"/>
        </w:rPr>
        <w:t xml:space="preserve">6.3  Existing Libraries Being Removed</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200"/>
        <w:gridCol w:w="1600"/>
        <w:gridCol w:w="4200"/>
      </w:tblGrid>
      <w:tr>
        <w:trPr>
          <w:tblHeader/>
          <w:trHeight w:val="500" w:hRule="atLeast"/>
        </w:trPr>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 Removed</w:t>
            </w:r>
          </w:p>
        </w:tc>
        <w:tc>
          <w:tcPr>
            <w:tcW w:type="dxa" w:w="16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Version</w:t>
            </w:r>
          </w:p>
        </w:tc>
        <w:tc>
          <w:tcPr>
            <w:tcW w:type="dxa" w:w="4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Reason</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activemq-core</w:t>
            </w:r>
          </w:p>
        </w:tc>
        <w:tc>
          <w:tcPr>
            <w:tcW w:type="dxa" w:w="1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5.4.1</w:t>
            </w:r>
          </w:p>
        </w:tc>
        <w:tc>
          <w:tcPr>
            <w:tcW w:type="dxa" w:w="4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Not in use per Section 4.1.</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activemq-jaas</w:t>
            </w:r>
          </w:p>
        </w:tc>
        <w:tc>
          <w:tcPr>
            <w:tcW w:type="dxa" w:w="1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5.4.3</w:t>
            </w:r>
          </w:p>
        </w:tc>
        <w:tc>
          <w:tcPr>
            <w:tcW w:type="dxa" w:w="4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Not in EAR per Section 4.1.</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batik-all</w:t>
            </w:r>
          </w:p>
        </w:tc>
        <w:tc>
          <w:tcPr>
            <w:tcW w:type="dxa" w:w="1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1.11</w:t>
            </w:r>
          </w:p>
        </w:tc>
        <w:tc>
          <w:tcPr>
            <w:tcW w:type="dxa" w:w="4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Duplicate — 1.6 remains as the retained baseline per Section 4.1.</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springfox-swagger-ui</w:t>
            </w:r>
          </w:p>
        </w:tc>
        <w:tc>
          <w:tcPr>
            <w:tcW w:type="dxa" w:w="1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2.6.1</w:t>
            </w:r>
          </w:p>
        </w:tc>
        <w:tc>
          <w:tcPr>
            <w:tcW w:type="dxa" w:w="4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Decommission per Section 4.1.</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spring-webmvc-portlet</w:t>
            </w:r>
          </w:p>
        </w:tc>
        <w:tc>
          <w:tcPr>
            <w:tcW w:type="dxa" w:w="1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 (SG)</w:t>
            </w:r>
          </w:p>
        </w:tc>
        <w:tc>
          <w:tcPr>
            <w:tcW w:type="dxa" w:w="4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Not used — portlet integration path is not exercised.</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json-smart</w:t>
            </w:r>
          </w:p>
        </w:tc>
        <w:tc>
          <w:tcPr>
            <w:tcW w:type="dxa" w:w="1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1.3.1</w:t>
            </w:r>
          </w:p>
        </w:tc>
        <w:tc>
          <w:tcPr>
            <w:tcW w:type="dxa" w:w="4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Replaced by json-smart 2.5.0 which arrives through the nimbus upgrade path.</w:t>
            </w:r>
          </w:p>
        </w:tc>
      </w:tr>
    </w:tbl>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7.  Bank-Owned Modules — Reference</w:t>
      </w:r>
    </w:p>
    <w:p>
      <w:pPr>
        <w:spacing w:after="60" w:before="60" w:line="300"/>
        <w:jc w:val="left"/>
      </w:pPr>
      <w:r>
        <w:rPr>
          <w:rFonts w:ascii="Calibri" w:cs="Calibri" w:eastAsia="Calibri" w:hAnsi="Calibri"/>
          <w:b w:val="false"/>
          <w:bCs w:val="false"/>
          <w:i w:val="false"/>
          <w:iCs w:val="false"/>
          <w:color w:val="2C3E50"/>
          <w:sz w:val="21"/>
          <w:szCs w:val="21"/>
        </w:rPr>
        <w:t xml:space="preserve">The following two libraries are flagged in the Veracode scan and are technically part of the Portal footprint on the servers, but their source code sits with the bank technical team and is not shared with Wipro. This document records their status here for completeness; the remediation action for these items sits with UOB.</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000"/>
        <w:gridCol w:w="1500"/>
        <w:gridCol w:w="4500"/>
      </w:tblGrid>
      <w:tr>
        <w:trPr>
          <w:tblHeader/>
          <w:trHeight w:val="500" w:hRule="atLeast"/>
        </w:trPr>
        <w:tc>
          <w:tcPr>
            <w:tcW w:type="dxa" w:w="3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Version</w:t>
            </w:r>
          </w:p>
        </w:tc>
        <w:tc>
          <w:tcPr>
            <w:tcW w:type="dxa" w:w="4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Status and Ownership</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batik-svgrasterizer</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1.11</w:t>
            </w:r>
          </w:p>
        </w:tc>
        <w:tc>
          <w:tcPr>
            <w:tcW w:type="dxa" w:w="4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Server-side artefact maintained by UOB technical team. Not shipped from Wipro build path; source not available to Wipro. Remediation action tracked under UOB (Praveen).</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batik-svgbrowser</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1.11</w:t>
            </w:r>
          </w:p>
        </w:tc>
        <w:tc>
          <w:tcPr>
            <w:tcW w:type="dxa" w:w="4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Server-side artefact maintained by UOB technical team. HK deployment carries a separately maintained _HK variant. Remediation action tracked under UOB (Praveen).</w:t>
            </w:r>
          </w:p>
        </w:tc>
      </w:tr>
    </w:tbl>
    <w:p>
      <w:pPr>
        <w:spacing w:after="60" w:before="60" w:line="300"/>
        <w:jc w:val="left"/>
      </w:pPr>
      <w:r>
        <w:rPr>
          <w:rFonts w:ascii="Calibri" w:cs="Calibri" w:eastAsia="Calibri" w:hAnsi="Calibri"/>
          <w:b w:val="false"/>
          <w:bCs w:val="false"/>
          <w:i w:val="false"/>
          <w:iCs w:val="false"/>
          <w:color w:val="2C3E50"/>
          <w:sz w:val="21"/>
          <w:szCs w:val="21"/>
        </w:rPr>
        <w:t xml:space="preserve">Wipro's role on these items is limited to identifying their presence in the Portal server layout, providing the CVE reference from the Veracode output, and confirming that they are not present in the Wipro-owned build stream. Any classpath or configuration adjustment required alongside the bank's remediation of these two libraries will be coordinated separately.</w:t>
      </w:r>
    </w:p>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8.  Residual CVEs and Exploitability Position</w:t>
      </w:r>
    </w:p>
    <w:p>
      <w:pPr>
        <w:spacing w:after="60" w:before="60" w:line="300"/>
        <w:jc w:val="left"/>
      </w:pPr>
      <w:r>
        <w:rPr>
          <w:rFonts w:ascii="Calibri" w:cs="Calibri" w:eastAsia="Calibri" w:hAnsi="Calibri"/>
          <w:b w:val="false"/>
          <w:bCs w:val="false"/>
          <w:i w:val="false"/>
          <w:iCs w:val="false"/>
          <w:color w:val="2C3E50"/>
          <w:sz w:val="21"/>
          <w:szCs w:val="21"/>
        </w:rPr>
        <w:t xml:space="preserve">The remediation approach in Sections 4 and 5 achieves the maximum CVE closure possible on the current Java 8 / JBoss EAP 7.3 stack using open-source library versions. Four flagged CVEs cannot be fully closed within these constraints. This section records the residual position, the exploitability rationale prepared by Wipro (cross-referenced with the bank's Claude Report where applicable), and the acknowledgment required from UOB.</w:t>
      </w:r>
    </w:p>
    <w:p>
      <w:pPr>
        <w:pStyle w:val="Heading2"/>
        <w:spacing w:after="100" w:before="240" w:line="300"/>
      </w:pPr>
      <w:r>
        <w:rPr>
          <w:rFonts w:ascii="Calibri" w:cs="Calibri" w:eastAsia="Calibri" w:hAnsi="Calibri"/>
          <w:b/>
          <w:bCs/>
          <w:color w:val="324B6E"/>
          <w:sz w:val="26"/>
          <w:szCs w:val="26"/>
        </w:rPr>
        <w:t xml:space="preserve">8.1  Residual CVE Summary</w:t>
      </w:r>
    </w:p>
    <w:tbl>
      <w:tblPr>
        <w:tblW w:type="dxa" w:w="9100"/>
        <w:tblBorders>
          <w:top w:val="single" w:color="B5BEC9" w:sz="6"/>
          <w:left w:val="single" w:color="B5BEC9" w:sz="6"/>
          <w:bottom w:val="single" w:color="B5BEC9" w:sz="6"/>
          <w:right w:val="single" w:color="B5BEC9" w:sz="6"/>
          <w:insideH w:val="single" w:color="D6DCE5" w:sz="4"/>
          <w:insideV w:val="single" w:color="D6DCE5" w:sz="4"/>
        </w:tblBorders>
      </w:tblPr>
      <w:tblGrid>
        <w:gridCol w:w="1900"/>
        <w:gridCol w:w="2200"/>
        <w:gridCol w:w="5000"/>
      </w:tblGrid>
      <w:tr>
        <w:trPr>
          <w:tblHeader/>
          <w:trHeight w:val="500" w:hRule="atLeast"/>
        </w:trPr>
        <w:tc>
          <w:tcPr>
            <w:tcW w:type="dxa" w:w="19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2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Residual CVE</w:t>
            </w:r>
          </w:p>
        </w:tc>
        <w:tc>
          <w:tcPr>
            <w:tcW w:type="dxa" w:w="5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Exploitability Position</w:t>
            </w:r>
          </w:p>
        </w:tc>
      </w:tr>
      <w:tr>
        <w:trPr>
          <w:trHeight w:val="400" w:hRule="atLeast"/>
        </w:trPr>
        <w:tc>
          <w:tcPr>
            <w:tcW w:type="dxa" w:w="1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spring-web</w:t>
            </w:r>
          </w:p>
        </w:tc>
        <w:tc>
          <w:tcPr>
            <w:tcW w:type="dxa" w:w="2200"/>
            <w:tcBorders>
              <w:top w:val="single" w:color="D6DCE5" w:sz="4"/>
              <w:left w:val="single" w:color="D6DCE5" w:sz="4"/>
              <w:bottom w:val="single" w:color="D6DCE5" w:sz="4"/>
              <w:right w:val="single" w:color="D6DCE5" w:sz="4"/>
            </w:tcBorders>
            <w:shd w:fill="FCE4E4"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8B2C2C"/>
                <w:sz w:val="20"/>
                <w:szCs w:val="20"/>
              </w:rPr>
              <w:t xml:space="preserve">CVE-2016-1000027</w:t>
            </w:r>
          </w:p>
        </w:tc>
        <w:tc>
          <w:tcPr>
            <w:tcW w:type="dxa" w:w="5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The vulnerability sits in Spring's HttpInvokerServiceExporter class. Fix is deferred by Spring to the 6.x line; not backported to any 5.3.x release. GEB Portal source has been reviewed — the HttpInvokerServiceExporter class is not instantiated or exposed in the Portal execution path. On this basis, the class-level vulnerability is not exploitable in the deployed GEB Portal.</w:t>
            </w:r>
          </w:p>
        </w:tc>
      </w:tr>
      <w:tr>
        <w:trPr>
          <w:trHeight w:val="400" w:hRule="atLeast"/>
        </w:trPr>
        <w:tc>
          <w:tcPr>
            <w:tcW w:type="dxa" w:w="19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spring-webmvc</w:t>
            </w:r>
          </w:p>
        </w:tc>
        <w:tc>
          <w:tcPr>
            <w:tcW w:type="dxa" w:w="2200"/>
            <w:tcBorders>
              <w:top w:val="single" w:color="D6DCE5" w:sz="4"/>
              <w:left w:val="single" w:color="D6DCE5" w:sz="4"/>
              <w:bottom w:val="single" w:color="D6DCE5" w:sz="4"/>
              <w:right w:val="single" w:color="D6DCE5" w:sz="4"/>
            </w:tcBorders>
            <w:shd w:fill="FCE4E4"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8B2C2C"/>
                <w:sz w:val="20"/>
                <w:szCs w:val="20"/>
              </w:rPr>
              <w:t xml:space="preserve">CVE-2024-38819</w:t>
            </w:r>
          </w:p>
        </w:tc>
        <w:tc>
          <w:tcPr>
            <w:tcW w:type="dxa" w:w="5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Fix is present in Spring 5.3.41 which is beyond the current open-source line. GEB Portal does not expose the resource-handling path affected by this CVE, and no directly reachable endpoint permits the traversal precondition. Residual risk assessed as not exploitable in GEB usage.</w:t>
            </w:r>
          </w:p>
        </w:tc>
      </w:tr>
      <w:tr>
        <w:trPr>
          <w:trHeight w:val="400" w:hRule="atLeast"/>
        </w:trPr>
        <w:tc>
          <w:tcPr>
            <w:tcW w:type="dxa" w:w="1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spring-core</w:t>
            </w:r>
          </w:p>
        </w:tc>
        <w:tc>
          <w:tcPr>
            <w:tcW w:type="dxa" w:w="2200"/>
            <w:tcBorders>
              <w:top w:val="single" w:color="D6DCE5" w:sz="4"/>
              <w:left w:val="single" w:color="D6DCE5" w:sz="4"/>
              <w:bottom w:val="single" w:color="D6DCE5" w:sz="4"/>
              <w:right w:val="single" w:color="D6DCE5" w:sz="4"/>
            </w:tcBorders>
            <w:shd w:fill="FCE4E4"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8B2C2C"/>
                <w:sz w:val="20"/>
                <w:szCs w:val="20"/>
              </w:rPr>
              <w:t xml:space="preserve">CVE-2025-41249</w:t>
            </w:r>
          </w:p>
        </w:tc>
        <w:tc>
          <w:tcPr>
            <w:tcW w:type="dxa" w:w="5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Vulnerability affects the annotation-detection mechanism on parameterised super types. Exploit requires a specific reflection-driven configuration surface which is not exercised by GEB Portal. Residual risk assessed as not exploitable in GEB usage.</w:t>
            </w:r>
          </w:p>
        </w:tc>
      </w:tr>
      <w:tr>
        <w:trPr>
          <w:trHeight w:val="400" w:hRule="atLeast"/>
        </w:trPr>
        <w:tc>
          <w:tcPr>
            <w:tcW w:type="dxa" w:w="19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velocity</w:t>
            </w:r>
          </w:p>
        </w:tc>
        <w:tc>
          <w:tcPr>
            <w:tcW w:type="dxa" w:w="2200"/>
            <w:tcBorders>
              <w:top w:val="single" w:color="D6DCE5" w:sz="4"/>
              <w:left w:val="single" w:color="D6DCE5" w:sz="4"/>
              <w:bottom w:val="single" w:color="D6DCE5" w:sz="4"/>
              <w:right w:val="single" w:color="D6DCE5" w:sz="4"/>
            </w:tcBorders>
            <w:shd w:fill="FCE4E4"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8B2C2C"/>
                <w:sz w:val="20"/>
                <w:szCs w:val="20"/>
              </w:rPr>
              <w:t xml:space="preserve">CVE-2020-13936</w:t>
            </w:r>
          </w:p>
        </w:tc>
        <w:tc>
          <w:tcPr>
            <w:tcW w:type="dxa" w:w="5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Vulnerability requires a user or external actor to inject a crafted template into the Velocity engine. GEB Portal uses Velocity only for server-side templates that are static assets packaged in the deployment. No Portal function permits user- or bank-editable template content to reach the engine. Residual risk assessed as not exploitable in GEB usage.</w:t>
            </w:r>
          </w:p>
        </w:tc>
      </w:tr>
    </w:tbl>
    <w:p>
      <w:pPr>
        <w:pStyle w:val="Heading2"/>
        <w:spacing w:after="100" w:before="240" w:line="300"/>
      </w:pPr>
      <w:r>
        <w:rPr>
          <w:rFonts w:ascii="Calibri" w:cs="Calibri" w:eastAsia="Calibri" w:hAnsi="Calibri"/>
          <w:b/>
          <w:bCs/>
          <w:color w:val="324B6E"/>
          <w:sz w:val="26"/>
          <w:szCs w:val="26"/>
        </w:rPr>
        <w:t xml:space="preserve">8.2  Acknowledgment Requested</w:t>
      </w:r>
    </w:p>
    <w:p>
      <w:pPr>
        <w:spacing w:after="60" w:before="60" w:line="300"/>
        <w:jc w:val="left"/>
      </w:pPr>
      <w:r>
        <w:rPr>
          <w:rFonts w:ascii="Calibri" w:cs="Calibri" w:eastAsia="Calibri" w:hAnsi="Calibri"/>
          <w:b w:val="false"/>
          <w:bCs w:val="false"/>
          <w:i w:val="false"/>
          <w:iCs w:val="false"/>
          <w:color w:val="2C3E50"/>
          <w:sz w:val="21"/>
          <w:szCs w:val="21"/>
        </w:rPr>
        <w:t xml:space="preserve">Wipro is delivering the maximum CVE closure achievable within the agreed technology stack constraints. The residual position above has been reviewed with the bank team through emails and working sessions during the analysis phase, and is being placed here as a single formal acknowledgment point so that the position is on record ahead of the release.</w:t>
      </w:r>
    </w:p>
    <w:p>
      <w:pPr>
        <w:spacing w:after="60" w:before="60" w:line="300"/>
        <w:jc w:val="left"/>
      </w:pPr>
      <w:r>
        <w:rPr>
          <w:rFonts w:ascii="Calibri" w:cs="Calibri" w:eastAsia="Calibri" w:hAnsi="Calibri"/>
          <w:b w:val="false"/>
          <w:bCs w:val="false"/>
          <w:i w:val="false"/>
          <w:iCs w:val="false"/>
          <w:color w:val="2C3E50"/>
          <w:sz w:val="21"/>
          <w:szCs w:val="21"/>
        </w:rPr>
        <w:t xml:space="preserve">The residual items would each be fully closed by one of the following two mutually exclusive paths: (a) migration of the affected Spring artefacts to Spring 6.x, which requires an upgrade of the underlying stack to Java 17 and JBoss / servlet container aligned to Jakarta EE 9; or (b) for velocity, a Turbine framework uplift accompanying the Velocity 2.x move. Both paths are stack-level decisions that sit outside the current remediation cycle.</w:t>
      </w:r>
    </w:p>
    <w:p>
      <w:pPr>
        <w:spacing w:after="60" w:before="60" w:line="300"/>
        <w:jc w:val="left"/>
      </w:pPr>
      <w:r>
        <w:rPr>
          <w:rFonts w:ascii="Calibri" w:cs="Calibri" w:eastAsia="Calibri" w:hAnsi="Calibri"/>
          <w:b w:val="false"/>
          <w:bCs w:val="false"/>
          <w:i w:val="false"/>
          <w:iCs w:val="false"/>
          <w:color w:val="2C3E50"/>
          <w:sz w:val="21"/>
          <w:szCs w:val="21"/>
        </w:rPr>
        <w:t xml:space="preserve">A signature block for this acknowledgment is provided in Section 12.</w:t>
      </w:r>
    </w:p>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9.  Testing Scope and Responsibility</w:t>
      </w:r>
    </w:p>
    <w:p>
      <w:pPr>
        <w:pStyle w:val="Heading2"/>
        <w:spacing w:after="100" w:before="240" w:line="300"/>
      </w:pPr>
      <w:r>
        <w:rPr>
          <w:rFonts w:ascii="Calibri" w:cs="Calibri" w:eastAsia="Calibri" w:hAnsi="Calibri"/>
          <w:b/>
          <w:bCs/>
          <w:color w:val="324B6E"/>
          <w:sz w:val="26"/>
          <w:szCs w:val="26"/>
        </w:rPr>
        <w:t xml:space="preserve">9.1  Environment Ownership</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2000"/>
        <w:gridCol w:w="3200"/>
        <w:gridCol w:w="3800"/>
      </w:tblGrid>
      <w:tr>
        <w:trPr>
          <w:tblHeader/>
          <w:trHeight w:val="500" w:hRule="atLeast"/>
        </w:trPr>
        <w:tc>
          <w:tcPr>
            <w:tcW w:type="dxa" w:w="2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Environment</w:t>
            </w:r>
          </w:p>
        </w:tc>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Ownership</w:t>
            </w:r>
          </w:p>
        </w:tc>
        <w:tc>
          <w:tcPr>
            <w:tcW w:type="dxa" w:w="38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Nature of Testing Performed</w:t>
            </w:r>
          </w:p>
        </w:tc>
      </w:tr>
      <w:tr>
        <w:trPr>
          <w:trHeight w:val="400" w:hRule="atLeast"/>
        </w:trPr>
        <w:tc>
          <w:tcPr>
            <w:tcW w:type="dxa" w:w="2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Local Dev</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Wipro</w:t>
            </w:r>
          </w:p>
        </w:tc>
        <w:tc>
          <w:tcPr>
            <w:tcW w:type="dxa" w:w="3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Build validation, smoke checks against the developer workspace. Environment has limited external connectivity by design; only functionally scoped paths reachable from local dev are exercised.</w:t>
            </w:r>
          </w:p>
        </w:tc>
      </w:tr>
      <w:tr>
        <w:trPr>
          <w:trHeight w:val="400" w:hRule="atLeast"/>
        </w:trPr>
        <w:tc>
          <w:tcPr>
            <w:tcW w:type="dxa" w:w="2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SIT</w:t>
            </w:r>
          </w:p>
        </w:tc>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Joint — bank hosts the environment; testing coordinated with bank team</w:t>
            </w:r>
          </w:p>
        </w:tc>
        <w:tc>
          <w:tcPr>
            <w:tcW w:type="dxa" w:w="3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Functional and integration validation across the interconnected Portal surface, with dependencies on downstream systems that are accessible only from the bank environment.</w:t>
            </w:r>
          </w:p>
        </w:tc>
      </w:tr>
      <w:tr>
        <w:trPr>
          <w:trHeight w:val="400" w:hRule="atLeast"/>
        </w:trPr>
        <w:tc>
          <w:tcPr>
            <w:tcW w:type="dxa" w:w="2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UAT</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Bank-led with Wipro support</w:t>
            </w:r>
          </w:p>
        </w:tc>
        <w:tc>
          <w:tcPr>
            <w:tcW w:type="dxa" w:w="3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Business-flow validation and regression coverage. Owned by the bank test team.</w:t>
            </w:r>
          </w:p>
        </w:tc>
      </w:tr>
      <w:tr>
        <w:trPr>
          <w:trHeight w:val="400" w:hRule="atLeast"/>
        </w:trPr>
        <w:tc>
          <w:tcPr>
            <w:tcW w:type="dxa" w:w="2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Production</w:t>
            </w:r>
          </w:p>
        </w:tc>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Bank</w:t>
            </w:r>
          </w:p>
        </w:tc>
        <w:tc>
          <w:tcPr>
            <w:tcW w:type="dxa" w:w="3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Post-deployment monitoring and verification.</w:t>
            </w:r>
          </w:p>
        </w:tc>
      </w:tr>
    </w:tbl>
    <w:p>
      <w:pPr>
        <w:pStyle w:val="Heading2"/>
        <w:spacing w:after="100" w:before="240" w:line="300"/>
      </w:pPr>
      <w:r>
        <w:rPr>
          <w:rFonts w:ascii="Calibri" w:cs="Calibri" w:eastAsia="Calibri" w:hAnsi="Calibri"/>
          <w:b/>
          <w:bCs/>
          <w:color w:val="324B6E"/>
          <w:sz w:val="26"/>
          <w:szCs w:val="26"/>
        </w:rPr>
        <w:t xml:space="preserve">9.2  Wipro's Testing Responsibility</w:t>
      </w:r>
    </w:p>
    <w:p>
      <w:pPr>
        <w:spacing w:after="60" w:before="60" w:line="300"/>
        <w:jc w:val="left"/>
      </w:pPr>
      <w:r>
        <w:rPr>
          <w:rFonts w:ascii="Calibri" w:cs="Calibri" w:eastAsia="Calibri" w:hAnsi="Calibri"/>
          <w:b w:val="false"/>
          <w:bCs w:val="false"/>
          <w:i w:val="false"/>
          <w:iCs w:val="false"/>
          <w:color w:val="2C3E50"/>
          <w:sz w:val="21"/>
          <w:szCs w:val="21"/>
        </w:rPr>
        <w:t xml:space="preserve">Wipro's committed testing responsibility for the deliverables in this document is as follows. The scope is anchored to the impact assessment set out in Section 9.4 — the change footprint is limited to library upgrades and dependency alignment, with no business logic, database schema, interface or configuration changes intended.</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Local dev build validation for the upgraded artefact set — successful compilation, dependency resolution, EAR packaging.</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Sanity execution of the reachable Portal paths from local dev — Portal application boot, request-response validation on locally reachable endpoints, absence of classloader or version-conflict errors.</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Error-free execution of the log4j 2.x initialisation path — verification that the async logger and the disruptor-backed queue engage without failure at Portal start-up.</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Spring context initialisation validation — verification that the Spring 5.3.34 context boot completes without bean-definition or wiring errors.</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Support to the bank team through SIT and UAT — active availability of the Wipro dev team during the SIT and UAT cycles for issue triage, code drops and defect resolution.</w:t>
      </w:r>
    </w:p>
    <w:p>
      <w:pPr>
        <w:pStyle w:val="Heading2"/>
        <w:spacing w:after="100" w:before="240" w:line="300"/>
      </w:pPr>
      <w:r>
        <w:rPr>
          <w:rFonts w:ascii="Calibri" w:cs="Calibri" w:eastAsia="Calibri" w:hAnsi="Calibri"/>
          <w:b/>
          <w:bCs/>
          <w:color w:val="324B6E"/>
          <w:sz w:val="26"/>
          <w:szCs w:val="26"/>
        </w:rPr>
        <w:t xml:space="preserve">9.3  Bank's Testing Responsibility</w:t>
      </w:r>
    </w:p>
    <w:p>
      <w:pPr>
        <w:spacing w:after="60" w:before="60" w:line="300"/>
        <w:jc w:val="left"/>
      </w:pPr>
      <w:r>
        <w:rPr>
          <w:rFonts w:ascii="Calibri" w:cs="Calibri" w:eastAsia="Calibri" w:hAnsi="Calibri"/>
          <w:b w:val="false"/>
          <w:bCs w:val="false"/>
          <w:i w:val="false"/>
          <w:iCs w:val="false"/>
          <w:color w:val="2C3E50"/>
          <w:sz w:val="21"/>
          <w:szCs w:val="21"/>
        </w:rPr>
        <w:t xml:space="preserve">The complete regression coverage of GEB Portal on the SIT and UAT environments sits with the bank's testing organisation. The Wipro team's local dev testing does not, and cannot, exercise the full functional surface of GEB — this is a shared understanding on both sides, driven by environment segregation and downstream system connectivity that resides in the bank domain. This position is aligned with the discussion recorded in the June 2026 minutes.</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End-to-end regression across the GEB Portal functional surface — covering all business-flow paths that touch the upgraded libraries either directly or transitively.</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Integration regression across the downstream systems reachable only from the bank environment.</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Non-functional testing including performance regression on the async logging path (where log4j 2.x behaviour differs from log4j 1.2.17) and the Spring 5.3.x context initialisation timing.</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Business acceptance for the Portal release on the UAT environment.</w:t>
      </w:r>
    </w:p>
    <w:p>
      <w:pPr>
        <w:pStyle w:val="Heading2"/>
        <w:spacing w:after="100" w:before="240" w:line="300"/>
      </w:pPr>
      <w:r>
        <w:rPr>
          <w:rFonts w:ascii="Calibri" w:cs="Calibri" w:eastAsia="Calibri" w:hAnsi="Calibri"/>
          <w:b/>
          <w:bCs/>
          <w:color w:val="324B6E"/>
          <w:sz w:val="26"/>
          <w:szCs w:val="26"/>
        </w:rPr>
        <w:t xml:space="preserve">9.4  Impact Assessment</w:t>
      </w:r>
    </w:p>
    <w:p>
      <w:pPr>
        <w:spacing w:after="60" w:before="60" w:line="300"/>
        <w:jc w:val="left"/>
      </w:pPr>
      <w:r>
        <w:rPr>
          <w:rFonts w:ascii="Calibri" w:cs="Calibri" w:eastAsia="Calibri" w:hAnsi="Calibri"/>
          <w:b w:val="false"/>
          <w:bCs w:val="false"/>
          <w:i w:val="false"/>
          <w:iCs w:val="false"/>
          <w:color w:val="2C3E50"/>
          <w:sz w:val="21"/>
          <w:szCs w:val="21"/>
        </w:rPr>
        <w:t xml:space="preserve">The impact assessment guides the bank team's test scope planning. Wipro's position on the change footprint of this remediation cycle is as follows:</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400"/>
        <w:gridCol w:w="5600"/>
      </w:tblGrid>
      <w:tr>
        <w:trPr>
          <w:tblHeader/>
          <w:trHeight w:val="500" w:hRule="atLeast"/>
        </w:trPr>
        <w:tc>
          <w:tcPr>
            <w:tcW w:type="dxa" w:w="3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Change Type</w:t>
            </w:r>
          </w:p>
        </w:tc>
        <w:tc>
          <w:tcPr>
            <w:tcW w:type="dxa" w:w="56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Impact Assessment</w:t>
            </w:r>
          </w:p>
        </w:tc>
      </w:tr>
      <w:tr>
        <w:trPr>
          <w:trHeight w:val="400" w:hRule="atLeast"/>
        </w:trPr>
        <w:tc>
          <w:tcPr>
            <w:tcW w:type="dxa" w:w="3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Business logic</w:t>
            </w:r>
          </w:p>
        </w:tc>
        <w:tc>
          <w:tcPr>
            <w:tcW w:type="dxa" w:w="5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 change intended. Solution is limited to library and dependency alignment.</w:t>
            </w:r>
          </w:p>
        </w:tc>
      </w:tr>
      <w:tr>
        <w:trPr>
          <w:trHeight w:val="400" w:hRule="atLeast"/>
        </w:trPr>
        <w:tc>
          <w:tcPr>
            <w:tcW w:type="dxa" w:w="3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Database schema and data</w:t>
            </w:r>
          </w:p>
        </w:tc>
        <w:tc>
          <w:tcPr>
            <w:tcW w:type="dxa" w:w="5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 change intended.</w:t>
            </w:r>
          </w:p>
        </w:tc>
      </w:tr>
      <w:tr>
        <w:trPr>
          <w:trHeight w:val="400" w:hRule="atLeast"/>
        </w:trPr>
        <w:tc>
          <w:tcPr>
            <w:tcW w:type="dxa" w:w="3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External interfaces and APIs</w:t>
            </w:r>
          </w:p>
        </w:tc>
        <w:tc>
          <w:tcPr>
            <w:tcW w:type="dxa" w:w="5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 change intended in contract or schema.</w:t>
            </w:r>
          </w:p>
        </w:tc>
      </w:tr>
      <w:tr>
        <w:trPr>
          <w:trHeight w:val="400" w:hRule="atLeast"/>
        </w:trPr>
        <w:tc>
          <w:tcPr>
            <w:tcW w:type="dxa" w:w="3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Runtime configuration</w:t>
            </w:r>
          </w:p>
        </w:tc>
        <w:tc>
          <w:tcPr>
            <w:tcW w:type="dxa" w:w="5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Limited to the log4j 2.x configuration file format (a controlled transformation from log4j 1.2.17 properties). No other configuration change.</w:t>
            </w:r>
          </w:p>
        </w:tc>
      </w:tr>
      <w:tr>
        <w:trPr>
          <w:trHeight w:val="400" w:hRule="atLeast"/>
        </w:trPr>
        <w:tc>
          <w:tcPr>
            <w:tcW w:type="dxa" w:w="3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Library and dependency versions</w:t>
            </w:r>
          </w:p>
        </w:tc>
        <w:tc>
          <w:tcPr>
            <w:tcW w:type="dxa" w:w="5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Central focus of the change — per Sections 4, 5 and 6.</w:t>
            </w:r>
          </w:p>
        </w:tc>
      </w:tr>
      <w:tr>
        <w:trPr>
          <w:trHeight w:val="400" w:hRule="atLeast"/>
        </w:trPr>
        <w:tc>
          <w:tcPr>
            <w:tcW w:type="dxa" w:w="3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Application code</w:t>
            </w:r>
          </w:p>
        </w:tc>
        <w:tc>
          <w:tcPr>
            <w:tcW w:type="dxa" w:w="5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Minor code adjustments only — none intended to alter business behaviour. Focused on the Spring 4.x → 5.x migration boilerplate and the log4j 1.x → 2.x logger initialisation.</w:t>
            </w:r>
          </w:p>
        </w:tc>
      </w:tr>
    </w:tbl>
    <w:p>
      <w:pPr>
        <w:pStyle w:val="Heading2"/>
        <w:spacing w:after="100" w:before="240" w:line="300"/>
      </w:pPr>
      <w:r>
        <w:rPr>
          <w:rFonts w:ascii="Calibri" w:cs="Calibri" w:eastAsia="Calibri" w:hAnsi="Calibri"/>
          <w:b/>
          <w:bCs/>
          <w:color w:val="324B6E"/>
          <w:sz w:val="26"/>
          <w:szCs w:val="26"/>
        </w:rPr>
        <w:t xml:space="preserve">9.5  Constraints and Limitations</w:t>
      </w:r>
    </w:p>
    <w:p>
      <w:pPr>
        <w:spacing w:after="60" w:before="60" w:line="300"/>
        <w:jc w:val="left"/>
      </w:pPr>
      <w:r>
        <w:rPr>
          <w:rFonts w:ascii="Calibri" w:cs="Calibri" w:eastAsia="Calibri" w:hAnsi="Calibri"/>
          <w:b w:val="false"/>
          <w:bCs w:val="false"/>
          <w:i w:val="false"/>
          <w:iCs w:val="false"/>
          <w:color w:val="2C3E50"/>
          <w:sz w:val="21"/>
          <w:szCs w:val="21"/>
        </w:rPr>
        <w:t xml:space="preserve">The following constraints on local dev testing are noted so that expectation between the two teams is set explicitly:</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Local dev environment has restricted network reach and does not connect to downstream production-adjacent systems. Full end-to-end flows cannot be verified locally.</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Certain third-party gateway simulators are available only in the SIT and UAT environments — local dev testing does not exercise these paths.</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The Portal's interconnection with the Batch application is validated on the SIT environment; local dev does not host the Batch runtime.</w:t>
      </w:r>
    </w:p>
    <w:p>
      <w:pPr>
        <w:spacing w:after="60" w:before="60" w:line="300"/>
        <w:jc w:val="left"/>
      </w:pPr>
      <w:r>
        <w:rPr>
          <w:rFonts w:ascii="Calibri" w:cs="Calibri" w:eastAsia="Calibri" w:hAnsi="Calibri"/>
          <w:b w:val="false"/>
          <w:bCs w:val="false"/>
          <w:i w:val="false"/>
          <w:iCs w:val="false"/>
          <w:color w:val="2C3E50"/>
          <w:sz w:val="21"/>
          <w:szCs w:val="21"/>
        </w:rPr>
        <w:t xml:space="preserve">Where any of these constraints prevent Wipro from locally verifying a specific behaviour that the bank team wishes to be covered before SIT, a callout will be raised well ahead of the code drop so that the bank team can plan the corresponding test coverage.</w:t>
      </w:r>
    </w:p>
    <w:p>
      <w:pPr>
        <w:pStyle w:val="Heading2"/>
        <w:spacing w:after="100" w:before="240" w:line="300"/>
      </w:pPr>
      <w:r>
        <w:rPr>
          <w:rFonts w:ascii="Calibri" w:cs="Calibri" w:eastAsia="Calibri" w:hAnsi="Calibri"/>
          <w:b/>
          <w:bCs/>
          <w:color w:val="324B6E"/>
          <w:sz w:val="26"/>
          <w:szCs w:val="26"/>
        </w:rPr>
        <w:t xml:space="preserve">9.6  Test Scope Guidance per Library Family</w:t>
      </w:r>
    </w:p>
    <w:p>
      <w:pPr>
        <w:spacing w:after="60" w:before="60" w:line="300"/>
        <w:jc w:val="left"/>
      </w:pPr>
      <w:r>
        <w:rPr>
          <w:rFonts w:ascii="Calibri" w:cs="Calibri" w:eastAsia="Calibri" w:hAnsi="Calibri"/>
          <w:b w:val="false"/>
          <w:bCs w:val="false"/>
          <w:i w:val="false"/>
          <w:iCs w:val="false"/>
          <w:color w:val="2C3E50"/>
          <w:sz w:val="21"/>
          <w:szCs w:val="21"/>
        </w:rPr>
        <w:t xml:space="preserve">Category-level guidance for the bank test team, per library family, is provided below. Because GEB Portal functionality is owned end-to-end by the bank, Wipro provides the technical library-touchpoint pointers rather than functional test cases; the mapping to specific test scenarios is the bank test team's exercise.</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000"/>
        <w:gridCol w:w="6000"/>
      </w:tblGrid>
      <w:tr>
        <w:trPr>
          <w:tblHeader/>
          <w:trHeight w:val="500" w:hRule="atLeast"/>
        </w:trPr>
        <w:tc>
          <w:tcPr>
            <w:tcW w:type="dxa" w:w="3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 Family</w:t>
            </w:r>
          </w:p>
        </w:tc>
        <w:tc>
          <w:tcPr>
            <w:tcW w:type="dxa" w:w="6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Where Regression Attention Is Warranted</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 family</w:t>
            </w:r>
          </w:p>
        </w:tc>
        <w:tc>
          <w:tcPr>
            <w:tcW w:type="dxa" w:w="6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Application boot and Spring context initialisation. Bean wiring for controllers, services and any AOP-annotated interceptors. Data-binding and validation flows. HTTP request handling paths.</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log4j 2.x family</w:t>
            </w:r>
          </w:p>
        </w:tc>
        <w:tc>
          <w:tcPr>
            <w:tcW w:type="dxa" w:w="6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Application boot log initialisation. Async logging under load. Log routing to configured appenders. Any log-driven downstream (SIEM, monitoring) integration paths.</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jackson family</w:t>
            </w:r>
          </w:p>
        </w:tc>
        <w:tc>
          <w:tcPr>
            <w:tcW w:type="dxa" w:w="6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JSON serialisation and deserialisation across REST endpoints. Any custom Jackson modules or annotations in the Portal code.</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nimbus-jose-jwt</w:t>
            </w:r>
          </w:p>
        </w:tc>
        <w:tc>
          <w:tcPr>
            <w:tcW w:type="dxa" w:w="6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JWT signing and verification paths. Any token issuance and validation flows. JWK / JWKSet handling.</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guava</w:t>
            </w:r>
          </w:p>
        </w:tc>
        <w:tc>
          <w:tcPr>
            <w:tcW w:type="dxa" w:w="6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Cache initialisation paths. Any Guava collection or utility usage in application code — the API is largely stable but a smoke check on the reachable paths is recommended.</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commons-fileupload</w:t>
            </w:r>
          </w:p>
        </w:tc>
        <w:tc>
          <w:tcPr>
            <w:tcW w:type="dxa" w:w="6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File upload endpoints — multipart handling, size limits, boundary conditions.</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Others (xmlbeans, commons-beanutils, gson, xalan, jsoup, jackson-core)</w:t>
            </w:r>
          </w:p>
        </w:tc>
        <w:tc>
          <w:tcPr>
            <w:tcW w:type="dxa" w:w="6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Standard smoke on the specific paths that use these libraries. Full functional regression on the affected screens as part of the overall Portal regression.</w:t>
            </w:r>
          </w:p>
        </w:tc>
      </w:tr>
    </w:tbl>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10.  Delivery Plan</w:t>
      </w:r>
    </w:p>
    <w:p>
      <w:pPr>
        <w:spacing w:after="60" w:before="60" w:line="300"/>
        <w:jc w:val="left"/>
      </w:pPr>
      <w:r>
        <w:rPr>
          <w:rFonts w:ascii="Calibri" w:cs="Calibri" w:eastAsia="Calibri" w:hAnsi="Calibri"/>
          <w:b w:val="false"/>
          <w:bCs w:val="false"/>
          <w:i w:val="false"/>
          <w:iCs w:val="false"/>
          <w:color w:val="2C3E50"/>
          <w:sz w:val="21"/>
          <w:szCs w:val="21"/>
        </w:rPr>
        <w:t xml:space="preserve">The August 2026 release covers SG, CN and TH. The delivery follows the sequence below, aligned to the working schedule discussed with the bank team.</w:t>
      </w:r>
    </w:p>
    <w:p>
      <w:pPr>
        <w:pStyle w:val="Heading2"/>
        <w:spacing w:after="100" w:before="240" w:line="300"/>
      </w:pPr>
      <w:r>
        <w:rPr>
          <w:rFonts w:ascii="Calibri" w:cs="Calibri" w:eastAsia="Calibri" w:hAnsi="Calibri"/>
          <w:b/>
          <w:bCs/>
          <w:color w:val="324B6E"/>
          <w:sz w:val="26"/>
          <w:szCs w:val="26"/>
        </w:rPr>
        <w:t xml:space="preserve">10.1  Delivery Timeline</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1600"/>
        <w:gridCol w:w="1800"/>
        <w:gridCol w:w="1800"/>
        <w:gridCol w:w="1800"/>
        <w:gridCol w:w="2000"/>
      </w:tblGrid>
      <w:tr>
        <w:trPr>
          <w:tblHeader/>
          <w:trHeight w:val="500" w:hRule="atLeast"/>
        </w:trPr>
        <w:tc>
          <w:tcPr>
            <w:tcW w:type="dxa" w:w="16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Country</w:t>
            </w:r>
          </w:p>
        </w:tc>
        <w:tc>
          <w:tcPr>
            <w:tcW w:type="dxa" w:w="18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Wipro Assignees</w:t>
            </w:r>
          </w:p>
        </w:tc>
        <w:tc>
          <w:tcPr>
            <w:tcW w:type="dxa" w:w="18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Dev Start</w:t>
            </w:r>
          </w:p>
        </w:tc>
        <w:tc>
          <w:tcPr>
            <w:tcW w:type="dxa" w:w="18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Batch Target</w:t>
            </w:r>
          </w:p>
        </w:tc>
        <w:tc>
          <w:tcPr>
            <w:tcW w:type="dxa" w:w="2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Release Target</w:t>
            </w:r>
          </w:p>
        </w:tc>
      </w:tr>
      <w:tr>
        <w:trPr>
          <w:trHeight w:val="400" w:hRule="atLeast"/>
        </w:trPr>
        <w:tc>
          <w:tcPr>
            <w:tcW w:type="dxa" w:w="1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SG</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Akshith / Pavan</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29 Jun 2026</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Batch 1: 07 Jul 2026
Batch 2: 14 Jul 2026 (retrofit from CN)</w:t>
            </w:r>
          </w:p>
        </w:tc>
        <w:tc>
          <w:tcPr>
            <w:tcW w:type="dxa" w:w="2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14 Aug 2026</w:t>
            </w:r>
          </w:p>
        </w:tc>
      </w:tr>
      <w:tr>
        <w:trPr>
          <w:trHeight w:val="400" w:hRule="atLeast"/>
        </w:trPr>
        <w:tc>
          <w:tcPr>
            <w:tcW w:type="dxa" w:w="1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CN</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Naveen / Jerry</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29 Jun 2026</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07 Jul 2026</w:t>
            </w:r>
          </w:p>
        </w:tc>
        <w:tc>
          <w:tcPr>
            <w:tcW w:type="dxa" w:w="2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14 Aug 2026</w:t>
            </w:r>
          </w:p>
        </w:tc>
      </w:tr>
      <w:tr>
        <w:trPr>
          <w:trHeight w:val="400" w:hRule="atLeast"/>
        </w:trPr>
        <w:tc>
          <w:tcPr>
            <w:tcW w:type="dxa" w:w="1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TH</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Naveen / Jerry</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06 Jul 2026</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10 Jul 2026 (retrofit from CN)</w:t>
            </w:r>
          </w:p>
        </w:tc>
        <w:tc>
          <w:tcPr>
            <w:tcW w:type="dxa" w:w="2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22 Aug 2026</w:t>
            </w:r>
          </w:p>
        </w:tc>
      </w:tr>
    </w:tbl>
    <w:p>
      <w:pPr>
        <w:spacing w:after="60" w:before="60" w:line="300"/>
        <w:jc w:val="left"/>
      </w:pPr>
      <w:r>
        <w:rPr>
          <w:rFonts w:ascii="Calibri" w:cs="Calibri" w:eastAsia="Calibri" w:hAnsi="Calibri"/>
          <w:b w:val="false"/>
          <w:bCs w:val="false"/>
          <w:i w:val="false"/>
          <w:iCs w:val="false"/>
          <w:color w:val="2C3E50"/>
          <w:sz w:val="21"/>
          <w:szCs w:val="21"/>
        </w:rPr>
        <w:t xml:space="preserve">The CN development lane is the primary origin for the Spring family and dependency upgrade code drops. TH takes the CN artefact set through a retrofit path. SG runs its Batch 1 in parallel and picks up the CN artefacts for Batch 2 through the same retrofit approach.</w:t>
      </w:r>
    </w:p>
    <w:p>
      <w:pPr>
        <w:pStyle w:val="Heading2"/>
        <w:spacing w:after="100" w:before="240" w:line="300"/>
      </w:pPr>
      <w:r>
        <w:rPr>
          <w:rFonts w:ascii="Calibri" w:cs="Calibri" w:eastAsia="Calibri" w:hAnsi="Calibri"/>
          <w:b/>
          <w:bCs/>
          <w:color w:val="324B6E"/>
          <w:sz w:val="26"/>
          <w:szCs w:val="26"/>
        </w:rPr>
        <w:t xml:space="preserve">10.2  Country-Specific Item Counts</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1600"/>
        <w:gridCol w:w="1800"/>
        <w:gridCol w:w="1800"/>
        <w:gridCol w:w="1800"/>
        <w:gridCol w:w="2000"/>
      </w:tblGrid>
      <w:tr>
        <w:trPr>
          <w:tblHeader/>
          <w:trHeight w:val="500" w:hRule="atLeast"/>
        </w:trPr>
        <w:tc>
          <w:tcPr>
            <w:tcW w:type="dxa" w:w="16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Country</w:t>
            </w:r>
          </w:p>
        </w:tc>
        <w:tc>
          <w:tcPr>
            <w:tcW w:type="dxa" w:w="18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Decommission</w:t>
            </w:r>
          </w:p>
        </w:tc>
        <w:tc>
          <w:tcPr>
            <w:tcW w:type="dxa" w:w="18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Upgrade</w:t>
            </w:r>
          </w:p>
        </w:tc>
        <w:tc>
          <w:tcPr>
            <w:tcW w:type="dxa" w:w="18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New Dependency</w:t>
            </w:r>
          </w:p>
        </w:tc>
        <w:tc>
          <w:tcPr>
            <w:tcW w:type="dxa" w:w="2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Total Items</w:t>
            </w:r>
          </w:p>
        </w:tc>
      </w:tr>
      <w:tr>
        <w:trPr>
          <w:trHeight w:val="400" w:hRule="atLeast"/>
        </w:trPr>
        <w:tc>
          <w:tcPr>
            <w:tcW w:type="dxa" w:w="1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SG (Batch 1 + Batch 2)</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14 + 16</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3 + 2</w:t>
            </w:r>
          </w:p>
        </w:tc>
        <w:tc>
          <w:tcPr>
            <w:tcW w:type="dxa" w:w="2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39 (split)</w:t>
            </w:r>
          </w:p>
        </w:tc>
      </w:tr>
      <w:tr>
        <w:trPr>
          <w:trHeight w:val="400" w:hRule="atLeast"/>
        </w:trPr>
        <w:tc>
          <w:tcPr>
            <w:tcW w:type="dxa" w:w="1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CN</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3</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16</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w:t>
            </w:r>
          </w:p>
        </w:tc>
        <w:tc>
          <w:tcPr>
            <w:tcW w:type="dxa" w:w="2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w:t>
            </w:r>
          </w:p>
        </w:tc>
      </w:tr>
      <w:tr>
        <w:trPr>
          <w:trHeight w:val="400" w:hRule="atLeast"/>
        </w:trPr>
        <w:tc>
          <w:tcPr>
            <w:tcW w:type="dxa" w:w="1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TH</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3</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16</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w:t>
            </w:r>
          </w:p>
        </w:tc>
        <w:tc>
          <w:tcPr>
            <w:tcW w:type="dxa" w:w="2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 (via CN retrofit)</w:t>
            </w:r>
          </w:p>
        </w:tc>
      </w:tr>
    </w:tbl>
    <w:p>
      <w:pPr>
        <w:spacing w:after="60" w:before="60" w:line="300"/>
        <w:jc w:val="left"/>
      </w:pPr>
      <w:r>
        <w:rPr>
          <w:rFonts w:ascii="Calibri" w:cs="Calibri" w:eastAsia="Calibri" w:hAnsi="Calibri"/>
          <w:b w:val="false"/>
          <w:bCs w:val="false"/>
          <w:i w:val="false"/>
          <w:iCs w:val="false"/>
          <w:color w:val="2C3E50"/>
          <w:sz w:val="21"/>
          <w:szCs w:val="21"/>
        </w:rPr>
        <w:t xml:space="preserve">The variance in SG counts across Batch 1 and Batch 2 reflects the difference between SG's original 4.2.9 baseline and the newer CN reference baseline, and is explained by the additional decommission items in SG that are not present in the other two markets.</w:t>
      </w:r>
    </w:p>
    <w:p>
      <w:pPr>
        <w:pStyle w:val="Heading2"/>
        <w:spacing w:after="100" w:before="240" w:line="300"/>
      </w:pPr>
      <w:r>
        <w:rPr>
          <w:rFonts w:ascii="Calibri" w:cs="Calibri" w:eastAsia="Calibri" w:hAnsi="Calibri"/>
          <w:b/>
          <w:bCs/>
          <w:color w:val="324B6E"/>
          <w:sz w:val="26"/>
          <w:szCs w:val="26"/>
        </w:rPr>
        <w:t xml:space="preserve">10.3  Milestones</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Dev completion — CN by 07 Jul 2026, TH by 10 Jul 2026, SG Batch 1 by 07 Jul and Batch 2 by 14 Jul 2026.</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Solution document sign-off — to be closed before the SIT hand-off.</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SIT hand-off — country-wise per the agreed release schedule.</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Production release — SG and CN on 14 Aug 2026; TH on 22 Aug 2026.</w:t>
      </w:r>
    </w:p>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11.  Assumptions and Constraints</w:t>
      </w:r>
    </w:p>
    <w:p>
      <w:pPr>
        <w:pStyle w:val="Heading2"/>
        <w:spacing w:after="100" w:before="240" w:line="300"/>
      </w:pPr>
      <w:r>
        <w:rPr>
          <w:rFonts w:ascii="Calibri" w:cs="Calibri" w:eastAsia="Calibri" w:hAnsi="Calibri"/>
          <w:b/>
          <w:bCs/>
          <w:color w:val="324B6E"/>
          <w:sz w:val="26"/>
          <w:szCs w:val="26"/>
        </w:rPr>
        <w:t xml:space="preserve">11.1  Assumptions</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The GEB Portal runtime environment remains on Java 8 and JBoss EAP 7.3 for the August release cycle. No JDK or application-server change is assumed.</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The bank test team retains full ownership of end-to-end functional regression on SIT and UAT.</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Bank confirms availability of the target JAR set in the developer-accessible artefact path once the target versions are locked, per the June 2026 minutes.</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The exploitability position on residual CVEs in Section 8 is acknowledged in the sign-off block below.</w:t>
      </w:r>
    </w:p>
    <w:p>
      <w:pPr>
        <w:pStyle w:val="Heading2"/>
        <w:spacing w:after="100" w:before="240" w:line="300"/>
      </w:pPr>
      <w:r>
        <w:rPr>
          <w:rFonts w:ascii="Calibri" w:cs="Calibri" w:eastAsia="Calibri" w:hAnsi="Calibri"/>
          <w:b/>
          <w:bCs/>
          <w:color w:val="324B6E"/>
          <w:sz w:val="26"/>
          <w:szCs w:val="26"/>
        </w:rPr>
        <w:t xml:space="preserve">11.2  Constraints</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Local Wipro dev environment has restricted external connectivity and cannot exercise the full GEB Portal downstream surface.</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Spring open-source line has reached end-of-life at 5.3.39 (August 2024). Any Spring version beyond 5.3.39 is not available on Maven Central. This limits the free open-source ceiling for the Spring family in this cycle to 5.3.39; the current target of 5.3.34 sits within this limit.</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Bank-owned Batik libraries (Section 7) require UOB action; their remediation does not sit on the Wipro delivery path.</w:t>
      </w:r>
    </w:p>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12.  Sign-off and Acknowledgment</w:t>
      </w:r>
    </w:p>
    <w:p>
      <w:pPr>
        <w:spacing w:after="60" w:before="60" w:line="300"/>
        <w:jc w:val="left"/>
      </w:pPr>
      <w:r>
        <w:rPr>
          <w:rFonts w:ascii="Calibri" w:cs="Calibri" w:eastAsia="Calibri" w:hAnsi="Calibri"/>
          <w:b w:val="false"/>
          <w:bCs w:val="false"/>
          <w:i w:val="false"/>
          <w:iCs w:val="false"/>
          <w:color w:val="2C3E50"/>
          <w:sz w:val="21"/>
          <w:szCs w:val="21"/>
        </w:rPr>
        <w:t xml:space="preserve">The parties named below acknowledge that they have reviewed this solution document and agree to the scope, solution approach, testing responsibility split and residual CVE position set out in it. Sign-off is captured either through a signature on this document, or through an equivalent email acknowledgment referenced against the document version and date on the cover page.</w:t>
      </w:r>
    </w:p>
    <w:p>
      <w:pPr>
        <w:pStyle w:val="Heading2"/>
        <w:spacing w:after="100" w:before="240" w:line="300"/>
      </w:pPr>
      <w:r>
        <w:rPr>
          <w:rFonts w:ascii="Calibri" w:cs="Calibri" w:eastAsia="Calibri" w:hAnsi="Calibri"/>
          <w:b/>
          <w:bCs/>
          <w:color w:val="324B6E"/>
          <w:sz w:val="26"/>
          <w:szCs w:val="26"/>
        </w:rPr>
        <w:t xml:space="preserve">12.1  Wipro Sign-off</w:t>
      </w:r>
    </w:p>
    <w:tbl>
      <w:tblPr>
        <w:tblW w:type="dxa" w:w="9600"/>
        <w:tblBorders>
          <w:top w:val="single" w:color="B5BEC9" w:sz="6"/>
          <w:left w:val="single" w:color="B5BEC9" w:sz="6"/>
          <w:bottom w:val="single" w:color="B5BEC9" w:sz="6"/>
          <w:right w:val="single" w:color="B5BEC9" w:sz="6"/>
          <w:insideH w:val="single" w:color="D6DCE5" w:sz="4"/>
          <w:insideV w:val="single" w:color="D6DCE5" w:sz="4"/>
        </w:tblBorders>
      </w:tblPr>
      <w:tblGrid>
        <w:gridCol w:w="3200"/>
        <w:gridCol w:w="3200"/>
        <w:gridCol w:w="3200"/>
      </w:tblGrid>
      <w:tr>
        <w:trPr>
          <w:tblHeader/>
          <w:trHeight w:val="500" w:hRule="atLeast"/>
        </w:trPr>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Name and Role</w:t>
            </w:r>
          </w:p>
        </w:tc>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Signature</w:t>
            </w:r>
          </w:p>
        </w:tc>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Date</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Sai Pavan Jaldu
Consultant, Engagement Lead</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Archana Rajendiran
Solution Architect</w:t>
            </w:r>
          </w:p>
        </w:tc>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Mohan Panchagnula
Delivery Lead</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r>
    </w:tbl>
    <w:p>
      <w:pPr>
        <w:pStyle w:val="Heading2"/>
        <w:spacing w:after="100" w:before="240" w:line="300"/>
      </w:pPr>
      <w:r>
        <w:rPr>
          <w:rFonts w:ascii="Calibri" w:cs="Calibri" w:eastAsia="Calibri" w:hAnsi="Calibri"/>
          <w:b/>
          <w:bCs/>
          <w:color w:val="324B6E"/>
          <w:sz w:val="26"/>
          <w:szCs w:val="26"/>
        </w:rPr>
        <w:t xml:space="preserve">12.2  UOB Sign-off</w:t>
      </w:r>
    </w:p>
    <w:tbl>
      <w:tblPr>
        <w:tblW w:type="dxa" w:w="9600"/>
        <w:tblBorders>
          <w:top w:val="single" w:color="B5BEC9" w:sz="6"/>
          <w:left w:val="single" w:color="B5BEC9" w:sz="6"/>
          <w:bottom w:val="single" w:color="B5BEC9" w:sz="6"/>
          <w:right w:val="single" w:color="B5BEC9" w:sz="6"/>
          <w:insideH w:val="single" w:color="D6DCE5" w:sz="4"/>
          <w:insideV w:val="single" w:color="D6DCE5" w:sz="4"/>
        </w:tblBorders>
      </w:tblPr>
      <w:tblGrid>
        <w:gridCol w:w="3200"/>
        <w:gridCol w:w="3200"/>
        <w:gridCol w:w="3200"/>
      </w:tblGrid>
      <w:tr>
        <w:trPr>
          <w:tblHeader/>
          <w:trHeight w:val="500" w:hRule="atLeast"/>
        </w:trPr>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Name and Role</w:t>
            </w:r>
          </w:p>
        </w:tc>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Signature</w:t>
            </w:r>
          </w:p>
        </w:tc>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Date</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Gwee Bor Ching
SVP, GEB Platform</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Veeramani Surekha
VP, GEB Delivery</w:t>
            </w:r>
          </w:p>
        </w:tc>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SG Country SPOC</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CN Country SPOC</w:t>
            </w:r>
          </w:p>
        </w:tc>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TH Country SPOC</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r>
    </w:tbl>
    <w:p>
      <w:pPr>
        <w:pStyle w:val="Heading2"/>
        <w:spacing w:after="100" w:before="240" w:line="300"/>
      </w:pPr>
      <w:r>
        <w:rPr>
          <w:rFonts w:ascii="Calibri" w:cs="Calibri" w:eastAsia="Calibri" w:hAnsi="Calibri"/>
          <w:b/>
          <w:bCs/>
          <w:color w:val="324B6E"/>
          <w:sz w:val="26"/>
          <w:szCs w:val="26"/>
        </w:rPr>
        <w:t xml:space="preserve">12.3  Residual CVE Acknowledgment</w:t>
      </w:r>
    </w:p>
    <w:p>
      <w:pPr>
        <w:spacing w:after="60" w:before="60" w:line="300"/>
        <w:jc w:val="left"/>
      </w:pPr>
      <w:r>
        <w:rPr>
          <w:rFonts w:ascii="Calibri" w:cs="Calibri" w:eastAsia="Calibri" w:hAnsi="Calibri"/>
          <w:b w:val="false"/>
          <w:bCs w:val="false"/>
          <w:i w:val="false"/>
          <w:iCs w:val="false"/>
          <w:color w:val="2C3E50"/>
          <w:sz w:val="21"/>
          <w:szCs w:val="21"/>
        </w:rPr>
        <w:t xml:space="preserve">By signing this document, the UOB signatories additionally acknowledge the residual CVE position set out in Section 8, namely CVE-2016-1000027 on spring-web, CVE-2024-38819 on spring-webmvc, CVE-2025-41249 on spring-core, and CVE-2020-13936 on velocity. The exploitability rationale for each of these is documented in Section 8.1. Full closure of these items would require a stack-level uplift (Java 17 with Spring 6.x for the Spring items; Turbine framework uplift for velocity), which is outside the current release cycle.</w:t>
      </w:r>
    </w:p>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5BEC9" w:sz="6" w:space="4"/>
      </w:pBdr>
      <w:jc w:val="left"/>
    </w:pPr>
    <w:r>
      <w:rPr>
        <w:rFonts w:ascii="Calibri" w:cs="Calibri" w:eastAsia="Calibri" w:hAnsi="Calibri"/>
        <w:color w:val="5A6A7A"/>
        <w:sz w:val="18"/>
        <w:szCs w:val="18"/>
      </w:rPr>
      <w:t xml:space="preserve">Wipro Consulting — Prepared for UOB</w:t>
    </w:r>
    <w:r>
      <w:rPr>
        <w:rFonts w:ascii="Calibri" w:cs="Calibri" w:eastAsia="Calibri" w:hAnsi="Calibri"/>
        <w:color w:val="5A6A7A"/>
        <w:sz w:val="18"/>
        <w:szCs w:val="18"/>
      </w:rPr>
      <w:t xml:space="preserve">                                                                                 Page </w:t>
    </w:r>
    <w:r>
      <w:rPr>
        <w:rFonts w:ascii="Calibri" w:cs="Calibri" w:eastAsia="Calibri" w:hAnsi="Calibri"/>
        <w:color w:val="5A6A7A"/>
        <w:sz w:val="18"/>
        <w:szCs w:val="18"/>
      </w:rPr>
      <w:fldChar w:fldCharType="begin"/>
      <w:instrText xml:space="preserve">PAGE</w:instrText>
      <w:fldChar w:fldCharType="separate"/>
      <w:fldChar w:fldCharType="end"/>
    </w:r>
    <w:r>
      <w:rPr>
        <w:rFonts w:ascii="Calibri" w:cs="Calibri" w:eastAsia="Calibri" w:hAnsi="Calibri"/>
        <w:color w:val="5A6A7A"/>
        <w:sz w:val="18"/>
        <w:szCs w:val="18"/>
      </w:rPr>
      <w:t xml:space="preserve"> of </w:t>
    </w:r>
    <w:r>
      <w:rPr>
        <w:rFonts w:ascii="Calibri" w:cs="Calibri" w:eastAsia="Calibri" w:hAnsi="Calibri"/>
        <w:color w:val="5A6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BEC9" w:sz="6" w:space="4"/>
      </w:pBdr>
      <w:jc w:val="left"/>
    </w:pPr>
    <w:r>
      <w:rPr>
        <w:rFonts w:ascii="Calibri" w:cs="Calibri" w:eastAsia="Calibri" w:hAnsi="Calibri"/>
        <w:color w:val="5A6A7A"/>
        <w:sz w:val="18"/>
        <w:szCs w:val="18"/>
      </w:rPr>
      <w:t xml:space="preserve">GEB Portal — CVE Remediation Solution Document</w:t>
    </w:r>
    <w:r>
      <w:rPr>
        <w:rFonts w:ascii="Calibri" w:cs="Calibri" w:eastAsia="Calibri" w:hAnsi="Calibri"/>
        <w:color w:val="B5BEC9"/>
        <w:sz w:val="18"/>
        <w:szCs w:val="18"/>
      </w:rPr>
      <w:t xml:space="preserve">     ·     </w:t>
    </w:r>
    <w:r>
      <w:rPr>
        <w:rFonts w:ascii="Calibri" w:cs="Calibri" w:eastAsia="Calibri" w:hAnsi="Calibri"/>
        <w:i/>
        <w:iCs/>
        <w:color w:val="5A6A7A"/>
        <w:sz w:val="18"/>
        <w:szCs w:val="18"/>
      </w:rPr>
      <w:t xml:space="preserve">SG · CN · TH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7a2282bd445f48b2f4e3ead4632b94a82cfc6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 CVE Remediation Solution Document</dc:title>
  <dc:creator>Sai Pavan Jaldu, Wipro Consulting</dc:creator>
  <dc:description>Formal solution document for GEB Portal CVE remediation — SG, CN, TH August 2026 release.</dc:description>
  <cp:lastModifiedBy>Un-named</cp:lastModifiedBy>
  <cp:revision>1</cp:revision>
  <dcterms:created xsi:type="dcterms:W3CDTF">2026-07-07T04:25:39.865Z</dcterms:created>
  <dcterms:modified xsi:type="dcterms:W3CDTF">2026-07-07T04:25:39.877Z</dcterms:modified>
</cp:coreProperties>
</file>

<file path=docProps/custom.xml><?xml version="1.0" encoding="utf-8"?>
<Properties xmlns="http://schemas.openxmlformats.org/officeDocument/2006/custom-properties" xmlns:vt="http://schemas.openxmlformats.org/officeDocument/2006/docPropsVTypes"/>
</file>