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9b51e0"/>
          <w:sz w:val="24"/>
          <w:szCs w:val="24"/>
          <w:highlight w:val="white"/>
          <w:rtl w:val="0"/>
        </w:rPr>
        <w:t xml:space="preserve">Over the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past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decade, 3D printing has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developed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from a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process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that is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mainly available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major factories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to one that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can be done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in the home office. It is becoming increasingly more affordable and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provides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simple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means of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producing goods.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However, the ethics, legalities, and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morals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of 3D printing are becoming increasingly relevant as the speed of innovation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exceeds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the regulation. Here are 10 forms of 3D printing that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prove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that 3D printing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can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become as regular as other forms of </w:t>
      </w:r>
      <w:r w:rsidDel="00000000" w:rsidR="00000000" w:rsidRPr="00000000">
        <w:rPr>
          <w:color w:val="e36b00"/>
          <w:sz w:val="24"/>
          <w:szCs w:val="24"/>
          <w:highlight w:val="white"/>
          <w:rtl w:val="0"/>
        </w:rPr>
        <w:t xml:space="preserve">processing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in the years to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