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0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1.05%&lt;</w:t>
            </w:r>
          </w:p>
        </w:tc>
      </w:t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13.3%&lt;</w:t>
            </w:r>
          </w:p>
        </w:tc>
      </w:tr>
      <w:tr>
        <w:trPr>
          <w:trHeight w:val="6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2.65%&lt;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9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52e2569b-7b3b-43c2-8d1d-d7f1199957ea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52e2569b-7b3b-43c2-8d1d-d7f1199957e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e4efdaf9-1c19-43ec-9a72-ef32f36aa0cd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e4efdaf9-1c19-43ec-9a72-ef32f36aa0c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d407b34-58d4-4c79-97df-65cc8df28ce9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d407b34-58d4-4c79-97df-65cc8df28ce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0b1dbc28-d0c5-48b0-81b9-e76016c996a8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0b1dbc28-d0c5-48b0-81b9-e76016c996a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a5d09bcda703367a611378bc2a7d517f9083faab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2026-05-02T19:42:29Z</dcterms:modified>
  <cp:category/>
</cp:coreProperties>
</file>