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f5508072-c5ee-4044-ad68-1cb8be50d9bd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2a25bd9f-cab2-418f-827a-feec12e5066d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2a25bd9f-cab2-418f-827a-feec12e5066d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4b27034a-3723-478b-ad34-7b2fa30ac062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4b27034a-3723-478b-ad34-7b2fa30ac062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c4721d42-bd49-45fb-8f95-8001d6f4ed94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c4721d42-bd49-45fb-8f95-8001d6f4ed94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2024-09-18T16:26:39Z</dcterms:modified>
  <cp:category/>
</cp:coreProperties>
</file>