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1DC6C2" w14:textId="16A0B593" w:rsidR="00246974" w:rsidRPr="008B5C33" w:rsidRDefault="00246974" w:rsidP="008B5C33"/>
    <w:p>
      <w:pPr>
        <w:pStyle w:val="Heading1"/>
      </w:pPr>
      <w:r>
        <w:t xml:space="preserve">Model Structure</w:t>
      </w:r>
    </w:p>
    <w:p>
      <w:pPr>
        <w:pStyle w:val="Normal"/>
      </w:pPr>
      <w:r>
        <w:rPr/>
        <w:drawing>
          <wp:inline distT="0" distB="0" distL="0" distR="0">
            <wp:extent cx="5943600" cy="548640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86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5d51edcc-6251-498e-8dc0-831a11bde510" w:name="model_diagram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5d51edcc-6251-498e-8dc0-831a11bde510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Model structure</w:t>
      </w:r>
    </w:p>
    <w:p>
      <w:pPr/>
      <w:r>
        <w:br w:type="pag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8640"/>
      </w:tblGrid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cmt(</m:t>
              </m:r>
              <m:r>
                <m:t>CENTRAL</m:t>
              </m:r>
              <m:r>
                <m:t>)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cmt(</m:t>
              </m:r>
              <m:r>
                <m:t>PERI</m:t>
              </m:r>
              <m:r>
                <m:t>)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cl</m:t>
              </m:r>
              <m:r>
                <m:t>=</m:t>
              </m:r>
              <m:r>
                <m:rPr>
                  <m:sty m:val="p"/>
                </m:rPr>
                <m:t>exp</m:t>
              </m:r>
              <m:r>
                <m:t>⁡</m:t>
              </m:r>
              <m:r>
                <m:t>(</m:t>
              </m:r>
              <m:r>
                <m:t>theta1</m:t>
              </m:r>
              <m:r>
                <m:t>+</m:t>
              </m:r>
              <m:r>
                <m:t>eta1</m:t>
              </m:r>
              <m:r>
                <m:t>)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v=</m:t>
              </m:r>
              <m:r>
                <m:rPr>
                  <m:sty m:val="p"/>
                </m:rPr>
                <m:t>exp</m:t>
              </m:r>
              <m:r>
                <m:t>⁡</m:t>
              </m:r>
              <m:r>
                <m:t>(</m:t>
              </m:r>
              <m:r>
                <m:t>theta2</m:t>
              </m:r>
              <m:r>
                <m:t>+</m:t>
              </m:r>
              <m:r>
                <m:t>eta2</m:t>
              </m:r>
              <m:r>
                <m:t>)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q=</m:t>
              </m:r>
              <m:r>
                <m:rPr>
                  <m:sty m:val="p"/>
                </m:rPr>
                <m:t>exp</m:t>
              </m:r>
              <m:r>
                <m:t>⁡</m:t>
              </m:r>
              <m:r>
                <m:t>(</m:t>
              </m:r>
              <m:r>
                <m:t>theta3</m:t>
              </m:r>
              <m:r>
                <m:t>+</m:t>
              </m:r>
              <m:r>
                <m:t>eta3</m:t>
              </m:r>
              <m:r>
                <m:t>)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v2</m:t>
              </m:r>
              <m:r>
                <m:t>=</m:t>
              </m:r>
              <m:r>
                <m:rPr>
                  <m:sty m:val="p"/>
                </m:rPr>
                <m:t>exp</m:t>
              </m:r>
              <m:r>
                <m:t>⁡</m:t>
              </m:r>
              <m:r>
                <m:t>(</m:t>
              </m:r>
              <m:r>
                <m:t>theta4</m:t>
              </m:r>
              <m:r>
                <m:t>+</m:t>
              </m:r>
              <m:r>
                <m:t>eta4</m:t>
              </m:r>
              <m:r>
                <m:t>)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v1</m:t>
              </m:r>
              <m:r>
                <m:t>=v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scale1</m:t>
              </m:r>
              <m:r>
                <m:t>=v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k21</m:t>
              </m:r>
              <m:r>
                <m:t>=</m:t>
              </m:r>
              <m:f>
                <m:fPr>
                  <m:type m:val="bar"/>
                </m:fPr>
                <m:num>
                  <m:r>
                    <m:t>q</m:t>
                  </m:r>
                </m:num>
                <m:den>
                  <m:r>
                    <m:t>v2</m:t>
                  </m:r>
                </m:den>
              </m:f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k12</m:t>
              </m:r>
              <m:r>
                <m:t>=</m:t>
              </m:r>
              <m:f>
                <m:fPr>
                  <m:type m:val="bar"/>
                </m:fPr>
                <m:num>
                  <m:r>
                    <m:t>q</m:t>
                  </m:r>
                </m:num>
                <m:den>
                  <m:r>
                    <m:t>v</m:t>
                  </m:r>
                </m:den>
              </m:f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nor/>
                    </m:rPr>
                    <m:t> </m:t>
                  </m:r>
                  <m:r>
                    <m:t>CENTRAL</m:t>
                  </m:r>
                </m:num>
                <m:den>
                  <m:r>
                    <m:t>dt</m:t>
                  </m:r>
                </m:den>
              </m:f>
              <m:r>
                <m:t>=</m:t>
              </m:r>
              <m:r>
                <m:t>k21</m:t>
              </m:r>
              <m:r>
                <m:t>×</m:t>
              </m:r>
              <m:r>
                <m:t>PERI</m:t>
              </m:r>
              <m:r>
                <m:t>−</m:t>
              </m:r>
              <m:r>
                <m:t>k12</m:t>
              </m:r>
              <m:r>
                <m:t>×</m:t>
              </m:r>
              <m:r>
                <m:t>CENTRAL</m:t>
              </m:r>
              <m:r>
                <m:t>−</m:t>
              </m:r>
              <m:f>
                <m:fPr>
                  <m:type m:val="bar"/>
                </m:fPr>
                <m:num>
                  <m:r>
                    <m:t>cl</m:t>
                  </m:r>
                  <m:r>
                    <m:t>×</m:t>
                  </m:r>
                  <m:r>
                    <m:t>CENTRAL</m:t>
                  </m:r>
                </m:num>
                <m:den>
                  <m:r>
                    <m:t>v1</m:t>
                  </m:r>
                </m:den>
              </m:f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nor/>
                    </m:rPr>
                    <m:t> </m:t>
                  </m:r>
                  <m:r>
                    <m:t>PERI</m:t>
                  </m:r>
                </m:num>
                <m:den>
                  <m:r>
                    <m:t>dt</m:t>
                  </m:r>
                </m:den>
              </m:f>
              <m:r>
                <m:t>=−</m:t>
              </m:r>
              <m:r>
                <m:t>k21</m:t>
              </m:r>
              <m:r>
                <m:t>×</m:t>
              </m:r>
              <m:r>
                <m:t>PERI</m:t>
              </m:r>
              <m:r>
                <m:t>+</m:t>
              </m:r>
              <m:r>
                <m:t>k12</m:t>
              </m:r>
              <m:r>
                <m:t>×</m:t>
              </m:r>
              <m:r>
                <m:t>CENTRAL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f=</m:t>
              </m:r>
              <m:f>
                <m:fPr>
                  <m:type m:val="bar"/>
                </m:fPr>
                <m:num>
                  <m:r>
                    <m:t>CENTRAL</m:t>
                  </m:r>
                </m:num>
                <m:den>
                  <m:r>
                    <m:t>scale1</m:t>
                  </m:r>
                </m:den>
              </m:f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ipred</m:t>
              </m:r>
              <m:r>
                <m:t>=f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rescv</m:t>
              </m:r>
              <m:r>
                <m:t>=</m:t>
              </m:r>
              <m:r>
                <m:t>RSV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ipred</m:t>
              </m:r>
              <m:r>
                <m:t>∼prop(</m:t>
              </m:r>
              <m:r>
                <m:t>RSV</m:t>
              </m:r>
              <m:r>
                <m:t>)</m:t>
              </m:r>
            </m:oMath>
          </w:p>
        </w:tc>
      </w:tr>
    </w:tbl>
    <w:p>
      <w:pPr>
        <w:pStyle w:val="tabletitle"/>
      </w:pPr>
      <w:r>
        <w:rPr>
          <w:rFonts/>
          <w:strike w:val="false"/>
        </w:rPr>
        <w:t xml:space="preserve">Table </w:t>
      </w:r>
      <w:bookmarkStart w:id="74cac69a-f1d5-449a-b755-e461a936f492" w:name="model_equations"/>
      <w:r>
        <w:rPr/>
        <w:t xml:space="preserve"/>
      </w:r>
      <w:r>
        <w:rPr/>
        <w:fldChar w:fldCharType="begin" w:dirty="true"/>
      </w:r>
      <w:r>
        <w:rPr/>
        <w:instrText xml:space="preserve" w:dirty="true">SEQ Table \* Arabic</w:instrText>
      </w:r>
      <w:r>
        <w:rPr/>
        <w:fldChar w:fldCharType="end" w:dirty="true"/>
      </w:r>
      <w:r>
        <w:rPr/>
        <w:t xml:space="preserve"/>
      </w:r>
      <w:bookmarkEnd w:id="74cac69a-f1d5-449a-b755-e461a936f492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Model equations</w:t>
      </w:r>
    </w:p>
    <w:p>
      <w:pPr/>
      <w:r>
        <w:br w:type="page"/>
      </w:r>
    </w:p>
    <w:p>
      <w:pPr>
        <w:pStyle w:val="Heading1"/>
      </w:pPr>
      <w:r>
        <w:t xml:space="preserve">Tables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65"/>
        <w:gridCol w:w="1040"/>
        <w:gridCol w:w="1320"/>
        <w:gridCol w:w="1051"/>
        <w:gridCol w:w="3261"/>
        <w:gridCol w:w="1537"/>
        <w:gridCol w:w="179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Est.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%RSE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Back-transformed(95%CI)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BSV(CV%)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Shrink(SD)%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log Cl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0.0298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3.94 (3.71, 4.17)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1.94&lt;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log Vc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66.6 (62.8, 70.5)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2.46&lt;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log Q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3.98 (3.57, 4.42)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40.5&gt;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log Vp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48.3 (45.1, 51.7)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28.4=</w:t>
            </w:r>
          </w:p>
        </w:tc>
      </w:tr>
      <w:tr>
        <w:trPr>
          <w:trHeight w:val="64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RSV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0.196 (0.190, 0.203)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p>
      <w:pPr>
        <w:pStyle w:val="tabletitle"/>
      </w:pPr>
      <w:r>
        <w:rPr>
          <w:rFonts/>
          <w:strike w:val="false"/>
        </w:rPr>
        <w:t xml:space="preserve">Table </w:t>
      </w:r>
      <w:bookmarkStart w:id="70d5357b-93e3-4aa9-a29b-bf4e17fc0740" w:name="pest_table"/>
      <w:r>
        <w:rPr/>
        <w:t xml:space="preserve"/>
      </w:r>
      <w:r>
        <w:rPr/>
        <w:fldChar w:fldCharType="begin" w:dirty="true"/>
      </w:r>
      <w:r>
        <w:rPr/>
        <w:instrText xml:space="preserve" w:dirty="true">SEQ Table \* Arabic</w:instrText>
      </w:r>
      <w:r>
        <w:rPr/>
        <w:fldChar w:fldCharType="end" w:dirty="true"/>
      </w:r>
      <w:r>
        <w:rPr/>
        <w:t xml:space="preserve"/>
      </w:r>
      <w:bookmarkEnd w:id="70d5357b-93e3-4aa9-a29b-bf4e17fc0740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Parameter Estimates</w:t>
      </w:r>
    </w:p>
    <w:p>
      <w:pPr/>
      <w:r>
        <w:br w:type="page"/>
      </w:r>
    </w:p>
    <w:p>
      <w:pPr>
        <w:pStyle w:val="Heading1"/>
      </w:pPr>
      <w:r>
        <w:t xml:space="preserve">Figures</w:t>
      </w:r>
    </w:p>
    <w:p>
      <w:pPr>
        <w:sectPr>
          <w:pgMar w:header="708" w:bottom="1417" w:top="1417" w:right="1417" w:left="1417" w:footer="708" w:gutter="0"/>
          <w:pgSz w:h="16838" w:w="11906" w:orient="portrait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7315200" cy="3840480"/>
            <wp:docPr id="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a3f52401-29b6-4ea6-9bb3-237df3997a58" w:name="ind_plots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a3f52401-29b6-4ea6-9bb3-237df3997a58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7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9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7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9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2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5943600" cy="5486400"/>
            <wp:docPr id="2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86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e8bcbb87-3f4b-49a5-a521-1ba9d6af6d79" w:name="dv_vs_pred_ipred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e8bcbb87-3f4b-49a5-a521-1ba9d6af6d79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Observed vs Predicted</w:t>
      </w:r>
    </w:p>
    <w:p>
      <w:pPr/>
      <w:r>
        <w:br w:type="page"/>
      </w:r>
    </w:p>
    <w:p>
      <w:pPr>
        <w:sectPr>
          <w:pgMar w:header="708" w:bottom="1417" w:top="1417" w:right="1417" w:left="1417" w:footer="708" w:gutter="0"/>
          <w:pgSz w:h="16838" w:w="11906" w:orient="portrait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7315200" cy="3840480"/>
            <wp:docPr id="2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d151eab6-da76-41ee-8c91-be394f955571" w:name="prm_vs_iteration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d151eab6-da76-41ee-8c91-be394f955571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SAEM Stabilization</w:t>
      </w:r>
    </w:p>
    <w:p>
      <w:pPr/>
      <w:r>
        <w:br w:type="page"/>
      </w:r>
    </w:p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sectPr w:rsidR="00246974" w:rsidRPr="008B5C33" w:rsidSect="00747CC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AA529D" w14:textId="77777777" w:rsidR="004169B4" w:rsidRDefault="004169B4" w:rsidP="00AD31DD">
      <w:r>
        <w:separator/>
      </w:r>
    </w:p>
  </w:endnote>
  <w:endnote w:type="continuationSeparator" w:id="0">
    <w:p w14:paraId="2F56B4C6" w14:textId="77777777" w:rsidR="004169B4" w:rsidRDefault="004169B4" w:rsidP="00AD31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1067416396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6C86D96E" w14:textId="7E246293" w:rsidR="00AD31DD" w:rsidRDefault="00AD31DD" w:rsidP="009D2C60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7DCB8B1C" w14:textId="77777777" w:rsidR="00AD31DD" w:rsidRDefault="00AD31DD" w:rsidP="00AD31DD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809325798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2A323DFA" w14:textId="33F99899" w:rsidR="00AD31DD" w:rsidRDefault="00AD31DD" w:rsidP="009D2C60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41"/>
      <w:gridCol w:w="4641"/>
    </w:tblGrid>
    <w:tr w:rsidR="00AD31DD" w:rsidRPr="003A769C" w14:paraId="06DA248C" w14:textId="77777777" w:rsidTr="0006758E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4641" w:type="dxa"/>
          <w:shd w:val="clear" w:color="auto" w:fill="auto"/>
        </w:tcPr>
        <w:p w14:paraId="5B34C175" w14:textId="2D29E2CD" w:rsidR="00AD31DD" w:rsidRPr="003A769C" w:rsidRDefault="000B2EA7" w:rsidP="0006758E">
          <w:pPr>
            <w:pStyle w:val="Header"/>
            <w:ind w:right="360"/>
            <w:jc w:val="left"/>
            <w:rPr>
              <w:b w:val="0"/>
              <w:bCs w:val="0"/>
            </w:rPr>
          </w:pPr>
          <w:r w:rsidRPr="000B2EA7">
            <w:rPr>
              <w:b w:val="0"/>
              <w:bCs w:val="0"/>
            </w:rPr>
            <w:t>===FOOTERLEFT===</w:t>
          </w:r>
        </w:p>
      </w:tc>
      <w:tc>
        <w:tcPr>
          <w:tcW w:w="4641" w:type="dxa"/>
          <w:shd w:val="clear" w:color="auto" w:fill="auto"/>
        </w:tcPr>
        <w:p w14:paraId="11EE87BD" w14:textId="095FE75F" w:rsidR="00AD31DD" w:rsidRPr="003A769C" w:rsidRDefault="00AD31DD" w:rsidP="00AD31DD">
          <w:pPr>
            <w:pStyle w:val="Header"/>
            <w:jc w:val="right"/>
            <w:rPr>
              <w:b w:val="0"/>
              <w:bCs w:val="0"/>
            </w:rPr>
          </w:pPr>
        </w:p>
      </w:tc>
    </w:tr>
  </w:tbl>
  <w:p w14:paraId="3B4CD79C" w14:textId="77777777" w:rsidR="00AD31DD" w:rsidRPr="00AD31DD" w:rsidRDefault="00AD31DD" w:rsidP="00AD31D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A3797E" w14:textId="77777777" w:rsidR="006C1C58" w:rsidRDefault="006C1C5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0FCF43" w14:textId="77777777" w:rsidR="004169B4" w:rsidRDefault="004169B4" w:rsidP="00AD31DD">
      <w:r>
        <w:separator/>
      </w:r>
    </w:p>
  </w:footnote>
  <w:footnote w:type="continuationSeparator" w:id="0">
    <w:p w14:paraId="2D308694" w14:textId="77777777" w:rsidR="004169B4" w:rsidRDefault="004169B4" w:rsidP="00AD31D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31AF10" w14:textId="77777777" w:rsidR="006C1C58" w:rsidRDefault="006C1C5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41"/>
      <w:gridCol w:w="4641"/>
    </w:tblGrid>
    <w:tr w:rsidR="00AD31DD" w:rsidRPr="0006758E" w14:paraId="5D9D20EF" w14:textId="77777777" w:rsidTr="0006758E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4641" w:type="dxa"/>
          <w:shd w:val="clear" w:color="auto" w:fill="auto"/>
        </w:tcPr>
        <w:p w14:paraId="265108A3" w14:textId="51F15622" w:rsidR="00CE36DA" w:rsidRPr="00BE6D4B" w:rsidRDefault="003E2874" w:rsidP="0006758E">
          <w:pPr>
            <w:pStyle w:val="Header"/>
            <w:jc w:val="left"/>
            <w:rPr>
              <w:b w:val="0"/>
              <w:bCs w:val="0"/>
            </w:rPr>
          </w:pPr>
          <w:r>
            <w:t xml:space="preserve"> </w:t>
          </w:r>
          <w:r w:rsidR="0028431E" w:rsidRPr="00BE6D4B">
            <w:rPr>
              <w:b w:val="0"/>
              <w:bCs w:val="0"/>
            </w:rPr>
            <w:t>===HEADERLEFT===</w:t>
          </w:r>
        </w:p>
      </w:tc>
      <w:tc>
        <w:tcPr>
          <w:tcW w:w="4641" w:type="dxa"/>
          <w:shd w:val="clear" w:color="auto" w:fill="auto"/>
        </w:tcPr>
        <w:p w14:paraId="0DC51AAD" w14:textId="0AD2128B" w:rsidR="00AD31DD" w:rsidRPr="0006758E" w:rsidRDefault="00FE11A0" w:rsidP="00AD31DD">
          <w:pPr>
            <w:pStyle w:val="Header"/>
            <w:jc w:val="right"/>
            <w:rPr>
              <w:b w:val="0"/>
              <w:bCs w:val="0"/>
            </w:rPr>
          </w:pPr>
          <w:r w:rsidRPr="00FE11A0">
            <w:rPr>
              <w:b w:val="0"/>
              <w:bCs w:val="0"/>
            </w:rPr>
            <w:t>===HEADERRIGHT===</w:t>
          </w:r>
        </w:p>
      </w:tc>
    </w:tr>
  </w:tbl>
  <w:p w14:paraId="5A4DA22B" w14:textId="77777777" w:rsidR="00AD31DD" w:rsidRDefault="00AD31D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0A5F9C" w14:textId="77777777" w:rsidR="006C1C58" w:rsidRDefault="006C1C5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xmlns:w="http://schemas.openxmlformats.org/wordprocessingml/2006/main" w:percent="168"/>
  <w:proofState w:spelling="clean" w:grammar="clean"/>
  <w:defaultTabStop xmlns:w="http://schemas.openxmlformats.org/wordprocessingml/2006/main" w:val="708"/>
  <w:hyphenationZone xmlns:w="http://schemas.openxmlformats.org/wordprocessingml/2006/main" w:val="425"/>
  <w:characterSpacingControl w:val="doNotCompress"/>
  <w:footnotePr>
    <w:footnote w:id="-1"/>
    <w:footnote w:id="0"/>
  </w:footnotePr>
  <w:endnotePr>
    <w:endnote w:id="-1"/>
    <w:endnote w:id="0"/>
  </w:endnotePr>
  <w:compat xmlns:w="http://schemas.openxmlformats.org/wordprocessingml/2006/main">
    <w:compatSetting w:name="compatibilityMode" w:uri="http://schemas.microsoft.com/office/word" w:val="15"/>
  </w:compat>
  <w:rsids>
    <w:rsidRoot w:val="00B4379D"/>
    <w:rsid w:val="00001251"/>
    <w:rsid w:val="00036527"/>
    <w:rsid w:val="000429DE"/>
    <w:rsid w:val="00064805"/>
    <w:rsid w:val="0006758E"/>
    <w:rsid w:val="00073835"/>
    <w:rsid w:val="00091A31"/>
    <w:rsid w:val="000B2EA7"/>
    <w:rsid w:val="000C6904"/>
    <w:rsid w:val="000D5520"/>
    <w:rsid w:val="001842B0"/>
    <w:rsid w:val="001C0A13"/>
    <w:rsid w:val="001D75AB"/>
    <w:rsid w:val="00222DBA"/>
    <w:rsid w:val="00246974"/>
    <w:rsid w:val="00274C93"/>
    <w:rsid w:val="0028431E"/>
    <w:rsid w:val="002D4B56"/>
    <w:rsid w:val="002E5B6C"/>
    <w:rsid w:val="003030B7"/>
    <w:rsid w:val="003423CB"/>
    <w:rsid w:val="00347E06"/>
    <w:rsid w:val="00362E65"/>
    <w:rsid w:val="003A769C"/>
    <w:rsid w:val="003E2874"/>
    <w:rsid w:val="003E48E7"/>
    <w:rsid w:val="003F254A"/>
    <w:rsid w:val="003F57D5"/>
    <w:rsid w:val="004158F9"/>
    <w:rsid w:val="004169B4"/>
    <w:rsid w:val="00451408"/>
    <w:rsid w:val="00457CF1"/>
    <w:rsid w:val="00476FDF"/>
    <w:rsid w:val="004F3BEF"/>
    <w:rsid w:val="00516A87"/>
    <w:rsid w:val="005826D7"/>
    <w:rsid w:val="00590B77"/>
    <w:rsid w:val="00652999"/>
    <w:rsid w:val="00666356"/>
    <w:rsid w:val="00680237"/>
    <w:rsid w:val="006C1C58"/>
    <w:rsid w:val="00747CCE"/>
    <w:rsid w:val="00781DD3"/>
    <w:rsid w:val="007872A2"/>
    <w:rsid w:val="00793211"/>
    <w:rsid w:val="007A7045"/>
    <w:rsid w:val="007B0B2B"/>
    <w:rsid w:val="007B3E96"/>
    <w:rsid w:val="00837D60"/>
    <w:rsid w:val="008873A3"/>
    <w:rsid w:val="008B5C33"/>
    <w:rsid w:val="008B75ED"/>
    <w:rsid w:val="008E0FEF"/>
    <w:rsid w:val="008E15D8"/>
    <w:rsid w:val="008F1F48"/>
    <w:rsid w:val="009127F0"/>
    <w:rsid w:val="00946CB3"/>
    <w:rsid w:val="00A21143"/>
    <w:rsid w:val="00A4189F"/>
    <w:rsid w:val="00AA5E91"/>
    <w:rsid w:val="00AD31DD"/>
    <w:rsid w:val="00AE18EF"/>
    <w:rsid w:val="00AE1BDD"/>
    <w:rsid w:val="00AF6E98"/>
    <w:rsid w:val="00B1151E"/>
    <w:rsid w:val="00B32BC3"/>
    <w:rsid w:val="00B4379D"/>
    <w:rsid w:val="00B67593"/>
    <w:rsid w:val="00B84AE4"/>
    <w:rsid w:val="00BE6D4B"/>
    <w:rsid w:val="00C31EEB"/>
    <w:rsid w:val="00CC556D"/>
    <w:rsid w:val="00CE36DA"/>
    <w:rsid w:val="00CF6F03"/>
    <w:rsid w:val="00D770A6"/>
    <w:rsid w:val="00D84B96"/>
    <w:rsid w:val="00D87867"/>
    <w:rsid w:val="00DA61C5"/>
    <w:rsid w:val="00DC2567"/>
    <w:rsid w:val="00DD29E5"/>
    <w:rsid w:val="00DF0793"/>
    <w:rsid w:val="00E044D3"/>
    <w:rsid w:val="00E471A9"/>
    <w:rsid w:val="00EF0149"/>
    <w:rsid w:val="00EF5C48"/>
    <w:rsid w:val="00F12158"/>
    <w:rsid w:val="00F24432"/>
    <w:rsid w:val="00FB63E7"/>
    <w:rsid w:val="00FC557F"/>
    <w:rsid w:val="00FD3619"/>
    <w:rsid w:val="00FE11A0"/>
    <w:rsid w:val="00FF72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xmlns:w="http://schemas.openxmlformats.org/wordprocessingml/2006/main" w:val="."/>
  <w:listSeparator xmlns:w="http://schemas.openxmlformats.org/wordprocessingml/2006/main" w:val=","/>
  <w14:docId w14:val="24EE12B8"/>
  <w14:defaultImageDpi w14:val="300"/>
  <w15:docId w15:val="{E48D0B0C-25BA-F44D-9270-686D3701D7BC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3211"/>
    <w:pPr>
      <w:spacing w:before="240" w:after="240"/>
    </w:pPr>
  </w:style>
  <w:style w:type="paragraph" w:styleId="Heading1">
    <w:name w:val="heading 1"/>
    <w:basedOn w:val="Normal"/>
    <w:next w:val="Normal"/>
    <w:link w:val="Heading1Char"/>
    <w:uiPriority w:val="9"/>
    <w:qFormat/>
    <w:rsid w:val="00837D60"/>
    <w:pPr>
      <w:keepNext/>
      <w:keepLines/>
      <w:numPr>
        <w:numId w:val="3"/>
      </w:numP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42B0"/>
    <w:pPr>
      <w:keepNext/>
      <w:keepLines/>
      <w:numPr>
        <w:ilvl w:val="1"/>
        <w:numId w:val="3"/>
      </w:numPr>
      <w:spacing w:before="200"/>
      <w:ind w:left="432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837D60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42B0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graphictitle">
    <w:name w:val="graphic title"/>
    <w:basedOn w:val="Normal"/>
    <w:qFormat/>
    <w:rsid w:val="00AE18EF"/>
    <w:pPr>
      <w:jc w:val="center"/>
    </w:pPr>
    <w:rPr>
      <w:b/>
      <w:i/>
    </w:rPr>
  </w:style>
  <w:style w:type="paragraph" w:customStyle="1" w:styleId="tabletitle">
    <w:name w:val="table title"/>
    <w:basedOn w:val="graphictitle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AD31D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D31DD"/>
  </w:style>
  <w:style w:type="paragraph" w:styleId="Footer">
    <w:name w:val="footer"/>
    <w:basedOn w:val="Normal"/>
    <w:link w:val="FooterChar"/>
    <w:uiPriority w:val="99"/>
    <w:unhideWhenUsed/>
    <w:rsid w:val="00AD31D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D31DD"/>
  </w:style>
  <w:style w:type="table" w:styleId="TableGrid">
    <w:name w:val="Table Grid"/>
    <w:aliases w:val="Table Report"/>
    <w:basedOn w:val="TableProfessional"/>
    <w:uiPriority w:val="59"/>
    <w:rsid w:val="00246974"/>
    <w:pPr>
      <w:jc w:val="center"/>
    </w:p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character" w:styleId="PageNumber">
    <w:name w:val="page number"/>
    <w:basedOn w:val="DefaultParagraphFont"/>
    <w:uiPriority w:val="99"/>
    <w:semiHidden/>
    <w:unhideWhenUsed/>
    <w:rsid w:val="00AD31DD"/>
  </w:style>
  <w:style w:type="paragraph" w:customStyle="1" w:styleId="Code">
    <w:name w:val="Code"/>
    <w:basedOn w:val="Normal"/>
    <w:next w:val="Normal"/>
    <w:qFormat/>
    <w:rsid w:val="00B1151E"/>
    <w:pPr>
      <w:spacing w:before="0" w:after="0"/>
    </w:pPr>
    <w:rPr>
      <w:rFonts w:ascii="Courier" w:hAnsi="Courier"/>
    </w:rPr>
  </w:style>
  <w:style w:type="paragraph" w:customStyle="1" w:styleId="Notes">
    <w:name w:val="Notes"/>
    <w:basedOn w:val="Normal"/>
    <w:qFormat/>
    <w:rsid w:val="008B5C33"/>
    <w:pPr>
      <w:spacing w:before="0" w:after="0"/>
    </w:pPr>
    <w:rPr>
      <w:rFonts w:ascii="Arial" w:hAnsi="Arial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

<Relationships  xmlns="http://schemas.openxmlformats.org/package/2006/relationships">
<Relationship Id="rId8" Type="http://schemas.openxmlformats.org/officeDocument/2006/relationships/header" Target="header1.xml"/>
<Relationship Id="rId13" Type="http://schemas.openxmlformats.org/officeDocument/2006/relationships/footer" Target="footer3.xml"/>
<Relationship Id="rId3" Type="http://schemas.openxmlformats.org/officeDocument/2006/relationships/styles" Target="styles.xml"/>
<Relationship Id="rId7" Type="http://schemas.openxmlformats.org/officeDocument/2006/relationships/endnotes" Target="endnotes.xml"/>
<Relationship Id="rId12" Type="http://schemas.openxmlformats.org/officeDocument/2006/relationships/header" Target="header3.xml"/>
<Relationship Id="rId2" Type="http://schemas.openxmlformats.org/officeDocument/2006/relationships/numbering" Target="numbering.xml"/>
<Relationship Id="rId1" Type="http://schemas.openxmlformats.org/officeDocument/2006/relationships/customXml" Target="../customXml/item1.xml"/>
<Relationship Id="rId6" Type="http://schemas.openxmlformats.org/officeDocument/2006/relationships/footnotes" Target="footnotes.xml"/>
<Relationship Id="rId11" Type="http://schemas.openxmlformats.org/officeDocument/2006/relationships/footer" Target="footer2.xml"/>
<Relationship Id="rId5" Type="http://schemas.openxmlformats.org/officeDocument/2006/relationships/webSettings" Target="webSettings.xml"/>
<Relationship Id="rId15" Type="http://schemas.openxmlformats.org/officeDocument/2006/relationships/theme" Target="theme/theme1.xml"/>
<Relationship Id="rId10" Type="http://schemas.openxmlformats.org/officeDocument/2006/relationships/footer" Target="footer1.xml"/>
<Relationship Id="rId4" Type="http://schemas.openxmlformats.org/officeDocument/2006/relationships/settings" Target="settings.xml"/>
<Relationship Id="rId9" Type="http://schemas.openxmlformats.org/officeDocument/2006/relationships/header" Target="header2.xml"/>
<Relationship Id="rId14" Type="http://schemas.openxmlformats.org/officeDocument/2006/relationships/fontTable" Target="fontTable.xml"/>
<Relationship Id="rId16" Type="http://schemas.openxmlformats.org/officeDocument/2006/relationships/image" Target="media/3a833d45ca636eed86efa605a938099ae5b8077a.png"/>
<Relationship Id="rId17" Type="http://schemas.openxmlformats.org/officeDocument/2006/relationships/image" Target="media/240176c0b5dc3cce32b43314e38747716b660f4b.png"/>
<Relationship Id="rId18" Type="http://schemas.openxmlformats.org/officeDocument/2006/relationships/image" Target="media/bfc67197522f2e836efbe5242bb7780689eb9b54.png"/>
<Relationship Id="rId19" Type="http://schemas.openxmlformats.org/officeDocument/2006/relationships/image" Target="media/79848f19c12a0f5a720c55635983674362693864.png"/>
<Relationship Id="rId20" Type="http://schemas.openxmlformats.org/officeDocument/2006/relationships/image" Target="media/cc1eab27ba4bcf3b170e01ad7e0972b55e0abf74.png"/>
<Relationship Id="rId21" Type="http://schemas.openxmlformats.org/officeDocument/2006/relationships/image" Target="media/9c775a5e1b4646d1fd1df9ff9da31b23ea8a9187.png"/>
<Relationship Id="rId22" Type="http://schemas.openxmlformats.org/officeDocument/2006/relationships/image" Target="media/aaecfab755d77a46b4f34b9b978774513cc5be88.png"/>
<Relationship Id="rId23" Type="http://schemas.openxmlformats.org/officeDocument/2006/relationships/image" Target="media/766bea29d0798407d90613a9c8d1080e36fa5a76.png"/>
<Relationship Id="rId24" Type="http://schemas.openxmlformats.org/officeDocument/2006/relationships/image" Target="media/2eb36fedc740c813d4a6933afabe50194b5150f2.png"/>
<Relationship Id="rId25" Type="http://schemas.openxmlformats.org/officeDocument/2006/relationships/image" Target="media/91326d7ea8d2ab1d61c69da33f8747e3d49d8275.png"/>
<Relationship Id="rId26" Type="http://schemas.openxmlformats.org/officeDocument/2006/relationships/image" Target="media/f8eff4dc90737d1e5123177e8e7d47392d6fabab.png"/>
<Relationship Id="rId27" Type="http://schemas.openxmlformats.org/officeDocument/2006/relationships/image" Target="media/dfcda2771ac4f2064be15def646d78b51a2204b0.png"/>
<Relationship Id="rId28" Type="http://schemas.openxmlformats.org/officeDocument/2006/relationships/image" Target="media/a7b53e397f5f79c7bf38d529930d1e33cd009ac7.png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7BBF269-9EBB-7D4C-B61F-5F630368F3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runner</cp:lastModifiedBy>
  <cp:revision>54</cp:revision>
  <dcterms:created xsi:type="dcterms:W3CDTF">2017-02-28T11:18:00Z</dcterms:created>
  <dcterms:modified xsi:type="dcterms:W3CDTF">2026-10-10T00:59:52Z</dcterms:modified>
  <cp:category/>
</cp:coreProperties>
</file>