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DC6C2" w14:textId="16A0B593" w:rsidR="00246974" w:rsidRPr="008B5C33" w:rsidRDefault="00246974" w:rsidP="008B5C33"/>
    <w:p>
      <w:pPr>
        <w:pStyle w:val="Heading1"/>
      </w:pPr>
      <w:r>
        <w:t xml:space="preserve">Model Structure</w:t>
      </w:r>
    </w:p>
    <w:p>
      <w:pPr>
        <w:pStyle w:val="Normal"/>
      </w:pPr>
      <w:r>
        <w:rPr/>
        <w:drawing>
          <wp:inline distT="0" distB="0" distL="0" distR="0">
            <wp:extent cx="5943600" cy="54864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8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graphictitle"/>
      </w:pPr>
      <w:r>
        <w:rPr>
          <w:rFonts/>
          <w:strike w:val="false"/>
        </w:rPr>
        <w:t xml:space="preserve">Figure </w:t>
      </w:r>
      <w:bookmarkStart w:id="cf1cfbec-f747-44e0-9273-29b7cc04d2e4" w:name="model_diagram"/>
      <w:r>
        <w:rPr/>
        <w:t xml:space="preserve"/>
      </w:r>
      <w:r>
        <w:rPr/>
        <w:fldChar w:fldCharType="begin" w:dirty="true"/>
      </w:r>
      <w:r>
        <w:rPr/>
        <w:instrText xml:space="preserve" w:dirty="true">SEQ Figure \* Arabic</w:instrText>
      </w:r>
      <w:r>
        <w:rPr/>
        <w:fldChar w:fldCharType="end" w:dirty="true"/>
      </w:r>
      <w:r>
        <w:rPr/>
        <w:t xml:space="preserve"/>
      </w:r>
      <w:bookmarkEnd w:id="cf1cfbec-f747-44e0-9273-29b7cc04d2e4"/>
      <w:r>
        <w:rPr>
          <w:rFonts/>
          <w:strike w:val="false"/>
        </w:rPr>
        <w:t xml:space="preserve">. </w:t>
      </w:r>
      <w:r>
        <w:rPr>
          <w:rFonts/>
          <w:strike w:val="false"/>
        </w:rPr>
        <w:t xml:space="preserve">Model structure</w:t>
      </w:r>
    </w:p>
    <w:p>
      <w:pPr/>
      <w:r>
        <w:br w:type="pag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40"/>
      </w:tblGrid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ml="http://www.w3.org/1998/Math/MathML">
              <m:r>
                <m:t>cmt(</m:t>
              </m:r>
              <m:r>
                <m:t>CENTRAL</m:t>
              </m:r>
              <m:r>
                <m:t>)</m:t>
              </m:r>
            </m:oMath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ml="http://www.w3.org/1998/Math/MathML">
              <m:r>
                <m:t>cmt(</m:t>
              </m:r>
              <m:r>
                <m:t>PERI</m:t>
              </m:r>
              <m:r>
                <m:t>)</m:t>
              </m:r>
            </m:oMath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ml="http://www.w3.org/1998/Math/MathML">
              <m:r>
                <m:t>cl</m:t>
              </m:r>
              <m:r>
                <m:t>=</m:t>
              </m:r>
              <m:r>
                <m:rPr>
                  <m:sty m:val="p"/>
                </m:rPr>
                <m:t>exp</m:t>
              </m:r>
              <m:r>
                <m:t>⁡</m:t>
              </m:r>
              <m:r>
                <m:t>(</m:t>
              </m:r>
              <m:r>
                <m:t>theta1</m:t>
              </m:r>
              <m:r>
                <m:t>+</m:t>
              </m:r>
              <m:r>
                <m:t>eta1</m:t>
              </m:r>
              <m:r>
                <m:t>)</m:t>
              </m:r>
            </m:oMath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ml="http://www.w3.org/1998/Math/MathML">
              <m:r>
                <m:t>v=</m:t>
              </m:r>
              <m:r>
                <m:rPr>
                  <m:sty m:val="p"/>
                </m:rPr>
                <m:t>exp</m:t>
              </m:r>
              <m:r>
                <m:t>⁡</m:t>
              </m:r>
              <m:r>
                <m:t>(</m:t>
              </m:r>
              <m:r>
                <m:t>theta2</m:t>
              </m:r>
              <m:r>
                <m:t>+</m:t>
              </m:r>
              <m:r>
                <m:t>eta2</m:t>
              </m:r>
              <m:r>
                <m:t>)</m:t>
              </m:r>
            </m:oMath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ml="http://www.w3.org/1998/Math/MathML">
              <m:r>
                <m:t>q=</m:t>
              </m:r>
              <m:r>
                <m:rPr>
                  <m:sty m:val="p"/>
                </m:rPr>
                <m:t>exp</m:t>
              </m:r>
              <m:r>
                <m:t>⁡</m:t>
              </m:r>
              <m:r>
                <m:t>(</m:t>
              </m:r>
              <m:r>
                <m:t>theta3</m:t>
              </m:r>
              <m:r>
                <m:t>+</m:t>
              </m:r>
              <m:r>
                <m:t>eta3</m:t>
              </m:r>
              <m:r>
                <m:t>)</m:t>
              </m:r>
            </m:oMath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ml="http://www.w3.org/1998/Math/MathML">
              <m:r>
                <m:t>v2</m:t>
              </m:r>
              <m:r>
                <m:t>=</m:t>
              </m:r>
              <m:r>
                <m:rPr>
                  <m:sty m:val="p"/>
                </m:rPr>
                <m:t>exp</m:t>
              </m:r>
              <m:r>
                <m:t>⁡</m:t>
              </m:r>
              <m:r>
                <m:t>(</m:t>
              </m:r>
              <m:r>
                <m:t>theta4</m:t>
              </m:r>
              <m:r>
                <m:t>+</m:t>
              </m:r>
              <m:r>
                <m:t>eta4</m:t>
              </m:r>
              <m:r>
                <m:t>)</m:t>
              </m:r>
            </m:oMath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ml="http://www.w3.org/1998/Math/MathML">
              <m:r>
                <m:t>v1</m:t>
              </m:r>
              <m:r>
                <m:t>=v</m:t>
              </m:r>
            </m:oMath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ml="http://www.w3.org/1998/Math/MathML">
              <m:r>
                <m:t>scale1</m:t>
              </m:r>
              <m:r>
                <m:t>=v</m:t>
              </m:r>
            </m:oMath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ml="http://www.w3.org/1998/Math/MathML">
              <m:r>
                <m:t>k21</m:t>
              </m:r>
              <m:r>
                <m:t>=</m:t>
              </m:r>
              <m:f>
                <m:fPr>
                  <m:type m:val="bar"/>
                </m:fPr>
                <m:num>
                  <m:r>
                    <m:t>q</m:t>
                  </m:r>
                </m:num>
                <m:den>
                  <m:r>
                    <m:t>v2</m:t>
                  </m:r>
                </m:den>
              </m:f>
            </m:oMath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ml="http://www.w3.org/1998/Math/MathML">
              <m:r>
                <m:t>k12</m:t>
              </m:r>
              <m:r>
                <m:t>=</m:t>
              </m:r>
              <m:f>
                <m:fPr>
                  <m:type m:val="bar"/>
                </m:fPr>
                <m:num>
                  <m:r>
                    <m:t>q</m:t>
                  </m:r>
                </m:num>
                <m:den>
                  <m:r>
                    <m:t>v</m:t>
                  </m:r>
                </m:den>
              </m:f>
            </m:oMath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ml="http://www.w3.org/1998/Math/MathML"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nor/>
                    </m:rPr>
                    <m:t> </m:t>
                  </m:r>
                  <m:r>
                    <m:t>CENTRAL</m:t>
                  </m:r>
                </m:num>
                <m:den>
                  <m:r>
                    <m:t>dt</m:t>
                  </m:r>
                </m:den>
              </m:f>
              <m:r>
                <m:t>=</m:t>
              </m:r>
              <m:r>
                <m:t>k21</m:t>
              </m:r>
              <m:r>
                <m:t>×</m:t>
              </m:r>
              <m:r>
                <m:t>PERI</m:t>
              </m:r>
              <m:r>
                <m:t>−</m:t>
              </m:r>
              <m:r>
                <m:t>k12</m:t>
              </m:r>
              <m:r>
                <m:t>×</m:t>
              </m:r>
              <m:r>
                <m:t>CENTRAL</m:t>
              </m:r>
              <m:r>
                <m:t>−</m:t>
              </m:r>
              <m:f>
                <m:fPr>
                  <m:type m:val="bar"/>
                </m:fPr>
                <m:num>
                  <m:r>
                    <m:t>cl</m:t>
                  </m:r>
                  <m:r>
                    <m:t>×</m:t>
                  </m:r>
                  <m:r>
                    <m:t>CENTRAL</m:t>
                  </m:r>
                </m:num>
                <m:den>
                  <m:r>
                    <m:t>v1</m:t>
                  </m:r>
                </m:den>
              </m:f>
            </m:oMath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ml="http://www.w3.org/1998/Math/MathML"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nor/>
                    </m:rPr>
                    <m:t> </m:t>
                  </m:r>
                  <m:r>
                    <m:t>PERI</m:t>
                  </m:r>
                </m:num>
                <m:den>
                  <m:r>
                    <m:t>dt</m:t>
                  </m:r>
                </m:den>
              </m:f>
              <m:r>
                <m:t>=−</m:t>
              </m:r>
              <m:r>
                <m:t>k21</m:t>
              </m:r>
              <m:r>
                <m:t>×</m:t>
              </m:r>
              <m:r>
                <m:t>PERI</m:t>
              </m:r>
              <m:r>
                <m:t>+</m:t>
              </m:r>
              <m:r>
                <m:t>k12</m:t>
              </m:r>
              <m:r>
                <m:t>×</m:t>
              </m:r>
              <m:r>
                <m:t>CENTRAL</m:t>
              </m:r>
            </m:oMath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ml="http://www.w3.org/1998/Math/MathML">
              <m:r>
                <m:t>f=</m:t>
              </m:r>
              <m:f>
                <m:fPr>
                  <m:type m:val="bar"/>
                </m:fPr>
                <m:num>
                  <m:r>
                    <m:t>CENTRAL</m:t>
                  </m:r>
                </m:num>
                <m:den>
                  <m:r>
                    <m:t>scale1</m:t>
                  </m:r>
                </m:den>
              </m:f>
            </m:oMath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ml="http://www.w3.org/1998/Math/MathML">
              <m:r>
                <m:t>ipred</m:t>
              </m:r>
              <m:r>
                <m:t>=f</m:t>
              </m:r>
            </m:oMath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ml="http://www.w3.org/1998/Math/MathML">
              <m:r>
                <m:t>rescv</m:t>
              </m:r>
              <m:r>
                <m:t>=</m:t>
              </m:r>
              <m:r>
                <m:t>RSV</m:t>
              </m:r>
            </m:oMath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ml="http://www.w3.org/1998/Math/MathML">
              <m:r>
                <m:t>ipred</m:t>
              </m:r>
              <m:r>
                <m:t>∼prop(</m:t>
              </m:r>
              <m:r>
                <m:t>RSV</m:t>
              </m:r>
              <m:r>
                <m:t>)</m:t>
              </m:r>
            </m:oMath>
          </w:p>
        </w:tc>
      </w:tr>
    </w:tbl>
    <w:p>
      <w:pPr>
        <w:pStyle w:val="tabletitle"/>
      </w:pPr>
      <w:r>
        <w:rPr>
          <w:rFonts/>
          <w:strike w:val="false"/>
        </w:rPr>
        <w:t xml:space="preserve">Table </w:t>
      </w:r>
      <w:bookmarkStart w:id="28cbae40-06c5-4784-8e71-3aa98f0b5981" w:name="model_equations"/>
      <w:r>
        <w:rPr/>
        <w:t xml:space="preserve"/>
      </w:r>
      <w:r>
        <w:rPr/>
        <w:fldChar w:fldCharType="begin" w:dirty="true"/>
      </w:r>
      <w:r>
        <w:rPr/>
        <w:instrText xml:space="preserve" w:dirty="true">SEQ Table \* Arabic</w:instrText>
      </w:r>
      <w:r>
        <w:rPr/>
        <w:fldChar w:fldCharType="end" w:dirty="true"/>
      </w:r>
      <w:r>
        <w:rPr/>
        <w:t xml:space="preserve"/>
      </w:r>
      <w:bookmarkEnd w:id="28cbae40-06c5-4784-8e71-3aa98f0b5981"/>
      <w:r>
        <w:rPr>
          <w:rFonts/>
          <w:strike w:val="false"/>
        </w:rPr>
        <w:t xml:space="preserve">. </w:t>
      </w:r>
      <w:r>
        <w:rPr>
          <w:rFonts/>
          <w:strike w:val="false"/>
        </w:rPr>
        <w:t xml:space="preserve">Model equations</w:t>
      </w:r>
    </w:p>
    <w:p>
      <w:pPr/>
      <w:r>
        <w:br w:type="page"/>
      </w:r>
    </w:p>
    <w:p>
      <w:pPr>
        <w:pStyle w:val="Heading1"/>
      </w:pPr>
      <w:r>
        <w:t xml:space="preserve">Tables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65"/>
        <w:gridCol w:w="1040"/>
        <w:gridCol w:w="1320"/>
        <w:gridCol w:w="1051"/>
        <w:gridCol w:w="3261"/>
        <w:gridCol w:w="1537"/>
        <w:gridCol w:w="179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%RSE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Back-transformed(95%CI)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BSV(CV%)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Shrink(SD)%</w:t>
            </w:r>
          </w:p>
        </w:tc>
      </w:tr>
      <w:tr>
        <w:trPr>
          <w:trHeight w:val="63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log Cl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3.94 (3.71, 4.17)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1.94&lt;</w:t>
            </w:r>
          </w:p>
        </w:tc>
      </w:tr>
      <w:tr>
        <w:trPr>
          <w:trHeight w:val="63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log Vc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66.6 (62.8, 70.5)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2.46&lt;</w:t>
            </w:r>
          </w:p>
        </w:tc>
      </w:tr>
      <w:tr>
        <w:trPr>
          <w:trHeight w:val="63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log 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3.98 (3.57, 4.42)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40.5&gt;</w:t>
            </w:r>
          </w:p>
        </w:tc>
      </w:tr>
      <w:tr>
        <w:trPr>
          <w:trHeight w:val="63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log Vp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48.3 (45.1, 51.7)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28.4=</w:t>
            </w:r>
          </w:p>
        </w:tc>
      </w:tr>
      <w:tr>
        <w:trPr>
          <w:trHeight w:val="64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RSV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0.196 (0.190, 0.203)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tabletitle"/>
      </w:pPr>
      <w:r>
        <w:rPr>
          <w:rFonts/>
          <w:strike w:val="false"/>
        </w:rPr>
        <w:t xml:space="preserve">Table </w:t>
      </w:r>
      <w:bookmarkStart w:id="87c9643e-dbeb-4a64-921e-055b60641648" w:name="pest_table"/>
      <w:r>
        <w:rPr/>
        <w:t xml:space="preserve"/>
      </w:r>
      <w:r>
        <w:rPr/>
        <w:fldChar w:fldCharType="begin" w:dirty="true"/>
      </w:r>
      <w:r>
        <w:rPr/>
        <w:instrText xml:space="preserve" w:dirty="true">SEQ Table \* Arabic</w:instrText>
      </w:r>
      <w:r>
        <w:rPr/>
        <w:fldChar w:fldCharType="end" w:dirty="true"/>
      </w:r>
      <w:r>
        <w:rPr/>
        <w:t xml:space="preserve"/>
      </w:r>
      <w:bookmarkEnd w:id="87c9643e-dbeb-4a64-921e-055b60641648"/>
      <w:r>
        <w:rPr>
          <w:rFonts/>
          <w:strike w:val="false"/>
        </w:rPr>
        <w:t xml:space="preserve">. </w:t>
      </w:r>
      <w:r>
        <w:rPr>
          <w:rFonts/>
          <w:strike w:val="false"/>
        </w:rPr>
        <w:t xml:space="preserve">Parameter Estimates</w:t>
      </w:r>
    </w:p>
    <w:p>
      <w:pPr/>
      <w:r>
        <w:br w:type="page"/>
      </w:r>
    </w:p>
    <w:p>
      <w:pPr>
        <w:pStyle w:val="Heading1"/>
      </w:pPr>
      <w:r>
        <w:t xml:space="preserve">Figures</w:t>
      </w:r>
    </w:p>
    <w:p>
      <w:pPr>
        <w:sectPr>
          <w:pgMar w:header="708" w:bottom="1417" w:top="1417" w:right="1417" w:left="1417" w:footer="708" w:gutter="0"/>
          <w:pgSz w:h="16838" w:w="11906" w:orient="portrait"/>
          <w:type w:val="oddPage"/>
          <w:cols/>
        </w:sectPr>
      </w:pPr>
    </w:p>
    <w:p>
      <w:pPr>
        <w:pStyle w:val="Normal"/>
      </w:pPr>
      <w:r>
        <w:rPr/>
        <w:drawing>
          <wp:inline distT="0" distB="0" distL="0" distR="0">
            <wp:extent cx="7315200" cy="384048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384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graphictitle"/>
      </w:pPr>
      <w:r>
        <w:rPr>
          <w:rFonts/>
          <w:strike w:val="false"/>
        </w:rPr>
        <w:t xml:space="preserve">Figure </w:t>
      </w:r>
      <w:bookmarkStart w:id="89310fae-3ecc-4930-bc0d-865fcb97241a" w:name="ind_plots"/>
      <w:r>
        <w:rPr/>
        <w:t xml:space="preserve"/>
      </w:r>
      <w:r>
        <w:rPr/>
        <w:fldChar w:fldCharType="begin" w:dirty="true"/>
      </w:r>
      <w:r>
        <w:rPr/>
        <w:instrText xml:space="preserve" w:dirty="true">SEQ Figure \* Arabic</w:instrText>
      </w:r>
      <w:r>
        <w:rPr/>
        <w:fldChar w:fldCharType="end" w:dirty="true"/>
      </w:r>
      <w:r>
        <w:rPr/>
        <w:t xml:space="preserve"/>
      </w:r>
      <w:bookmarkEnd w:id="89310fae-3ecc-4930-bc0d-865fcb97241a"/>
      <w:r>
        <w:rPr>
          <w:rFonts/>
          <w:strike w:val="false"/>
        </w:rPr>
        <w:t xml:space="preserve">. </w:t>
      </w:r>
      <w:r>
        <w:rPr>
          <w:rFonts/>
          <w:strike w:val="false"/>
        </w:rPr>
        <w:t xml:space="preserve">Individual and population prediction overlay</w:t>
      </w:r>
    </w:p>
    <w:p>
      <w:pPr/>
      <w:r>
        <w:br w:type="page"/>
      </w:r>
    </w:p>
    <w:p>
      <w:pPr>
        <w:pStyle w:val="Normal"/>
      </w:pPr>
      <w:r>
        <w:rPr/>
        <w:drawing>
          <wp:inline distT="0" distB="0" distL="0" distR="0">
            <wp:extent cx="7315200" cy="384048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384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graphictitle"/>
      </w:pPr>
      <w:r>
        <w:rPr>
          <w:rFonts/>
          <w:strike w:val="false"/>
        </w:rPr>
        <w:t xml:space="preserve">Figure </w:t>
      </w:r>
      <w:r>
        <w:rPr/>
        <w:fldChar w:fldCharType="begin" w:dirty="true"/>
      </w:r>
      <w:r>
        <w:rPr/>
        <w:instrText xml:space="preserve" w:dirty="true"> REF ind_plots \h </w:instrText>
      </w:r>
      <w:r>
        <w:rPr/>
        <w:fldChar w:fldCharType="end" w:dirty="true"/>
      </w:r>
      <w:r>
        <w:rPr>
          <w:rFonts/>
          <w:strike w:val="false"/>
        </w:rPr>
        <w:t xml:space="preserve">. </w:t>
      </w:r>
      <w:r>
        <w:rPr>
          <w:rFonts/>
          <w:strike w:val="false"/>
        </w:rPr>
        <w:t xml:space="preserve">Individual and population prediction overlay</w:t>
      </w:r>
    </w:p>
    <w:p>
      <w:pPr/>
      <w:r>
        <w:br w:type="page"/>
      </w:r>
    </w:p>
    <w:p>
      <w:pPr>
        <w:pStyle w:val="Normal"/>
      </w:pPr>
      <w:r>
        <w:rPr/>
        <w:drawing>
          <wp:inline distT="0" distB="0" distL="0" distR="0">
            <wp:extent cx="7315200" cy="384048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384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graphictitle"/>
      </w:pPr>
      <w:r>
        <w:rPr>
          <w:rFonts/>
          <w:strike w:val="false"/>
        </w:rPr>
        <w:t xml:space="preserve">Figure </w:t>
      </w:r>
      <w:r>
        <w:rPr/>
        <w:fldChar w:fldCharType="begin" w:dirty="true"/>
      </w:r>
      <w:r>
        <w:rPr/>
        <w:instrText xml:space="preserve" w:dirty="true"> REF ind_plots \h </w:instrText>
      </w:r>
      <w:r>
        <w:rPr/>
        <w:fldChar w:fldCharType="end" w:dirty="true"/>
      </w:r>
      <w:r>
        <w:rPr>
          <w:rFonts/>
          <w:strike w:val="false"/>
        </w:rPr>
        <w:t xml:space="preserve">. </w:t>
      </w:r>
      <w:r>
        <w:rPr>
          <w:rFonts/>
          <w:strike w:val="false"/>
        </w:rPr>
        <w:t xml:space="preserve">Individual and population prediction overlay</w:t>
      </w:r>
    </w:p>
    <w:p>
      <w:pPr/>
      <w:r>
        <w:br w:type="page"/>
      </w:r>
    </w:p>
    <w:p>
      <w:pPr>
        <w:pStyle w:val="Normal"/>
      </w:pPr>
      <w:r>
        <w:rPr/>
        <w:drawing>
          <wp:inline distT="0" distB="0" distL="0" distR="0">
            <wp:extent cx="7315200" cy="384048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384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graphictitle"/>
      </w:pPr>
      <w:r>
        <w:rPr>
          <w:rFonts/>
          <w:strike w:val="false"/>
        </w:rPr>
        <w:t xml:space="preserve">Figure </w:t>
      </w:r>
      <w:r>
        <w:rPr/>
        <w:fldChar w:fldCharType="begin" w:dirty="true"/>
      </w:r>
      <w:r>
        <w:rPr/>
        <w:instrText xml:space="preserve" w:dirty="true"> REF ind_plots \h </w:instrText>
      </w:r>
      <w:r>
        <w:rPr/>
        <w:fldChar w:fldCharType="end" w:dirty="true"/>
      </w:r>
      <w:r>
        <w:rPr>
          <w:rFonts/>
          <w:strike w:val="false"/>
        </w:rPr>
        <w:t xml:space="preserve">. </w:t>
      </w:r>
      <w:r>
        <w:rPr>
          <w:rFonts/>
          <w:strike w:val="false"/>
        </w:rPr>
        <w:t xml:space="preserve">Individual and population prediction overlay</w:t>
      </w:r>
    </w:p>
    <w:p>
      <w:pPr/>
      <w:r>
        <w:br w:type="page"/>
      </w:r>
    </w:p>
    <w:p>
      <w:pPr>
        <w:pStyle w:val="Normal"/>
      </w:pPr>
      <w:r>
        <w:rPr/>
        <w:drawing>
          <wp:inline distT="0" distB="0" distL="0" distR="0">
            <wp:extent cx="7315200" cy="3840480"/>
            <wp:docPr id="1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384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graphictitle"/>
      </w:pPr>
      <w:r>
        <w:rPr>
          <w:rFonts/>
          <w:strike w:val="false"/>
        </w:rPr>
        <w:t xml:space="preserve">Figure </w:t>
      </w:r>
      <w:r>
        <w:rPr/>
        <w:fldChar w:fldCharType="begin" w:dirty="true"/>
      </w:r>
      <w:r>
        <w:rPr/>
        <w:instrText xml:space="preserve" w:dirty="true"> REF ind_plots \h </w:instrText>
      </w:r>
      <w:r>
        <w:rPr/>
        <w:fldChar w:fldCharType="end" w:dirty="true"/>
      </w:r>
      <w:r>
        <w:rPr>
          <w:rFonts/>
          <w:strike w:val="false"/>
        </w:rPr>
        <w:t xml:space="preserve">. </w:t>
      </w:r>
      <w:r>
        <w:rPr>
          <w:rFonts/>
          <w:strike w:val="false"/>
        </w:rPr>
        <w:t xml:space="preserve">Individual and population prediction overlay</w:t>
      </w:r>
    </w:p>
    <w:p>
      <w:pPr/>
      <w:r>
        <w:br w:type="page"/>
      </w:r>
    </w:p>
    <w:p>
      <w:pPr>
        <w:pStyle w:val="Normal"/>
      </w:pPr>
      <w:r>
        <w:rPr/>
        <w:drawing>
          <wp:inline distT="0" distB="0" distL="0" distR="0">
            <wp:extent cx="7315200" cy="3840480"/>
            <wp:docPr id="1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384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graphictitle"/>
      </w:pPr>
      <w:r>
        <w:rPr>
          <w:rFonts/>
          <w:strike w:val="false"/>
        </w:rPr>
        <w:t xml:space="preserve">Figure </w:t>
      </w:r>
      <w:r>
        <w:rPr/>
        <w:fldChar w:fldCharType="begin" w:dirty="true"/>
      </w:r>
      <w:r>
        <w:rPr/>
        <w:instrText xml:space="preserve" w:dirty="true"> REF ind_plots \h </w:instrText>
      </w:r>
      <w:r>
        <w:rPr/>
        <w:fldChar w:fldCharType="end" w:dirty="true"/>
      </w:r>
      <w:r>
        <w:rPr>
          <w:rFonts/>
          <w:strike w:val="false"/>
        </w:rPr>
        <w:t xml:space="preserve">. </w:t>
      </w:r>
      <w:r>
        <w:rPr>
          <w:rFonts/>
          <w:strike w:val="false"/>
        </w:rPr>
        <w:t xml:space="preserve">Individual and population prediction overlay</w:t>
      </w:r>
    </w:p>
    <w:p>
      <w:pPr/>
      <w:r>
        <w:br w:type="page"/>
      </w:r>
    </w:p>
    <w:p>
      <w:pPr>
        <w:pStyle w:val="Normal"/>
      </w:pPr>
      <w:r>
        <w:rPr/>
        <w:drawing>
          <wp:inline distT="0" distB="0" distL="0" distR="0">
            <wp:extent cx="7315200" cy="3840480"/>
            <wp:docPr id="1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384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graphictitle"/>
      </w:pPr>
      <w:r>
        <w:rPr>
          <w:rFonts/>
          <w:strike w:val="false"/>
        </w:rPr>
        <w:t xml:space="preserve">Figure </w:t>
      </w:r>
      <w:r>
        <w:rPr/>
        <w:fldChar w:fldCharType="begin" w:dirty="true"/>
      </w:r>
      <w:r>
        <w:rPr/>
        <w:instrText xml:space="preserve" w:dirty="true"> REF ind_plots \h </w:instrText>
      </w:r>
      <w:r>
        <w:rPr/>
        <w:fldChar w:fldCharType="end" w:dirty="true"/>
      </w:r>
      <w:r>
        <w:rPr>
          <w:rFonts/>
          <w:strike w:val="false"/>
        </w:rPr>
        <w:t xml:space="preserve">. </w:t>
      </w:r>
      <w:r>
        <w:rPr>
          <w:rFonts/>
          <w:strike w:val="false"/>
        </w:rPr>
        <w:t xml:space="preserve">Individual and population prediction overlay</w:t>
      </w:r>
    </w:p>
    <w:p>
      <w:pPr/>
      <w:r>
        <w:br w:type="page"/>
      </w:r>
    </w:p>
    <w:p>
      <w:pPr>
        <w:pStyle w:val="Normal"/>
      </w:pPr>
      <w:r>
        <w:rPr/>
        <w:drawing>
          <wp:inline distT="0" distB="0" distL="0" distR="0">
            <wp:extent cx="7315200" cy="3840480"/>
            <wp:docPr id="1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384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graphictitle"/>
      </w:pPr>
      <w:r>
        <w:rPr>
          <w:rFonts/>
          <w:strike w:val="false"/>
        </w:rPr>
        <w:t xml:space="preserve">Figure </w:t>
      </w:r>
      <w:r>
        <w:rPr/>
        <w:fldChar w:fldCharType="begin" w:dirty="true"/>
      </w:r>
      <w:r>
        <w:rPr/>
        <w:instrText xml:space="preserve" w:dirty="true"> REF ind_plots \h </w:instrText>
      </w:r>
      <w:r>
        <w:rPr/>
        <w:fldChar w:fldCharType="end" w:dirty="true"/>
      </w:r>
      <w:r>
        <w:rPr>
          <w:rFonts/>
          <w:strike w:val="false"/>
        </w:rPr>
        <w:t xml:space="preserve">. </w:t>
      </w:r>
      <w:r>
        <w:rPr>
          <w:rFonts/>
          <w:strike w:val="false"/>
        </w:rPr>
        <w:t xml:space="preserve">Individual and population prediction overlay</w:t>
      </w:r>
    </w:p>
    <w:p>
      <w:pPr/>
      <w:r>
        <w:br w:type="page"/>
      </w:r>
    </w:p>
    <w:p>
      <w:pPr>
        <w:pStyle w:val="Normal"/>
      </w:pPr>
      <w:r>
        <w:rPr/>
        <w:drawing>
          <wp:inline distT="0" distB="0" distL="0" distR="0">
            <wp:extent cx="7315200" cy="3840480"/>
            <wp:docPr id="1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384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graphictitle"/>
      </w:pPr>
      <w:r>
        <w:rPr>
          <w:rFonts/>
          <w:strike w:val="false"/>
        </w:rPr>
        <w:t xml:space="preserve">Figure </w:t>
      </w:r>
      <w:r>
        <w:rPr/>
        <w:fldChar w:fldCharType="begin" w:dirty="true"/>
      </w:r>
      <w:r>
        <w:rPr/>
        <w:instrText xml:space="preserve" w:dirty="true"> REF ind_plots \h </w:instrText>
      </w:r>
      <w:r>
        <w:rPr/>
        <w:fldChar w:fldCharType="end" w:dirty="true"/>
      </w:r>
      <w:r>
        <w:rPr>
          <w:rFonts/>
          <w:strike w:val="false"/>
        </w:rPr>
        <w:t xml:space="preserve">. </w:t>
      </w:r>
      <w:r>
        <w:rPr>
          <w:rFonts/>
          <w:strike w:val="false"/>
        </w:rPr>
        <w:t xml:space="preserve">Individual and population prediction overlay</w:t>
      </w:r>
    </w:p>
    <w:p>
      <w:pPr/>
      <w:r>
        <w:br w:type="page"/>
      </w:r>
    </w:p>
    <w:p>
      <w:pPr>
        <w:pStyle w:val="Normal"/>
      </w:pPr>
      <w:r>
        <w:rPr/>
        <w:drawing>
          <wp:inline distT="0" distB="0" distL="0" distR="0">
            <wp:extent cx="7315200" cy="3840480"/>
            <wp:docPr id="2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384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graphictitle"/>
      </w:pPr>
      <w:r>
        <w:rPr>
          <w:rFonts/>
          <w:strike w:val="false"/>
        </w:rPr>
        <w:t xml:space="preserve">Figure </w:t>
      </w:r>
      <w:r>
        <w:rPr/>
        <w:fldChar w:fldCharType="begin" w:dirty="true"/>
      </w:r>
      <w:r>
        <w:rPr/>
        <w:instrText xml:space="preserve" w:dirty="true"> REF ind_plots \h </w:instrText>
      </w:r>
      <w:r>
        <w:rPr/>
        <w:fldChar w:fldCharType="end" w:dirty="true"/>
      </w:r>
      <w:r>
        <w:rPr>
          <w:rFonts/>
          <w:strike w:val="false"/>
        </w:rPr>
        <w:t xml:space="preserve">. </w:t>
      </w:r>
      <w:r>
        <w:rPr>
          <w:rFonts/>
          <w:strike w:val="false"/>
        </w:rPr>
        <w:t xml:space="preserve">Individual and population prediction overlay</w:t>
      </w:r>
    </w:p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p>
      <w:pPr>
        <w:pStyle w:val="Normal"/>
      </w:pPr>
      <w:r>
        <w:rPr/>
        <w:drawing>
          <wp:inline distT="0" distB="0" distL="0" distR="0">
            <wp:extent cx="5943600" cy="5486400"/>
            <wp:docPr id="2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8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graphictitle"/>
      </w:pPr>
      <w:r>
        <w:rPr>
          <w:rFonts/>
          <w:strike w:val="false"/>
        </w:rPr>
        <w:t xml:space="preserve">Figure </w:t>
      </w:r>
      <w:bookmarkStart w:id="c05861f9-8478-4774-985a-ef452d5d647d" w:name="dv_vs_pred_ipred"/>
      <w:r>
        <w:rPr/>
        <w:t xml:space="preserve"/>
      </w:r>
      <w:r>
        <w:rPr/>
        <w:fldChar w:fldCharType="begin" w:dirty="true"/>
      </w:r>
      <w:r>
        <w:rPr/>
        <w:instrText xml:space="preserve" w:dirty="true">SEQ Figure \* Arabic</w:instrText>
      </w:r>
      <w:r>
        <w:rPr/>
        <w:fldChar w:fldCharType="end" w:dirty="true"/>
      </w:r>
      <w:r>
        <w:rPr/>
        <w:t xml:space="preserve"/>
      </w:r>
      <w:bookmarkEnd w:id="c05861f9-8478-4774-985a-ef452d5d647d"/>
      <w:r>
        <w:rPr>
          <w:rFonts/>
          <w:strike w:val="false"/>
        </w:rPr>
        <w:t xml:space="preserve">. </w:t>
      </w:r>
      <w:r>
        <w:rPr>
          <w:rFonts/>
          <w:strike w:val="false"/>
        </w:rPr>
        <w:t xml:space="preserve">Observed vs Predicted</w:t>
      </w:r>
    </w:p>
    <w:p>
      <w:pPr/>
      <w:r>
        <w:br w:type="page"/>
      </w:r>
    </w:p>
    <w:p>
      <w:pPr>
        <w:sectPr>
          <w:pgMar w:header="708" w:bottom="1417" w:top="1417" w:right="1417" w:left="1417" w:footer="708" w:gutter="0"/>
          <w:pgSz w:h="16838" w:w="11906" w:orient="portrait"/>
          <w:type w:val="oddPage"/>
          <w:cols/>
        </w:sectPr>
      </w:pPr>
    </w:p>
    <w:p>
      <w:pPr>
        <w:pStyle w:val="Normal"/>
      </w:pPr>
      <w:r>
        <w:rPr/>
        <w:drawing>
          <wp:inline distT="0" distB="0" distL="0" distR="0">
            <wp:extent cx="7315200" cy="3840480"/>
            <wp:docPr id="2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384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graphictitle"/>
      </w:pPr>
      <w:r>
        <w:rPr>
          <w:rFonts/>
          <w:strike w:val="false"/>
        </w:rPr>
        <w:t xml:space="preserve">Figure </w:t>
      </w:r>
      <w:bookmarkStart w:id="3f388957-2808-4418-a1ef-457fbd22a512" w:name="prm_vs_iteration"/>
      <w:r>
        <w:rPr/>
        <w:t xml:space="preserve"/>
      </w:r>
      <w:r>
        <w:rPr/>
        <w:fldChar w:fldCharType="begin" w:dirty="true"/>
      </w:r>
      <w:r>
        <w:rPr/>
        <w:instrText xml:space="preserve" w:dirty="true">SEQ Figure \* Arabic</w:instrText>
      </w:r>
      <w:r>
        <w:rPr/>
        <w:fldChar w:fldCharType="end" w:dirty="true"/>
      </w:r>
      <w:r>
        <w:rPr/>
        <w:t xml:space="preserve"/>
      </w:r>
      <w:bookmarkEnd w:id="3f388957-2808-4418-a1ef-457fbd22a512"/>
      <w:r>
        <w:rPr>
          <w:rFonts/>
          <w:strike w:val="false"/>
        </w:rPr>
        <w:t xml:space="preserve">. </w:t>
      </w:r>
      <w:r>
        <w:rPr>
          <w:rFonts/>
          <w:strike w:val="false"/>
        </w:rPr>
        <w:t xml:space="preserve">SAEM Stabilization</w:t>
      </w:r>
    </w:p>
    <w:p>
      <w:pPr/>
      <w:r>
        <w:br w:type="page"/>
      </w:r>
    </w:p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246974" w:rsidRPr="008B5C33" w:rsidSect="00747CC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AA529D" w14:textId="77777777" w:rsidR="004169B4" w:rsidRDefault="004169B4" w:rsidP="00AD31DD">
      <w:r>
        <w:separator/>
      </w:r>
    </w:p>
  </w:endnote>
  <w:endnote w:type="continuationSeparator" w:id="0">
    <w:p w14:paraId="2F56B4C6" w14:textId="77777777" w:rsidR="004169B4" w:rsidRDefault="004169B4" w:rsidP="00AD31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06741639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C86D96E" w14:textId="7E246293" w:rsidR="00AD31DD" w:rsidRDefault="00AD31DD" w:rsidP="009D2C6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DCB8B1C" w14:textId="77777777" w:rsidR="00AD31DD" w:rsidRDefault="00AD31DD" w:rsidP="00AD31D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80932579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A323DFA" w14:textId="33F99899" w:rsidR="00AD31DD" w:rsidRDefault="00AD31DD" w:rsidP="009D2C6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41"/>
      <w:gridCol w:w="4641"/>
    </w:tblGrid>
    <w:tr w:rsidR="00AD31DD" w:rsidRPr="003A769C" w14:paraId="06DA248C" w14:textId="77777777" w:rsidTr="0006758E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4641" w:type="dxa"/>
          <w:shd w:val="clear" w:color="auto" w:fill="auto"/>
        </w:tcPr>
        <w:p w14:paraId="5B34C175" w14:textId="2D29E2CD" w:rsidR="00AD31DD" w:rsidRPr="003A769C" w:rsidRDefault="000B2EA7" w:rsidP="0006758E">
          <w:pPr>
            <w:pStyle w:val="Header"/>
            <w:ind w:right="360"/>
            <w:jc w:val="left"/>
            <w:rPr>
              <w:b w:val="0"/>
              <w:bCs w:val="0"/>
            </w:rPr>
          </w:pPr>
          <w:r w:rsidRPr="000B2EA7">
            <w:rPr>
              <w:b w:val="0"/>
              <w:bCs w:val="0"/>
            </w:rPr>
            <w:t>===FOOTERLEFT===</w:t>
          </w:r>
        </w:p>
      </w:tc>
      <w:tc>
        <w:tcPr>
          <w:tcW w:w="4641" w:type="dxa"/>
          <w:shd w:val="clear" w:color="auto" w:fill="auto"/>
        </w:tcPr>
        <w:p w14:paraId="11EE87BD" w14:textId="095FE75F" w:rsidR="00AD31DD" w:rsidRPr="003A769C" w:rsidRDefault="00AD31DD" w:rsidP="00AD31DD">
          <w:pPr>
            <w:pStyle w:val="Header"/>
            <w:jc w:val="right"/>
            <w:rPr>
              <w:b w:val="0"/>
              <w:bCs w:val="0"/>
            </w:rPr>
          </w:pPr>
        </w:p>
      </w:tc>
    </w:tr>
  </w:tbl>
  <w:p w14:paraId="3B4CD79C" w14:textId="77777777" w:rsidR="00AD31DD" w:rsidRPr="00AD31DD" w:rsidRDefault="00AD31DD" w:rsidP="00AD31D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3797E" w14:textId="77777777" w:rsidR="006C1C58" w:rsidRDefault="006C1C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0FCF43" w14:textId="77777777" w:rsidR="004169B4" w:rsidRDefault="004169B4" w:rsidP="00AD31DD">
      <w:r>
        <w:separator/>
      </w:r>
    </w:p>
  </w:footnote>
  <w:footnote w:type="continuationSeparator" w:id="0">
    <w:p w14:paraId="2D308694" w14:textId="77777777" w:rsidR="004169B4" w:rsidRDefault="004169B4" w:rsidP="00AD31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1AF10" w14:textId="77777777" w:rsidR="006C1C58" w:rsidRDefault="006C1C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41"/>
      <w:gridCol w:w="4641"/>
    </w:tblGrid>
    <w:tr w:rsidR="00AD31DD" w:rsidRPr="0006758E" w14:paraId="5D9D20EF" w14:textId="77777777" w:rsidTr="0006758E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4641" w:type="dxa"/>
          <w:shd w:val="clear" w:color="auto" w:fill="auto"/>
        </w:tcPr>
        <w:p w14:paraId="265108A3" w14:textId="51F15622" w:rsidR="00CE36DA" w:rsidRPr="00BE6D4B" w:rsidRDefault="003E2874" w:rsidP="0006758E">
          <w:pPr>
            <w:pStyle w:val="Header"/>
            <w:jc w:val="left"/>
            <w:rPr>
              <w:b w:val="0"/>
              <w:bCs w:val="0"/>
            </w:rPr>
          </w:pPr>
          <w:r>
            <w:t xml:space="preserve"> </w:t>
          </w:r>
          <w:r w:rsidR="0028431E" w:rsidRPr="00BE6D4B">
            <w:rPr>
              <w:b w:val="0"/>
              <w:bCs w:val="0"/>
            </w:rPr>
            <w:t>===HEADERLEFT===</w:t>
          </w:r>
        </w:p>
      </w:tc>
      <w:tc>
        <w:tcPr>
          <w:tcW w:w="4641" w:type="dxa"/>
          <w:shd w:val="clear" w:color="auto" w:fill="auto"/>
        </w:tcPr>
        <w:p w14:paraId="0DC51AAD" w14:textId="0AD2128B" w:rsidR="00AD31DD" w:rsidRPr="0006758E" w:rsidRDefault="00FE11A0" w:rsidP="00AD31DD">
          <w:pPr>
            <w:pStyle w:val="Header"/>
            <w:jc w:val="right"/>
            <w:rPr>
              <w:b w:val="0"/>
              <w:bCs w:val="0"/>
            </w:rPr>
          </w:pPr>
          <w:r w:rsidRPr="00FE11A0">
            <w:rPr>
              <w:b w:val="0"/>
              <w:bCs w:val="0"/>
            </w:rPr>
            <w:t>===HEADERRIGHT===</w:t>
          </w:r>
        </w:p>
      </w:tc>
    </w:tr>
  </w:tbl>
  <w:p w14:paraId="5A4DA22B" w14:textId="77777777" w:rsidR="00AD31DD" w:rsidRDefault="00AD31D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A5F9C" w14:textId="77777777" w:rsidR="006C1C58" w:rsidRDefault="006C1C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xmlns:w="http://schemas.openxmlformats.org/wordprocessingml/2006/main" w:percent="168"/>
  <w:proofState w:spelling="clean" w:grammar="clean"/>
  <w:defaultTabStop xmlns:w="http://schemas.openxmlformats.org/wordprocessingml/2006/main" w:val="708"/>
  <w:hyphenationZone xmlns:w="http://schemas.openxmlformats.org/wordprocessingml/2006/main" w:val="425"/>
  <w:characterSpacingControl w:val="doNotCompress"/>
  <w:footnotePr>
    <w:footnote w:id="-1"/>
    <w:footnote w:id="0"/>
  </w:footnotePr>
  <w:endnotePr>
    <w:endnote w:id="-1"/>
    <w:endnote w:id="0"/>
  </w:endnotePr>
  <w:compat xmlns:w="http://schemas.openxmlformats.org/wordprocessingml/2006/main">
    <w:compatSetting w:name="compatibilityMode" w:uri="http://schemas.microsoft.com/office/word" w:val="15"/>
  </w:compat>
  <w:rsids>
    <w:rsidRoot w:val="00B4379D"/>
    <w:rsid w:val="00001251"/>
    <w:rsid w:val="00036527"/>
    <w:rsid w:val="000429DE"/>
    <w:rsid w:val="00064805"/>
    <w:rsid w:val="0006758E"/>
    <w:rsid w:val="00073835"/>
    <w:rsid w:val="00091A31"/>
    <w:rsid w:val="000B2EA7"/>
    <w:rsid w:val="000C6904"/>
    <w:rsid w:val="000D5520"/>
    <w:rsid w:val="001842B0"/>
    <w:rsid w:val="001C0A13"/>
    <w:rsid w:val="001D75AB"/>
    <w:rsid w:val="00222DBA"/>
    <w:rsid w:val="00246974"/>
    <w:rsid w:val="00274C93"/>
    <w:rsid w:val="0028431E"/>
    <w:rsid w:val="002D4B56"/>
    <w:rsid w:val="002E5B6C"/>
    <w:rsid w:val="003030B7"/>
    <w:rsid w:val="003423CB"/>
    <w:rsid w:val="00347E06"/>
    <w:rsid w:val="00362E65"/>
    <w:rsid w:val="003A769C"/>
    <w:rsid w:val="003E2874"/>
    <w:rsid w:val="003E48E7"/>
    <w:rsid w:val="003F254A"/>
    <w:rsid w:val="003F57D5"/>
    <w:rsid w:val="004158F9"/>
    <w:rsid w:val="004169B4"/>
    <w:rsid w:val="00451408"/>
    <w:rsid w:val="00457CF1"/>
    <w:rsid w:val="00476FDF"/>
    <w:rsid w:val="004F3BEF"/>
    <w:rsid w:val="00516A87"/>
    <w:rsid w:val="005826D7"/>
    <w:rsid w:val="00590B77"/>
    <w:rsid w:val="00652999"/>
    <w:rsid w:val="00666356"/>
    <w:rsid w:val="00680237"/>
    <w:rsid w:val="006C1C58"/>
    <w:rsid w:val="00747CCE"/>
    <w:rsid w:val="00781DD3"/>
    <w:rsid w:val="007872A2"/>
    <w:rsid w:val="00793211"/>
    <w:rsid w:val="007A7045"/>
    <w:rsid w:val="007B0B2B"/>
    <w:rsid w:val="007B3E96"/>
    <w:rsid w:val="00837D60"/>
    <w:rsid w:val="008873A3"/>
    <w:rsid w:val="008B5C33"/>
    <w:rsid w:val="008B75ED"/>
    <w:rsid w:val="008E0FEF"/>
    <w:rsid w:val="008E15D8"/>
    <w:rsid w:val="008F1F48"/>
    <w:rsid w:val="009127F0"/>
    <w:rsid w:val="00946CB3"/>
    <w:rsid w:val="00A21143"/>
    <w:rsid w:val="00A4189F"/>
    <w:rsid w:val="00AA5E91"/>
    <w:rsid w:val="00AD31DD"/>
    <w:rsid w:val="00AE18EF"/>
    <w:rsid w:val="00AE1BDD"/>
    <w:rsid w:val="00AF6E98"/>
    <w:rsid w:val="00B1151E"/>
    <w:rsid w:val="00B32BC3"/>
    <w:rsid w:val="00B4379D"/>
    <w:rsid w:val="00B67593"/>
    <w:rsid w:val="00B84AE4"/>
    <w:rsid w:val="00BE6D4B"/>
    <w:rsid w:val="00C31EEB"/>
    <w:rsid w:val="00CC556D"/>
    <w:rsid w:val="00CE36DA"/>
    <w:rsid w:val="00CF6F03"/>
    <w:rsid w:val="00D770A6"/>
    <w:rsid w:val="00D84B96"/>
    <w:rsid w:val="00D87867"/>
    <w:rsid w:val="00DA61C5"/>
    <w:rsid w:val="00DC2567"/>
    <w:rsid w:val="00DD29E5"/>
    <w:rsid w:val="00DF0793"/>
    <w:rsid w:val="00E044D3"/>
    <w:rsid w:val="00E471A9"/>
    <w:rsid w:val="00EF0149"/>
    <w:rsid w:val="00EF5C48"/>
    <w:rsid w:val="00F12158"/>
    <w:rsid w:val="00F24432"/>
    <w:rsid w:val="00FB63E7"/>
    <w:rsid w:val="00FC557F"/>
    <w:rsid w:val="00FD3619"/>
    <w:rsid w:val="00FE11A0"/>
    <w:rsid w:val="00FF7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  <w14:docId w14:val="24EE12B8"/>
  <w14:defaultImageDpi w14:val="300"/>
  <w15:docId w15:val="{E48D0B0C-25BA-F44D-9270-686D3701D7BC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211"/>
    <w:pPr>
      <w:spacing w:before="240" w:after="24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D60"/>
    <w:pPr>
      <w:keepNext/>
      <w:keepLines/>
      <w:numPr>
        <w:numId w:val="3"/>
      </w:numP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2B0"/>
    <w:pPr>
      <w:keepNext/>
      <w:keepLines/>
      <w:numPr>
        <w:ilvl w:val="1"/>
        <w:numId w:val="3"/>
      </w:numPr>
      <w:spacing w:before="200"/>
      <w:ind w:left="432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837D6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2B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graphictitle">
    <w:name w:val="graphic title"/>
    <w:basedOn w:val="Normal"/>
    <w:qFormat/>
    <w:rsid w:val="00AE18EF"/>
    <w:pPr>
      <w:jc w:val="center"/>
    </w:pPr>
    <w:rPr>
      <w:b/>
      <w:i/>
    </w:rPr>
  </w:style>
  <w:style w:type="paragraph" w:customStyle="1" w:styleId="tabletitle">
    <w:name w:val="table title"/>
    <w:basedOn w:val="graphictitle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AD31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31DD"/>
  </w:style>
  <w:style w:type="paragraph" w:styleId="Footer">
    <w:name w:val="footer"/>
    <w:basedOn w:val="Normal"/>
    <w:link w:val="FooterChar"/>
    <w:uiPriority w:val="99"/>
    <w:unhideWhenUsed/>
    <w:rsid w:val="00AD31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31DD"/>
  </w:style>
  <w:style w:type="table" w:styleId="TableGrid">
    <w:name w:val="Table Grid"/>
    <w:aliases w:val="Table Report"/>
    <w:basedOn w:val="TableProfessional"/>
    <w:uiPriority w:val="59"/>
    <w:rsid w:val="00246974"/>
    <w:pPr>
      <w:jc w:val="center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AD31DD"/>
  </w:style>
  <w:style w:type="paragraph" w:customStyle="1" w:styleId="Code">
    <w:name w:val="Code"/>
    <w:basedOn w:val="Normal"/>
    <w:next w:val="Normal"/>
    <w:qFormat/>
    <w:rsid w:val="00B1151E"/>
    <w:pPr>
      <w:spacing w:before="0" w:after="0"/>
    </w:pPr>
    <w:rPr>
      <w:rFonts w:ascii="Courier" w:hAnsi="Courier"/>
    </w:rPr>
  </w:style>
  <w:style w:type="paragraph" w:customStyle="1" w:styleId="Notes">
    <w:name w:val="Notes"/>
    <w:basedOn w:val="Normal"/>
    <w:qFormat/>
    <w:rsid w:val="008B5C33"/>
    <w:pPr>
      <w:spacing w:before="0" w:after="0"/>
    </w:pPr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

<Relationships  xmlns="http://schemas.openxmlformats.org/package/2006/relationships">
<Relationship Id="rId8" Type="http://schemas.openxmlformats.org/officeDocument/2006/relationships/header" Target="header1.xml"/>
<Relationship Id="rId13" Type="http://schemas.openxmlformats.org/officeDocument/2006/relationships/footer" Target="footer3.xml"/>
<Relationship Id="rId3" Type="http://schemas.openxmlformats.org/officeDocument/2006/relationships/styles" Target="styles.xml"/>
<Relationship Id="rId7" Type="http://schemas.openxmlformats.org/officeDocument/2006/relationships/endnotes" Target="endnotes.xml"/>
<Relationship Id="rId12" Type="http://schemas.openxmlformats.org/officeDocument/2006/relationships/header" Target="header3.xml"/>
<Relationship Id="rId2" Type="http://schemas.openxmlformats.org/officeDocument/2006/relationships/numbering" Target="numbering.xml"/>
<Relationship Id="rId1" Type="http://schemas.openxmlformats.org/officeDocument/2006/relationships/customXml" Target="../customXml/item1.xml"/>
<Relationship Id="rId6" Type="http://schemas.openxmlformats.org/officeDocument/2006/relationships/footnotes" Target="footnotes.xml"/>
<Relationship Id="rId11" Type="http://schemas.openxmlformats.org/officeDocument/2006/relationships/footer" Target="footer2.xml"/>
<Relationship Id="rId5" Type="http://schemas.openxmlformats.org/officeDocument/2006/relationships/webSettings" Target="webSettings.xml"/>
<Relationship Id="rId15" Type="http://schemas.openxmlformats.org/officeDocument/2006/relationships/theme" Target="theme/theme1.xml"/>
<Relationship Id="rId10" Type="http://schemas.openxmlformats.org/officeDocument/2006/relationships/footer" Target="footer1.xml"/>
<Relationship Id="rId4" Type="http://schemas.openxmlformats.org/officeDocument/2006/relationships/settings" Target="settings.xml"/>
<Relationship Id="rId9" Type="http://schemas.openxmlformats.org/officeDocument/2006/relationships/header" Target="header2.xml"/>
<Relationship Id="rId14" Type="http://schemas.openxmlformats.org/officeDocument/2006/relationships/fontTable" Target="fontTable.xml"/>
<Relationship Id="rId16" Type="http://schemas.openxmlformats.org/officeDocument/2006/relationships/image" Target="media/3a833d45ca636eed86efa605a938099ae5b8077a.png"/>
<Relationship Id="rId17" Type="http://schemas.openxmlformats.org/officeDocument/2006/relationships/image" Target="media/240176c0b5dc3cce32b43314e38747716b660f4b.png"/>
<Relationship Id="rId18" Type="http://schemas.openxmlformats.org/officeDocument/2006/relationships/image" Target="media/bfc67197522f2e836efbe5242bb7780689eb9b54.png"/>
<Relationship Id="rId19" Type="http://schemas.openxmlformats.org/officeDocument/2006/relationships/image" Target="media/79848f19c12a0f5a720c55635983674362693864.png"/>
<Relationship Id="rId20" Type="http://schemas.openxmlformats.org/officeDocument/2006/relationships/image" Target="media/cc1eab27ba4bcf3b170e01ad7e0972b55e0abf74.png"/>
<Relationship Id="rId21" Type="http://schemas.openxmlformats.org/officeDocument/2006/relationships/image" Target="media/9c775a5e1b4646d1fd1df9ff9da31b23ea8a9187.png"/>
<Relationship Id="rId22" Type="http://schemas.openxmlformats.org/officeDocument/2006/relationships/image" Target="media/aaecfab755d77a46b4f34b9b978774513cc5be88.png"/>
<Relationship Id="rId23" Type="http://schemas.openxmlformats.org/officeDocument/2006/relationships/image" Target="media/766bea29d0798407d90613a9c8d1080e36fa5a76.png"/>
<Relationship Id="rId24" Type="http://schemas.openxmlformats.org/officeDocument/2006/relationships/image" Target="media/2eb36fedc740c813d4a6933afabe50194b5150f2.png"/>
<Relationship Id="rId25" Type="http://schemas.openxmlformats.org/officeDocument/2006/relationships/image" Target="media/91326d7ea8d2ab1d61c69da33f8747e3d49d8275.png"/>
<Relationship Id="rId26" Type="http://schemas.openxmlformats.org/officeDocument/2006/relationships/image" Target="media/f8eff4dc90737d1e5123177e8e7d47392d6fabab.png"/>
<Relationship Id="rId27" Type="http://schemas.openxmlformats.org/officeDocument/2006/relationships/image" Target="media/dfcda2771ac4f2064be15def646d78b51a2204b0.png"/>
<Relationship Id="rId28" Type="http://schemas.openxmlformats.org/officeDocument/2006/relationships/image" Target="media/a7b53e397f5f79c7bf38d529930d1e33cd009ac7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7BBF269-9EBB-7D4C-B61F-5F630368F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runner</cp:lastModifiedBy>
  <cp:revision>54</cp:revision>
  <dcterms:created xsi:type="dcterms:W3CDTF">2017-02-28T11:18:00Z</dcterms:created>
  <dcterms:modified xsi:type="dcterms:W3CDTF">2026-10-13T12:23:49Z</dcterms:modified>
  <cp:category/>
</cp:coreProperties>
</file>