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61DC6C2" w14:textId="16A0B593" w:rsidR="00246974" w:rsidRPr="008B5C33" w:rsidRDefault="00246974" w:rsidP="008B5C33"/>
    <w:p>
      <w:pPr>
        <w:pStyle w:val="Heading1"/>
      </w:pPr>
      <w:r>
        <w:t xml:space="preserve">Tables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565"/>
        <w:gridCol w:w="1040"/>
        <w:gridCol w:w="1320"/>
        <w:gridCol w:w="1051"/>
        <w:gridCol w:w="3261"/>
        <w:gridCol w:w="1537"/>
        <w:gridCol w:w="1798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Parameter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Est.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%RSE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Back-transformed(95%CI)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BSV(CV%)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Shrink(SD)%</w:t>
            </w:r>
          </w:p>
        </w:tc>
      </w:tr>
      <w:tr>
        <w:trPr>
          <w:trHeight w:val="632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log Cl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0.0298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2.17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3.94 (3.71, 4.17)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1.94&lt;</w:t>
            </w:r>
          </w:p>
        </w:tc>
      </w:tr>
      <w:tr>
        <w:trPr>
          <w:trHeight w:val="63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log Vc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66.6 (62.8, 70.5)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2.46&lt;</w:t>
            </w:r>
          </w:p>
        </w:tc>
      </w:tr>
      <w:tr>
        <w:trPr>
          <w:trHeight w:val="63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log Q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3.98 (3.57, 4.42)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40.5&gt;</w:t>
            </w:r>
          </w:p>
        </w:tc>
      </w:tr>
      <w:tr>
        <w:trPr>
          <w:trHeight w:val="63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log Vp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48.3 (45.1, 51.7)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28.4=</w:t>
            </w:r>
          </w:p>
        </w:tc>
      </w:tr>
      <w:tr>
        <w:trPr>
          <w:trHeight w:val="647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RSV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0.00315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1.61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0.196 (0.190, 0.203)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</w:tbl>
    <w:p>
      <w:pPr>
        <w:pStyle w:val="tabletitle"/>
      </w:pPr>
      <w:r>
        <w:rPr>
          <w:rFonts/>
          <w:strike w:val="false"/>
        </w:rPr>
        <w:t xml:space="preserve">Table </w:t>
      </w:r>
      <w:bookmarkStart w:id="11480ff4-19d8-4894-96df-4c157f5f763f" w:name="pest_table"/>
      <w:r>
        <w:rPr/>
        <w:t xml:space="preserve"/>
      </w:r>
      <w:r>
        <w:rPr/>
        <w:fldChar w:fldCharType="begin" w:dirty="true"/>
      </w:r>
      <w:r>
        <w:rPr/>
        <w:instrText xml:space="preserve" w:dirty="true">SEQ Table \* Arabic</w:instrText>
      </w:r>
      <w:r>
        <w:rPr/>
        <w:fldChar w:fldCharType="end" w:dirty="true"/>
      </w:r>
      <w:r>
        <w:rPr/>
        <w:t xml:space="preserve"/>
      </w:r>
      <w:bookmarkEnd w:id="11480ff4-19d8-4894-96df-4c157f5f763f"/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Parameter Estimates</w:t>
      </w:r>
    </w:p>
    <w:p>
      <w:pPr/>
      <w:r>
        <w:br w:type="page"/>
      </w:r>
    </w:p>
    <w:p>
      <w:pPr>
        <w:pStyle w:val="Heading1"/>
      </w:pPr>
      <w:r>
        <w:t xml:space="preserve">Figures</w:t>
      </w:r>
    </w:p>
    <w:p>
      <w:pPr>
        <w:sectPr>
          <w:pgMar w:header="708" w:bottom="1417" w:top="1417" w:right="1417" w:left="1417" w:footer="708" w:gutter="0"/>
          <w:pgSz w:h="16838" w:w="11906" w:orient="portrait"/>
          <w:type w:val="oddPage"/>
          <w:cols/>
        </w:sectPr>
      </w:pPr>
    </w:p>
    <w:p>
      <w:pPr>
        <w:pStyle w:val="Normal"/>
      </w:pPr>
      <w:r>
        <w:rPr/>
        <w:drawing>
          <wp:inline distT="0" distB="0" distL="0" distR="0">
            <wp:extent cx="7315200" cy="3840480"/>
            <wp:docPr id="1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bookmarkStart w:id="7619f173-e5c5-469f-a680-f0e7f85af35e" w:name="ind_plots"/>
      <w:r>
        <w:rPr/>
        <w:t xml:space="preserve"/>
      </w:r>
      <w:r>
        <w:rPr/>
        <w:fldChar w:fldCharType="begin" w:dirty="true"/>
      </w:r>
      <w:r>
        <w:rPr/>
        <w:instrText xml:space="preserve" w:dirty="true">SEQ Figure \* Arabic</w:instrText>
      </w:r>
      <w:r>
        <w:rPr/>
        <w:fldChar w:fldCharType="end" w:dirty="true"/>
      </w:r>
      <w:r>
        <w:rPr/>
        <w:t xml:space="preserve"/>
      </w:r>
      <w:bookmarkEnd w:id="7619f173-e5c5-469f-a680-f0e7f85af35e"/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Individual and population prediction overlay</w:t>
      </w:r>
    </w:p>
    <w:p>
      <w:pPr/>
      <w:r>
        <w:br w:type="page"/>
      </w:r>
    </w:p>
    <w:p>
      <w:pPr>
        <w:pStyle w:val="Normal"/>
      </w:pPr>
      <w:r>
        <w:rPr/>
        <w:drawing>
          <wp:inline distT="0" distB="0" distL="0" distR="0">
            <wp:extent cx="7315200" cy="3840480"/>
            <wp:docPr id="3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r>
        <w:rPr/>
        <w:fldChar w:fldCharType="begin" w:dirty="true"/>
      </w:r>
      <w:r>
        <w:rPr/>
        <w:instrText xml:space="preserve" w:dirty="true"> REF ind_plots \h </w:instrText>
      </w:r>
      <w:r>
        <w:rPr/>
        <w:fldChar w:fldCharType="end" w:dirty="true"/>
      </w:r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Individual and population prediction overlay</w:t>
      </w:r>
    </w:p>
    <w:p>
      <w:pPr/>
      <w:r>
        <w:br w:type="page"/>
      </w:r>
    </w:p>
    <w:p>
      <w:pPr>
        <w:pStyle w:val="Normal"/>
      </w:pPr>
      <w:r>
        <w:rPr/>
        <w:drawing>
          <wp:inline distT="0" distB="0" distL="0" distR="0">
            <wp:extent cx="7315200" cy="3840480"/>
            <wp:docPr id="5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r>
        <w:rPr/>
        <w:fldChar w:fldCharType="begin" w:dirty="true"/>
      </w:r>
      <w:r>
        <w:rPr/>
        <w:instrText xml:space="preserve" w:dirty="true"> REF ind_plots \h </w:instrText>
      </w:r>
      <w:r>
        <w:rPr/>
        <w:fldChar w:fldCharType="end" w:dirty="true"/>
      </w:r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Individual and population prediction overlay</w:t>
      </w:r>
    </w:p>
    <w:p>
      <w:pPr/>
      <w:r>
        <w:br w:type="page"/>
      </w:r>
    </w:p>
    <w:p>
      <w:pPr>
        <w:pStyle w:val="Normal"/>
      </w:pPr>
      <w:r>
        <w:rPr/>
        <w:drawing>
          <wp:inline distT="0" distB="0" distL="0" distR="0">
            <wp:extent cx="7315200" cy="3840480"/>
            <wp:docPr id="7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r>
        <w:rPr/>
        <w:fldChar w:fldCharType="begin" w:dirty="true"/>
      </w:r>
      <w:r>
        <w:rPr/>
        <w:instrText xml:space="preserve" w:dirty="true"> REF ind_plots \h </w:instrText>
      </w:r>
      <w:r>
        <w:rPr/>
        <w:fldChar w:fldCharType="end" w:dirty="true"/>
      </w:r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Individual and population prediction overlay</w:t>
      </w:r>
    </w:p>
    <w:p>
      <w:pPr/>
      <w:r>
        <w:br w:type="page"/>
      </w:r>
    </w:p>
    <w:p>
      <w:pPr>
        <w:pStyle w:val="Normal"/>
      </w:pPr>
      <w:r>
        <w:rPr/>
        <w:drawing>
          <wp:inline distT="0" distB="0" distL="0" distR="0">
            <wp:extent cx="7315200" cy="3840480"/>
            <wp:docPr id="9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r>
        <w:rPr/>
        <w:fldChar w:fldCharType="begin" w:dirty="true"/>
      </w:r>
      <w:r>
        <w:rPr/>
        <w:instrText xml:space="preserve" w:dirty="true"> REF ind_plots \h </w:instrText>
      </w:r>
      <w:r>
        <w:rPr/>
        <w:fldChar w:fldCharType="end" w:dirty="true"/>
      </w:r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Individual and population prediction overlay</w:t>
      </w:r>
    </w:p>
    <w:p>
      <w:pPr/>
      <w:r>
        <w:br w:type="page"/>
      </w:r>
    </w:p>
    <w:p>
      <w:pPr>
        <w:pStyle w:val="Normal"/>
      </w:pPr>
      <w:r>
        <w:rPr/>
        <w:drawing>
          <wp:inline distT="0" distB="0" distL="0" distR="0">
            <wp:extent cx="7315200" cy="3840480"/>
            <wp:docPr id="11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r>
        <w:rPr/>
        <w:fldChar w:fldCharType="begin" w:dirty="true"/>
      </w:r>
      <w:r>
        <w:rPr/>
        <w:instrText xml:space="preserve" w:dirty="true"> REF ind_plots \h </w:instrText>
      </w:r>
      <w:r>
        <w:rPr/>
        <w:fldChar w:fldCharType="end" w:dirty="true"/>
      </w:r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Individual and population prediction overlay</w:t>
      </w:r>
    </w:p>
    <w:p>
      <w:pPr/>
      <w:r>
        <w:br w:type="page"/>
      </w:r>
    </w:p>
    <w:p>
      <w:pPr>
        <w:pStyle w:val="Normal"/>
      </w:pPr>
      <w:r>
        <w:rPr/>
        <w:drawing>
          <wp:inline distT="0" distB="0" distL="0" distR="0">
            <wp:extent cx="7315200" cy="3840480"/>
            <wp:docPr id="13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r>
        <w:rPr/>
        <w:fldChar w:fldCharType="begin" w:dirty="true"/>
      </w:r>
      <w:r>
        <w:rPr/>
        <w:instrText xml:space="preserve" w:dirty="true"> REF ind_plots \h </w:instrText>
      </w:r>
      <w:r>
        <w:rPr/>
        <w:fldChar w:fldCharType="end" w:dirty="true"/>
      </w:r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Individual and population prediction overlay</w:t>
      </w:r>
    </w:p>
    <w:p>
      <w:pPr/>
      <w:r>
        <w:br w:type="page"/>
      </w:r>
    </w:p>
    <w:p>
      <w:pPr>
        <w:pStyle w:val="Normal"/>
      </w:pPr>
      <w:r>
        <w:rPr/>
        <w:drawing>
          <wp:inline distT="0" distB="0" distL="0" distR="0">
            <wp:extent cx="7315200" cy="3840480"/>
            <wp:docPr id="15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r>
        <w:rPr/>
        <w:fldChar w:fldCharType="begin" w:dirty="true"/>
      </w:r>
      <w:r>
        <w:rPr/>
        <w:instrText xml:space="preserve" w:dirty="true"> REF ind_plots \h </w:instrText>
      </w:r>
      <w:r>
        <w:rPr/>
        <w:fldChar w:fldCharType="end" w:dirty="true"/>
      </w:r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Individual and population prediction overlay</w:t>
      </w:r>
    </w:p>
    <w:p>
      <w:pPr/>
      <w:r>
        <w:br w:type="page"/>
      </w:r>
    </w:p>
    <w:p>
      <w:pPr>
        <w:pStyle w:val="Normal"/>
      </w:pPr>
      <w:r>
        <w:rPr/>
        <w:drawing>
          <wp:inline distT="0" distB="0" distL="0" distR="0">
            <wp:extent cx="7315200" cy="3840480"/>
            <wp:docPr id="17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r>
        <w:rPr/>
        <w:fldChar w:fldCharType="begin" w:dirty="true"/>
      </w:r>
      <w:r>
        <w:rPr/>
        <w:instrText xml:space="preserve" w:dirty="true"> REF ind_plots \h </w:instrText>
      </w:r>
      <w:r>
        <w:rPr/>
        <w:fldChar w:fldCharType="end" w:dirty="true"/>
      </w:r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Individual and population prediction overlay</w:t>
      </w:r>
    </w:p>
    <w:p>
      <w:pPr/>
      <w:r>
        <w:br w:type="page"/>
      </w:r>
    </w:p>
    <w:p>
      <w:pPr>
        <w:pStyle w:val="Normal"/>
      </w:pPr>
      <w:r>
        <w:rPr/>
        <w:drawing>
          <wp:inline distT="0" distB="0" distL="0" distR="0">
            <wp:extent cx="7315200" cy="3840480"/>
            <wp:docPr id="19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r>
        <w:rPr/>
        <w:fldChar w:fldCharType="begin" w:dirty="true"/>
      </w:r>
      <w:r>
        <w:rPr/>
        <w:instrText xml:space="preserve" w:dirty="true"> REF ind_plots \h </w:instrText>
      </w:r>
      <w:r>
        <w:rPr/>
        <w:fldChar w:fldCharType="end" w:dirty="true"/>
      </w:r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Individual and population prediction overlay</w:t>
      </w:r>
    </w:p>
    <w:p>
      <w:pPr>
        <w:sectPr>
          <w:pgMar w:header="708" w:bottom="1417" w:top="1417" w:right="1417" w:left="1417" w:footer="708" w:gutter="0"/>
          <w:pgSz w:h="11906" w:w="16838" w:orient="landscape"/>
          <w:type w:val="oddPage"/>
          <w:cols/>
        </w:sectPr>
      </w:pPr>
    </w:p>
    <w:p>
      <w:pPr>
        <w:pStyle w:val="Normal"/>
      </w:pPr>
      <w:r>
        <w:rPr/>
        <w:drawing>
          <wp:inline distT="0" distB="0" distL="0" distR="0">
            <wp:extent cx="5943600" cy="5486400"/>
            <wp:docPr id="21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4864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bookmarkStart w:id="d001b809-0e8b-4fec-a5b9-32ff93f0ed0e" w:name="dv_vs_pred_ipred"/>
      <w:r>
        <w:rPr/>
        <w:t xml:space="preserve"/>
      </w:r>
      <w:r>
        <w:rPr/>
        <w:fldChar w:fldCharType="begin" w:dirty="true"/>
      </w:r>
      <w:r>
        <w:rPr/>
        <w:instrText xml:space="preserve" w:dirty="true">SEQ Figure \* Arabic</w:instrText>
      </w:r>
      <w:r>
        <w:rPr/>
        <w:fldChar w:fldCharType="end" w:dirty="true"/>
      </w:r>
      <w:r>
        <w:rPr/>
        <w:t xml:space="preserve"/>
      </w:r>
      <w:bookmarkEnd w:id="d001b809-0e8b-4fec-a5b9-32ff93f0ed0e"/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Observed vs Predicted</w:t>
      </w:r>
    </w:p>
    <w:p>
      <w:pPr/>
      <w:r>
        <w:br w:type="page"/>
      </w:r>
    </w:p>
    <w:p>
      <w:pPr>
        <w:sectPr>
          <w:pgMar w:header="708" w:bottom="1417" w:top="1417" w:right="1417" w:left="1417" w:footer="708" w:gutter="0"/>
          <w:pgSz w:h="16838" w:w="11906" w:orient="portrait"/>
          <w:type w:val="oddPage"/>
          <w:cols/>
        </w:sectPr>
      </w:pPr>
    </w:p>
    <w:p>
      <w:pPr>
        <w:pStyle w:val="Normal"/>
      </w:pPr>
      <w:r>
        <w:rPr/>
        <w:drawing>
          <wp:inline distT="0" distB="0" distL="0" distR="0">
            <wp:extent cx="7315200" cy="3840480"/>
            <wp:docPr id="23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bookmarkStart w:id="ce0b39b0-4100-42a9-9c03-de73ebf2d8a8" w:name="prm_vs_iteration"/>
      <w:r>
        <w:rPr/>
        <w:t xml:space="preserve"/>
      </w:r>
      <w:r>
        <w:rPr/>
        <w:fldChar w:fldCharType="begin" w:dirty="true"/>
      </w:r>
      <w:r>
        <w:rPr/>
        <w:instrText xml:space="preserve" w:dirty="true">SEQ Figure \* Arabic</w:instrText>
      </w:r>
      <w:r>
        <w:rPr/>
        <w:fldChar w:fldCharType="end" w:dirty="true"/>
      </w:r>
      <w:r>
        <w:rPr/>
        <w:t xml:space="preserve"/>
      </w:r>
      <w:bookmarkEnd w:id="ce0b39b0-4100-42a9-9c03-de73ebf2d8a8"/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SAEM Stabilization</w:t>
      </w:r>
    </w:p>
    <w:p>
      <w:pPr/>
      <w:r>
        <w:br w:type="page"/>
      </w:r>
    </w:p>
    <w:p>
      <w:pPr>
        <w:sectPr>
          <w:pgMar w:header="708" w:bottom="1417" w:top="1417" w:right="1417" w:left="1417" w:footer="708" w:gutter="0"/>
          <w:pgSz w:h="11906" w:w="16838" w:orient="landscape"/>
          <w:type w:val="oddPage"/>
          <w:cols/>
        </w:sectPr>
      </w:pPr>
    </w:p>
    <w:sectPr w:rsidR="00246974" w:rsidRPr="008B5C33" w:rsidSect="00747CCE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EAA529D" w14:textId="77777777" w:rsidR="004169B4" w:rsidRDefault="004169B4" w:rsidP="00AD31DD">
      <w:r>
        <w:separator/>
      </w:r>
    </w:p>
  </w:endnote>
  <w:endnote w:type="continuationSeparator" w:id="0">
    <w:p w14:paraId="2F56B4C6" w14:textId="77777777" w:rsidR="004169B4" w:rsidRDefault="004169B4" w:rsidP="00AD31D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ucida Grande">
    <w:panose1 w:val="020B0600040502020204"/>
    <w:charset w:val="00"/>
    <w:family w:val="swiss"/>
    <w:pitch w:val="variable"/>
    <w:sig w:usb0="E1000AEF" w:usb1="5000A1FF" w:usb2="00000000" w:usb3="00000000" w:csb0="000001BF" w:csb1="00000000"/>
  </w:font>
  <w:font w:name="Courier">
    <w:panose1 w:val="00000000000000000000"/>
    <w:charset w:val="00"/>
    <w:family w:val="auto"/>
    <w:pitch w:val="variable"/>
    <w:sig w:usb0="00000003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PageNumber"/>
      </w:rPr>
      <w:id w:val="-1067416396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6C86D96E" w14:textId="7E246293" w:rsidR="00AD31DD" w:rsidRDefault="00AD31DD" w:rsidP="009D2C60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7DCB8B1C" w14:textId="77777777" w:rsidR="00AD31DD" w:rsidRDefault="00AD31DD" w:rsidP="00AD31DD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PageNumber"/>
      </w:rPr>
      <w:id w:val="-809325798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2A323DFA" w14:textId="33F99899" w:rsidR="00AD31DD" w:rsidRDefault="00AD31DD" w:rsidP="009D2C60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4641"/>
      <w:gridCol w:w="4641"/>
    </w:tblGrid>
    <w:tr w:rsidR="00AD31DD" w:rsidRPr="003A769C" w14:paraId="06DA248C" w14:textId="77777777" w:rsidTr="0006758E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</w:trPr>
      <w:tc>
        <w:tcPr>
          <w:tcW w:w="4641" w:type="dxa"/>
          <w:shd w:val="clear" w:color="auto" w:fill="auto"/>
        </w:tcPr>
        <w:p w14:paraId="5B34C175" w14:textId="2D29E2CD" w:rsidR="00AD31DD" w:rsidRPr="003A769C" w:rsidRDefault="000B2EA7" w:rsidP="0006758E">
          <w:pPr>
            <w:pStyle w:val="Header"/>
            <w:ind w:right="360"/>
            <w:jc w:val="left"/>
            <w:rPr>
              <w:b w:val="0"/>
              <w:bCs w:val="0"/>
            </w:rPr>
          </w:pPr>
          <w:r w:rsidRPr="000B2EA7">
            <w:rPr>
              <w:b w:val="0"/>
              <w:bCs w:val="0"/>
            </w:rPr>
            <w:t>===FOOTERLEFT===</w:t>
          </w:r>
        </w:p>
      </w:tc>
      <w:tc>
        <w:tcPr>
          <w:tcW w:w="4641" w:type="dxa"/>
          <w:shd w:val="clear" w:color="auto" w:fill="auto"/>
        </w:tcPr>
        <w:p w14:paraId="11EE87BD" w14:textId="095FE75F" w:rsidR="00AD31DD" w:rsidRPr="003A769C" w:rsidRDefault="00AD31DD" w:rsidP="00AD31DD">
          <w:pPr>
            <w:pStyle w:val="Header"/>
            <w:jc w:val="right"/>
            <w:rPr>
              <w:b w:val="0"/>
              <w:bCs w:val="0"/>
            </w:rPr>
          </w:pPr>
        </w:p>
      </w:tc>
    </w:tr>
  </w:tbl>
  <w:p w14:paraId="3B4CD79C" w14:textId="77777777" w:rsidR="00AD31DD" w:rsidRPr="00AD31DD" w:rsidRDefault="00AD31DD" w:rsidP="00AD31DD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5A3797E" w14:textId="77777777" w:rsidR="006C1C58" w:rsidRDefault="006C1C5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80FCF43" w14:textId="77777777" w:rsidR="004169B4" w:rsidRDefault="004169B4" w:rsidP="00AD31DD">
      <w:r>
        <w:separator/>
      </w:r>
    </w:p>
  </w:footnote>
  <w:footnote w:type="continuationSeparator" w:id="0">
    <w:p w14:paraId="2D308694" w14:textId="77777777" w:rsidR="004169B4" w:rsidRDefault="004169B4" w:rsidP="00AD31D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831AF10" w14:textId="77777777" w:rsidR="006C1C58" w:rsidRDefault="006C1C5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4641"/>
      <w:gridCol w:w="4641"/>
    </w:tblGrid>
    <w:tr w:rsidR="00AD31DD" w:rsidRPr="0006758E" w14:paraId="5D9D20EF" w14:textId="77777777" w:rsidTr="0006758E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</w:trPr>
      <w:tc>
        <w:tcPr>
          <w:tcW w:w="4641" w:type="dxa"/>
          <w:shd w:val="clear" w:color="auto" w:fill="auto"/>
        </w:tcPr>
        <w:p w14:paraId="265108A3" w14:textId="51F15622" w:rsidR="00CE36DA" w:rsidRPr="00BE6D4B" w:rsidRDefault="003E2874" w:rsidP="0006758E">
          <w:pPr>
            <w:pStyle w:val="Header"/>
            <w:jc w:val="left"/>
            <w:rPr>
              <w:b w:val="0"/>
              <w:bCs w:val="0"/>
            </w:rPr>
          </w:pPr>
          <w:r>
            <w:t xml:space="preserve"> </w:t>
          </w:r>
          <w:r w:rsidR="0028431E" w:rsidRPr="00BE6D4B">
            <w:rPr>
              <w:b w:val="0"/>
              <w:bCs w:val="0"/>
            </w:rPr>
            <w:t>===HEADERLEFT===</w:t>
          </w:r>
        </w:p>
      </w:tc>
      <w:tc>
        <w:tcPr>
          <w:tcW w:w="4641" w:type="dxa"/>
          <w:shd w:val="clear" w:color="auto" w:fill="auto"/>
        </w:tcPr>
        <w:p w14:paraId="0DC51AAD" w14:textId="0AD2128B" w:rsidR="00AD31DD" w:rsidRPr="0006758E" w:rsidRDefault="00FE11A0" w:rsidP="00AD31DD">
          <w:pPr>
            <w:pStyle w:val="Header"/>
            <w:jc w:val="right"/>
            <w:rPr>
              <w:b w:val="0"/>
              <w:bCs w:val="0"/>
            </w:rPr>
          </w:pPr>
          <w:r w:rsidRPr="00FE11A0">
            <w:rPr>
              <w:b w:val="0"/>
              <w:bCs w:val="0"/>
            </w:rPr>
            <w:t>===HEADERRIGHT===</w:t>
          </w:r>
        </w:p>
      </w:tc>
    </w:tr>
  </w:tbl>
  <w:p w14:paraId="5A4DA22B" w14:textId="77777777" w:rsidR="00AD31DD" w:rsidRDefault="00AD31DD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70A5F9C" w14:textId="77777777" w:rsidR="006C1C58" w:rsidRDefault="006C1C5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Heading1"/>
      <w:lvlText w:val="%1."/>
      <w:lvlJc w:val="left"/>
      <w:pPr>
        <w:ind w:left="360" w:hanging="360"/>
      </w:pPr>
    </w:lvl>
    <w:lvl w:ilvl="1">
      <w:start w:val="1"/>
      <w:numFmt w:val="decimal"/>
      <w:pStyle w:val="Heading2"/>
      <w:lvlText w:val="%1.%2."/>
      <w:lvlJc w:val="left"/>
      <w:pPr>
        <w:ind w:left="792" w:hanging="432"/>
      </w:pPr>
    </w:lvl>
    <w:lvl w:ilvl="2">
      <w:start w:val="1"/>
      <w:numFmt w:val="decimal"/>
      <w:pStyle w:val="Heading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xmlns:w="http://schemas.openxmlformats.org/wordprocessingml/2006/main" w:percent="168"/>
  <w:proofState w:spelling="clean" w:grammar="clean"/>
  <w:defaultTabStop xmlns:w="http://schemas.openxmlformats.org/wordprocessingml/2006/main" w:val="708"/>
  <w:hyphenationZone xmlns:w="http://schemas.openxmlformats.org/wordprocessingml/2006/main" w:val="425"/>
  <w:characterSpacingControl w:val="doNotCompress"/>
  <w:footnotePr>
    <w:footnote w:id="-1"/>
    <w:footnote w:id="0"/>
  </w:footnotePr>
  <w:endnotePr>
    <w:endnote w:id="-1"/>
    <w:endnote w:id="0"/>
  </w:endnotePr>
  <w:compat xmlns:w="http://schemas.openxmlformats.org/wordprocessingml/2006/main">
    <w:compatSetting w:name="compatibilityMode" w:uri="http://schemas.microsoft.com/office/word" w:val="15"/>
  </w:compat>
  <w:rsids>
    <w:rsidRoot w:val="00B4379D"/>
    <w:rsid w:val="00001251"/>
    <w:rsid w:val="00036527"/>
    <w:rsid w:val="000429DE"/>
    <w:rsid w:val="00064805"/>
    <w:rsid w:val="0006758E"/>
    <w:rsid w:val="00073835"/>
    <w:rsid w:val="00091A31"/>
    <w:rsid w:val="000B2EA7"/>
    <w:rsid w:val="000C6904"/>
    <w:rsid w:val="000D5520"/>
    <w:rsid w:val="001842B0"/>
    <w:rsid w:val="001C0A13"/>
    <w:rsid w:val="001D75AB"/>
    <w:rsid w:val="00222DBA"/>
    <w:rsid w:val="00246974"/>
    <w:rsid w:val="00274C93"/>
    <w:rsid w:val="0028431E"/>
    <w:rsid w:val="002D4B56"/>
    <w:rsid w:val="002E5B6C"/>
    <w:rsid w:val="003030B7"/>
    <w:rsid w:val="003423CB"/>
    <w:rsid w:val="00347E06"/>
    <w:rsid w:val="00362E65"/>
    <w:rsid w:val="003A769C"/>
    <w:rsid w:val="003E2874"/>
    <w:rsid w:val="003E48E7"/>
    <w:rsid w:val="003F254A"/>
    <w:rsid w:val="003F57D5"/>
    <w:rsid w:val="004158F9"/>
    <w:rsid w:val="004169B4"/>
    <w:rsid w:val="00451408"/>
    <w:rsid w:val="00457CF1"/>
    <w:rsid w:val="00476FDF"/>
    <w:rsid w:val="004F3BEF"/>
    <w:rsid w:val="00516A87"/>
    <w:rsid w:val="005826D7"/>
    <w:rsid w:val="00590B77"/>
    <w:rsid w:val="00652999"/>
    <w:rsid w:val="00666356"/>
    <w:rsid w:val="00680237"/>
    <w:rsid w:val="006C1C58"/>
    <w:rsid w:val="00747CCE"/>
    <w:rsid w:val="00781DD3"/>
    <w:rsid w:val="007872A2"/>
    <w:rsid w:val="00793211"/>
    <w:rsid w:val="007A7045"/>
    <w:rsid w:val="007B0B2B"/>
    <w:rsid w:val="007B3E96"/>
    <w:rsid w:val="00837D60"/>
    <w:rsid w:val="008873A3"/>
    <w:rsid w:val="008B5C33"/>
    <w:rsid w:val="008B75ED"/>
    <w:rsid w:val="008E0FEF"/>
    <w:rsid w:val="008E15D8"/>
    <w:rsid w:val="008F1F48"/>
    <w:rsid w:val="009127F0"/>
    <w:rsid w:val="00946CB3"/>
    <w:rsid w:val="00A21143"/>
    <w:rsid w:val="00A4189F"/>
    <w:rsid w:val="00AA5E91"/>
    <w:rsid w:val="00AD31DD"/>
    <w:rsid w:val="00AE18EF"/>
    <w:rsid w:val="00AE1BDD"/>
    <w:rsid w:val="00AF6E98"/>
    <w:rsid w:val="00B1151E"/>
    <w:rsid w:val="00B32BC3"/>
    <w:rsid w:val="00B4379D"/>
    <w:rsid w:val="00B67593"/>
    <w:rsid w:val="00B84AE4"/>
    <w:rsid w:val="00BE6D4B"/>
    <w:rsid w:val="00C31EEB"/>
    <w:rsid w:val="00CC556D"/>
    <w:rsid w:val="00CE36DA"/>
    <w:rsid w:val="00CF6F03"/>
    <w:rsid w:val="00D770A6"/>
    <w:rsid w:val="00D84B96"/>
    <w:rsid w:val="00D87867"/>
    <w:rsid w:val="00DA61C5"/>
    <w:rsid w:val="00DC2567"/>
    <w:rsid w:val="00DD29E5"/>
    <w:rsid w:val="00DF0793"/>
    <w:rsid w:val="00E044D3"/>
    <w:rsid w:val="00E471A9"/>
    <w:rsid w:val="00EF0149"/>
    <w:rsid w:val="00EF5C48"/>
    <w:rsid w:val="00F12158"/>
    <w:rsid w:val="00F24432"/>
    <w:rsid w:val="00FB63E7"/>
    <w:rsid w:val="00FC557F"/>
    <w:rsid w:val="00FD3619"/>
    <w:rsid w:val="00FE11A0"/>
    <w:rsid w:val="00FF72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xmlns:w="http://schemas.openxmlformats.org/wordprocessingml/2006/main" w:val="."/>
  <w:listSeparator xmlns:w="http://schemas.openxmlformats.org/wordprocessingml/2006/main" w:val=","/>
  <w14:docId w14:val="24EE12B8"/>
  <w14:defaultImageDpi w14:val="300"/>
  <w15:docId w15:val="{E48D0B0C-25BA-F44D-9270-686D3701D7BC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93211"/>
    <w:pPr>
      <w:spacing w:before="240" w:after="240"/>
    </w:pPr>
  </w:style>
  <w:style w:type="paragraph" w:styleId="Heading1">
    <w:name w:val="heading 1"/>
    <w:basedOn w:val="Normal"/>
    <w:next w:val="Normal"/>
    <w:link w:val="Heading1Char"/>
    <w:uiPriority w:val="9"/>
    <w:qFormat/>
    <w:rsid w:val="00837D60"/>
    <w:pPr>
      <w:keepNext/>
      <w:keepLines/>
      <w:numPr>
        <w:numId w:val="3"/>
      </w:numP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842B0"/>
    <w:pPr>
      <w:keepNext/>
      <w:keepLines/>
      <w:numPr>
        <w:ilvl w:val="1"/>
        <w:numId w:val="3"/>
      </w:numPr>
      <w:spacing w:before="200"/>
      <w:ind w:left="432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Strong1">
    <w:name w:val="Strong1"/>
    <w:basedOn w:val="DefaultParagraphFont"/>
    <w:uiPriority w:val="1"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ghtList-Accent2">
    <w:name w:val="Light List Accent 2"/>
    <w:basedOn w:val="Table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Heading1Char">
    <w:name w:val="Heading 1 Char"/>
    <w:basedOn w:val="DefaultParagraphFont"/>
    <w:link w:val="Heading1"/>
    <w:uiPriority w:val="9"/>
    <w:rsid w:val="00837D60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842B0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graphictitle">
    <w:name w:val="graphic title"/>
    <w:basedOn w:val="Normal"/>
    <w:qFormat/>
    <w:rsid w:val="00AE18EF"/>
    <w:pPr>
      <w:jc w:val="center"/>
    </w:pPr>
    <w:rPr>
      <w:b/>
      <w:i/>
    </w:rPr>
  </w:style>
  <w:style w:type="paragraph" w:customStyle="1" w:styleId="tabletitle">
    <w:name w:val="table title"/>
    <w:basedOn w:val="graphictitle"/>
    <w:qFormat/>
    <w:rsid w:val="00AE18EF"/>
  </w:style>
  <w:style w:type="table" w:styleId="TableProfessional">
    <w:name w:val="Table Professional"/>
    <w:basedOn w:val="Table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DefaultParagraphFont"/>
    <w:uiPriority w:val="1"/>
    <w:rsid w:val="00457CF1"/>
    <w:rPr>
      <w:vertAlign w:val="superscript"/>
    </w:rPr>
  </w:style>
  <w:style w:type="paragraph" w:styleId="Header">
    <w:name w:val="header"/>
    <w:basedOn w:val="Normal"/>
    <w:link w:val="HeaderChar"/>
    <w:uiPriority w:val="99"/>
    <w:unhideWhenUsed/>
    <w:rsid w:val="00AD31DD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D31DD"/>
  </w:style>
  <w:style w:type="paragraph" w:styleId="Footer">
    <w:name w:val="footer"/>
    <w:basedOn w:val="Normal"/>
    <w:link w:val="FooterChar"/>
    <w:uiPriority w:val="99"/>
    <w:unhideWhenUsed/>
    <w:rsid w:val="00AD31DD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D31DD"/>
  </w:style>
  <w:style w:type="table" w:styleId="TableGrid">
    <w:name w:val="Table Grid"/>
    <w:aliases w:val="Table Report"/>
    <w:basedOn w:val="TableProfessional"/>
    <w:uiPriority w:val="59"/>
    <w:rsid w:val="00246974"/>
    <w:pPr>
      <w:jc w:val="center"/>
    </w:p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character" w:styleId="PageNumber">
    <w:name w:val="page number"/>
    <w:basedOn w:val="DefaultParagraphFont"/>
    <w:uiPriority w:val="99"/>
    <w:semiHidden/>
    <w:unhideWhenUsed/>
    <w:rsid w:val="00AD31DD"/>
  </w:style>
  <w:style w:type="paragraph" w:customStyle="1" w:styleId="Code">
    <w:name w:val="Code"/>
    <w:basedOn w:val="Normal"/>
    <w:next w:val="Normal"/>
    <w:qFormat/>
    <w:rsid w:val="00B1151E"/>
    <w:pPr>
      <w:spacing w:before="0" w:after="0"/>
    </w:pPr>
    <w:rPr>
      <w:rFonts w:ascii="Courier" w:hAnsi="Courier"/>
    </w:rPr>
  </w:style>
  <w:style w:type="paragraph" w:customStyle="1" w:styleId="Notes">
    <w:name w:val="Notes"/>
    <w:basedOn w:val="Normal"/>
    <w:qFormat/>
    <w:rsid w:val="008B5C33"/>
    <w:pPr>
      <w:spacing w:before="0" w:after="0"/>
    </w:pPr>
    <w:rPr>
      <w:rFonts w:ascii="Arial" w:hAnsi="Arial"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

<Relationships  xmlns="http://schemas.openxmlformats.org/package/2006/relationships">
<Relationship Id="rId8" Type="http://schemas.openxmlformats.org/officeDocument/2006/relationships/header" Target="header1.xml"/>
<Relationship Id="rId13" Type="http://schemas.openxmlformats.org/officeDocument/2006/relationships/footer" Target="footer3.xml"/>
<Relationship Id="rId3" Type="http://schemas.openxmlformats.org/officeDocument/2006/relationships/styles" Target="styles.xml"/>
<Relationship Id="rId7" Type="http://schemas.openxmlformats.org/officeDocument/2006/relationships/endnotes" Target="endnotes.xml"/>
<Relationship Id="rId12" Type="http://schemas.openxmlformats.org/officeDocument/2006/relationships/header" Target="header3.xml"/>
<Relationship Id="rId2" Type="http://schemas.openxmlformats.org/officeDocument/2006/relationships/numbering" Target="numbering.xml"/>
<Relationship Id="rId1" Type="http://schemas.openxmlformats.org/officeDocument/2006/relationships/customXml" Target="../customXml/item1.xml"/>
<Relationship Id="rId6" Type="http://schemas.openxmlformats.org/officeDocument/2006/relationships/footnotes" Target="footnotes.xml"/>
<Relationship Id="rId11" Type="http://schemas.openxmlformats.org/officeDocument/2006/relationships/footer" Target="footer2.xml"/>
<Relationship Id="rId5" Type="http://schemas.openxmlformats.org/officeDocument/2006/relationships/webSettings" Target="webSettings.xml"/>
<Relationship Id="rId15" Type="http://schemas.openxmlformats.org/officeDocument/2006/relationships/theme" Target="theme/theme1.xml"/>
<Relationship Id="rId10" Type="http://schemas.openxmlformats.org/officeDocument/2006/relationships/footer" Target="footer1.xml"/>
<Relationship Id="rId4" Type="http://schemas.openxmlformats.org/officeDocument/2006/relationships/settings" Target="settings.xml"/>
<Relationship Id="rId9" Type="http://schemas.openxmlformats.org/officeDocument/2006/relationships/header" Target="header2.xml"/>
<Relationship Id="rId14" Type="http://schemas.openxmlformats.org/officeDocument/2006/relationships/fontTable" Target="fontTable.xml"/>
<Relationship Id="rId16" Type="http://schemas.openxmlformats.org/officeDocument/2006/relationships/image" Target="media/240176c0b5dc3cce32b43314e38747716b660f4b.png"/>
<Relationship Id="rId17" Type="http://schemas.openxmlformats.org/officeDocument/2006/relationships/image" Target="media/bfc67197522f2e836efbe5242bb7780689eb9b54.png"/>
<Relationship Id="rId18" Type="http://schemas.openxmlformats.org/officeDocument/2006/relationships/image" Target="media/79848f19c12a0f5a720c55635983674362693864.png"/>
<Relationship Id="rId19" Type="http://schemas.openxmlformats.org/officeDocument/2006/relationships/image" Target="media/cc1eab27ba4bcf3b170e01ad7e0972b55e0abf74.png"/>
<Relationship Id="rId20" Type="http://schemas.openxmlformats.org/officeDocument/2006/relationships/image" Target="media/9c775a5e1b4646d1fd1df9ff9da31b23ea8a9187.png"/>
<Relationship Id="rId21" Type="http://schemas.openxmlformats.org/officeDocument/2006/relationships/image" Target="media/aaecfab755d77a46b4f34b9b978774513cc5be88.png"/>
<Relationship Id="rId22" Type="http://schemas.openxmlformats.org/officeDocument/2006/relationships/image" Target="media/766bea29d0798407d90613a9c8d1080e36fa5a76.png"/>
<Relationship Id="rId23" Type="http://schemas.openxmlformats.org/officeDocument/2006/relationships/image" Target="media/2eb36fedc740c813d4a6933afabe50194b5150f2.png"/>
<Relationship Id="rId24" Type="http://schemas.openxmlformats.org/officeDocument/2006/relationships/image" Target="media/91326d7ea8d2ab1d61c69da33f8747e3d49d8275.png"/>
<Relationship Id="rId25" Type="http://schemas.openxmlformats.org/officeDocument/2006/relationships/image" Target="media/f8eff4dc90737d1e5123177e8e7d47392d6fabab.png"/>
<Relationship Id="rId26" Type="http://schemas.openxmlformats.org/officeDocument/2006/relationships/image" Target="media/dfcda2771ac4f2064be15def646d78b51a2204b0.png"/>
<Relationship Id="rId27" Type="http://schemas.openxmlformats.org/officeDocument/2006/relationships/image" Target="media/01cd0ab4422802b21799452926449c74a957896c.png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F7BBF269-9EBB-7D4C-B61F-5F630368F3B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runner</cp:lastModifiedBy>
  <cp:revision>54</cp:revision>
  <dcterms:created xsi:type="dcterms:W3CDTF">2017-02-28T11:18:00Z</dcterms:created>
  <dcterms:modified xsi:type="dcterms:W3CDTF">2026-09-22T23:59:16Z</dcterms:modified>
  <cp:category/>
</cp:coreProperties>
</file>