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il"/>
              <w:left w:val="nil"/>
              <w:bottom w:val="nil"/>
              <w:right w:val="nil"/>
            </w:tcBorders>
            <w:shd w:fill="0D1B2A" w:val="clear"/>
            <w:tcMar>
              <w:top w:type="dxa" w:w="2880"/>
              <w:left w:type="dxa" w:w="1440"/>
              <w:bottom w:type="dxa" w:w="0"/>
              <w:right w:type="dxa" w:w="1440"/>
            </w:tcMar>
          </w:tcPr>
          <w:p>
            <w:pPr>
              <w:spacing w:before="0" w:after="80"/>
              <w:jc w:val="left"/>
            </w:pPr>
            <w:r>
              <w:rPr>
                <w:rFonts w:ascii="Calibri" w:cs="Calibri" w:eastAsia="Calibri" w:hAnsi="Calibri"/>
                <w:b/>
                <w:bCs/>
                <w:color w:val="00A8E8"/>
                <w:sz w:val="24"/>
                <w:szCs w:val="24"/>
              </w:rPr>
              <w:t xml:space="preserve">ENTERPRISE SECURITY</w:t>
            </w:r>
          </w:p>
          <w:p>
            <w:pPr>
              <w:spacing w:before="0" w:after="80"/>
              <w:jc w:val="left"/>
            </w:pPr>
            <w:r>
              <w:rPr>
                <w:rFonts w:ascii="Calibri" w:cs="Calibri" w:eastAsia="Calibri" w:hAnsi="Calibri"/>
                <w:b/>
                <w:bCs/>
                <w:color w:val="FFFFFF"/>
                <w:sz w:val="80"/>
                <w:szCs w:val="80"/>
              </w:rPr>
              <w:t xml:space="preserve">OS Platform Security</w:t>
            </w:r>
          </w:p>
          <w:p>
            <w:pPr>
              <w:spacing w:before="0" w:after="120"/>
              <w:jc w:val="left"/>
            </w:pPr>
            <w:r>
              <w:rPr>
                <w:rFonts w:ascii="Calibri" w:cs="Calibri" w:eastAsia="Calibri" w:hAnsi="Calibri"/>
                <w:b/>
                <w:bCs/>
                <w:color w:val="FFFFFF"/>
                <w:sz w:val="80"/>
                <w:szCs w:val="80"/>
              </w:rPr>
              <w:t xml:space="preserve">Architecture Framework</w:t>
            </w:r>
          </w:p>
          <w:p>
            <w:pPr>
              <w:pBdr>
                <w:top w:val="single" w:color="00A8E8" w:sz="8" w:space="1"/>
              </w:pBdr>
              <w:spacing w:before="120" w:after="0"/>
              <w:jc w:val="left"/>
            </w:pPr>
            <w:r>
              <w:rPr>
                <w:sz w:val="22"/>
                <w:szCs w:val="22"/>
              </w:rPr>
              <w:t xml:space="preserve"/>
            </w:r>
          </w:p>
          <w:p>
            <w:pPr>
              <w:spacing w:before="160" w:after="40"/>
              <w:jc w:val="left"/>
            </w:pPr>
            <w:r>
              <w:rPr>
                <w:rFonts w:ascii="Calibri" w:cs="Calibri" w:eastAsia="Calibri" w:hAnsi="Calibri"/>
                <w:color w:val="D0D6E0"/>
                <w:sz w:val="26"/>
                <w:szCs w:val="26"/>
              </w:rPr>
              <w:t xml:space="preserve">A Comprehensive, OS-Agnostic Security Architecture for Unix and Windows Platforms</w:t>
            </w:r>
          </w:p>
          <w:p>
            <w:pPr>
              <w:spacing w:before="80" w:after="0"/>
              <w:jc w:val="left"/>
            </w:pPr>
            <w:r>
              <w:rPr>
                <w:rFonts w:ascii="Calibri" w:cs="Calibri" w:eastAsia="Calibri" w:hAnsi="Calibri"/>
                <w:color w:val="00A8E8"/>
                <w:sz w:val="22"/>
                <w:szCs w:val="22"/>
              </w:rPr>
              <w:t xml:space="preserve">Version 3.0  ·  Revised with Supply Chain, Resilience, Incident Response &amp; 15-Point Gap Remediation</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il"/>
              <w:left w:val="nil"/>
              <w:bottom w:val="nil"/>
              <w:right w:val="nil"/>
            </w:tcBorders>
            <w:shd w:fill="1B3A6B" w:val="clear"/>
            <w:tcMar>
              <w:top w:type="dxa" w:w="320"/>
              <w:left w:type="dxa" w:w="1440"/>
              <w:bottom w:type="dxa" w:w="320"/>
              <w:right w:type="dxa" w:w="1440"/>
            </w:tcMar>
          </w:tcPr>
          <w:p>
            <w:r>
              <w:rPr>
                <w:rFonts w:ascii="Calibri" w:cs="Calibri" w:eastAsia="Calibri" w:hAnsi="Calibri"/>
                <w:b/>
                <w:bCs/>
                <w:color w:val="00A8E8"/>
                <w:sz w:val="20"/>
                <w:szCs w:val="20"/>
              </w:rPr>
              <w:t xml:space="preserve">Classification: </w:t>
            </w:r>
            <w:r>
              <w:rPr>
                <w:rFonts w:ascii="Calibri" w:cs="Calibri" w:eastAsia="Calibri" w:hAnsi="Calibri"/>
                <w:color w:val="FFFFFF"/>
                <w:sz w:val="20"/>
                <w:szCs w:val="20"/>
              </w:rPr>
              <w:t xml:space="preserve">CONFIDENTIAL — INTERNAL USE ONLY</w:t>
            </w:r>
            <w:r>
              <w:rPr>
                <w:rFonts w:ascii="Calibri" w:cs="Calibri" w:eastAsia="Calibri" w:hAnsi="Calibri"/>
                <w:color w:val="D0D6E0"/>
                <w:sz w:val="20"/>
                <w:szCs w:val="20"/>
              </w:rPr>
              <w:t xml:space="preserve">     |     Version: 3.0     |     Status: APPROVED FOR RELEASE     |     Date: 2026</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il"/>
              <w:left w:val="nil"/>
              <w:bottom w:val="nil"/>
              <w:right w:val="nil"/>
            </w:tcBorders>
            <w:shd w:fill="F4F6F9" w:val="clear"/>
            <w:tcMar>
              <w:top w:type="dxa" w:w="480"/>
              <w:left w:type="dxa" w:w="1440"/>
              <w:bottom w:type="dxa" w:w="480"/>
              <w:right w:type="dxa" w:w="1440"/>
            </w:tcMar>
          </w:tcPr>
          <w:p>
            <w:pPr>
              <w:spacing w:before="0" w:after="80"/>
            </w:pPr>
            <w:r>
              <w:rPr>
                <w:rFonts w:ascii="Calibri" w:cs="Calibri" w:eastAsia="Calibri" w:hAnsi="Calibri"/>
                <w:b/>
                <w:bCs/>
                <w:color w:val="16A34A"/>
                <w:sz w:val="20"/>
                <w:szCs w:val="20"/>
              </w:rPr>
              <w:t xml:space="preserve">v3.0 Additions:</w:t>
            </w:r>
          </w:p>
          <w:p>
            <w:pPr>
              <w:spacing w:before="0" w:after="60"/>
            </w:pPr>
            <w:r>
              <w:rPr>
                <w:rFonts w:ascii="Calibri" w:cs="Calibri" w:eastAsia="Calibri" w:hAnsi="Calibri"/>
                <w:color w:val="1A2233"/>
                <w:sz w:val="22"/>
                <w:szCs w:val="22"/>
              </w:rPr>
              <w:t xml:space="preserve">D9 — Supply Chain Security  ·  D10 — Operational Resilience &amp; BCDR  ·  D11 — Incident Response Integration</w:t>
            </w:r>
          </w:p>
          <w:p>
            <w:pPr>
              <w:spacing w:before="0" w:after="120"/>
            </w:pPr>
            <w:r>
              <w:rPr>
                <w:rFonts w:ascii="Calibri" w:cs="Calibri" w:eastAsia="Calibri" w:hAnsi="Calibri"/>
                <w:color w:val="6B7A99"/>
                <w:sz w:val="20"/>
                <w:szCs w:val="20"/>
              </w:rPr>
              <w:t xml:space="preserve">+ 12 additional gap remediations: Cryptographic Agility, SAW/PAW, Data Classification, Privacy Controls, Vendor Risk, Machine Identity, Detection Engineering, Virtualisation Security, Physical Security, Security Debt, EoL OS Policy</w:t>
            </w:r>
          </w:p>
          <w:p>
            <w:pPr>
              <w:spacing w:before="120" w:after="60"/>
            </w:pPr>
            <w:r>
              <w:rPr>
                <w:rFonts w:ascii="Calibri" w:cs="Calibri" w:eastAsia="Calibri" w:hAnsi="Calibri"/>
                <w:color w:val="6B7A99"/>
                <w:sz w:val="20"/>
                <w:szCs w:val="20"/>
              </w:rPr>
              <w:t xml:space="preserve">Framework alignment: CIS Controls v8  ·  NIST SP 800-53 r5  ·  NIST SP 800-61  ·  NIST SP 800-34  ·  ISO/IEC 27001:2022  ·  ISO 22301  ·  PCI-DSS v4.0  ·  SOX ITGC  ·  MITRE ATT&amp;CK v14  ·  SLSA v1.0  ·  NIST PQC Standards</w:t>
            </w:r>
          </w:p>
        </w:tc>
      </w:tr>
    </w:tbl>
    <w:p>
      <w:pPr>
        <w:sectPr>
          <w:pgSz w:w="12240" w:h="15840" w:orient="portrait"/>
          <w:pgMar w:top="0" w:right="0" w:bottom="0" w:left="0" w:header="708" w:footer="708" w:gutter="0"/>
          <w:pgNumType/>
          <w:docGrid w:linePitch="360"/>
        </w:sectPr>
      </w:pPr>
    </w:p>
    <w:p>
      <w:pPr>
        <w:pStyle w:val="Heading1"/>
        <w:spacing w:before="400" w:after="160"/>
      </w:pPr>
      <w:r>
        <w:rPr>
          <w:rFonts w:ascii="Calibri" w:cs="Calibri" w:eastAsia="Calibri" w:hAnsi="Calibri"/>
          <w:b/>
          <w:bCs/>
          <w:color w:val="0D1B2A"/>
          <w:sz w:val="36"/>
          <w:szCs w:val="36"/>
        </w:rPr>
        <w:t xml:space="preserve">Gap Assessment — v2.0 to v3.0</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This section documents the independent architectural assessment conducted against v2.0 of this framework. Fifteen gaps were identified spanning supply chain security, operational resilience, incident response, data classification, vendor risk, cryptographic agility, and physical security. Each gap has been remediated in this version through new control domains (D9–D11), expanded controls within existing domains, and new derived standards.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94" w:sz="8"/>
              <w:left w:val="single" w:color="00A8E8" w:sz="24"/>
              <w:bottom w:val="single" w:color="1E5F94" w:sz="4"/>
              <w:right w:val="nil"/>
            </w:tcBorders>
            <w:shd w:fill="E8EDF5" w:val="clear"/>
            <w:tcMar>
              <w:top w:type="dxa" w:w="120"/>
              <w:left w:type="dxa" w:w="240"/>
              <w:bottom w:type="dxa" w:w="120"/>
              <w:right w:type="dxa" w:w="120"/>
            </w:tcMar>
          </w:tcPr>
          <w:p>
            <w:pPr>
              <w:spacing w:before="0" w:after="40"/>
            </w:pPr>
            <w:r>
              <w:rPr>
                <w:rFonts w:ascii="Calibri" w:cs="Calibri" w:eastAsia="Calibri" w:hAnsi="Calibri"/>
                <w:b/>
                <w:bCs/>
                <w:color w:val="1E5F94"/>
                <w:sz w:val="20"/>
                <w:szCs w:val="20"/>
              </w:rPr>
              <w:t xml:space="preserve">ASSESSMENT METHODOLOGY</w:t>
            </w:r>
          </w:p>
          <w:p>
            <w:pPr>
              <w:spacing w:before="0" w:after="0"/>
            </w:pPr>
            <w:r>
              <w:rPr>
                <w:rFonts w:ascii="Calibri" w:cs="Calibri" w:eastAsia="Calibri" w:hAnsi="Calibri"/>
                <w:color w:val="1A2233"/>
                <w:sz w:val="20"/>
                <w:szCs w:val="20"/>
              </w:rPr>
              <w:t xml:space="preserve">Gaps are classified as CRITICAL (fundamental architectural absence posing immediate risk), HIGH (significant control gap requiring prioritised remediation), or MEDIUM (control gap with mitigating factors but requiring remediation within 12 months). All gaps identified here have been addressed in this version.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rPr>
          <w:tblHeader/>
        </w:trPr>
        <w:tc>
          <w:tcPr>
            <w:tcW w:type="dxa" w:w="10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Gap ID</w:t>
            </w:r>
          </w:p>
        </w:tc>
        <w:tc>
          <w:tcPr>
            <w:tcW w:type="dxa" w:w="32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Title</w:t>
            </w:r>
          </w:p>
        </w:tc>
        <w:tc>
          <w:tcPr>
            <w:tcW w:type="dxa" w:w="12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c>
          <w:tcPr>
            <w:tcW w:type="dxa" w:w="39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Remediation Location</w:t>
            </w:r>
          </w:p>
        </w:tc>
      </w:tr>
      <w:tr>
        <w:tc>
          <w:tcPr>
            <w:tcW w:type="dxa" w:w="1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GAP-01</w:t>
            </w:r>
          </w:p>
        </w:tc>
        <w:tc>
          <w:tcPr>
            <w:tcW w:type="dxa" w:w="3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Supply Chain Security — underdeveloped</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CRITICAL</w:t>
            </w:r>
          </w:p>
        </w:tc>
        <w:tc>
          <w:tcPr>
            <w:tcW w:type="dxa" w:w="39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New Domain D9</w:t>
            </w:r>
          </w:p>
        </w:tc>
      </w:tr>
      <w:tr>
        <w:tc>
          <w:tcPr>
            <w:tcW w:type="dxa" w:w="1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GAP-02</w:t>
            </w:r>
          </w:p>
        </w:tc>
        <w:tc>
          <w:tcPr>
            <w:tcW w:type="dxa" w:w="3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Operational Resilience &amp; BCDR — absent</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CRITICAL</w:t>
            </w:r>
          </w:p>
        </w:tc>
        <w:tc>
          <w:tcPr>
            <w:tcW w:type="dxa" w:w="39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New Domain D10</w:t>
            </w:r>
          </w:p>
        </w:tc>
      </w:tr>
      <w:tr>
        <w:tc>
          <w:tcPr>
            <w:tcW w:type="dxa" w:w="1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GAP-03</w:t>
            </w:r>
          </w:p>
        </w:tc>
        <w:tc>
          <w:tcPr>
            <w:tcW w:type="dxa" w:w="3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Incident Response Integration — missing</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CRITICAL</w:t>
            </w:r>
          </w:p>
        </w:tc>
        <w:tc>
          <w:tcPr>
            <w:tcW w:type="dxa" w:w="39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New Domain D11</w:t>
            </w:r>
          </w:p>
        </w:tc>
      </w:tr>
      <w:tr>
        <w:tc>
          <w:tcPr>
            <w:tcW w:type="dxa" w:w="1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GAP-04</w:t>
            </w:r>
          </w:p>
        </w:tc>
        <w:tc>
          <w:tcPr>
            <w:tcW w:type="dxa" w:w="3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Data Classification at OS layer — missing</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HIGH</w:t>
            </w:r>
          </w:p>
        </w:tc>
        <w:tc>
          <w:tcPr>
            <w:tcW w:type="dxa" w:w="39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D3 expanded (DPROT-06/07)</w:t>
            </w:r>
          </w:p>
        </w:tc>
      </w:tr>
      <w:tr>
        <w:tc>
          <w:tcPr>
            <w:tcW w:type="dxa" w:w="1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GAP-05</w:t>
            </w:r>
          </w:p>
        </w:tc>
        <w:tc>
          <w:tcPr>
            <w:tcW w:type="dxa" w:w="3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Third-Party &amp; Vendor Risk — absent</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HIGH</w:t>
            </w:r>
          </w:p>
        </w:tc>
        <w:tc>
          <w:tcPr>
            <w:tcW w:type="dxa" w:w="39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D8 expanded (GOV-05) + D1 (IAA-07)</w:t>
            </w:r>
          </w:p>
        </w:tc>
      </w:tr>
      <w:tr>
        <w:tc>
          <w:tcPr>
            <w:tcW w:type="dxa" w:w="1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GAP-06</w:t>
            </w:r>
          </w:p>
        </w:tc>
        <w:tc>
          <w:tcPr>
            <w:tcW w:type="dxa" w:w="3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Cryptographic Agility &amp; Post-Quantum — missing</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HIGH</w:t>
            </w:r>
          </w:p>
        </w:tc>
        <w:tc>
          <w:tcPr>
            <w:tcW w:type="dxa" w:w="39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D3 expanded (DPROT-08)</w:t>
            </w:r>
          </w:p>
        </w:tc>
      </w:tr>
      <w:tr>
        <w:tc>
          <w:tcPr>
            <w:tcW w:type="dxa" w:w="1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GAP-07</w:t>
            </w:r>
          </w:p>
        </w:tc>
        <w:tc>
          <w:tcPr>
            <w:tcW w:type="dxa" w:w="3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Secure Admin Workstation (SAW/PAW) — missing</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HIGH</w:t>
            </w:r>
          </w:p>
        </w:tc>
        <w:tc>
          <w:tcPr>
            <w:tcW w:type="dxa" w:w="39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D1 expanded (IAA-08) + D2 (HARD-08)</w:t>
            </w:r>
          </w:p>
        </w:tc>
      </w:tr>
      <w:tr>
        <w:tc>
          <w:tcPr>
            <w:tcW w:type="dxa" w:w="1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GAP-08</w:t>
            </w:r>
          </w:p>
        </w:tc>
        <w:tc>
          <w:tcPr>
            <w:tcW w:type="dxa" w:w="3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Detection Engineering Lifecycle — missing</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HIGH</w:t>
            </w:r>
          </w:p>
        </w:tc>
        <w:tc>
          <w:tcPr>
            <w:tcW w:type="dxa" w:w="39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D4 expanded (LOG-07) + KPIs</w:t>
            </w:r>
          </w:p>
        </w:tc>
      </w:tr>
      <w:tr>
        <w:tc>
          <w:tcPr>
            <w:tcW w:type="dxa" w:w="1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GAP-09</w:t>
            </w:r>
          </w:p>
        </w:tc>
        <w:tc>
          <w:tcPr>
            <w:tcW w:type="dxa" w:w="3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Hypervisor &amp; Virtualisation Security — missing</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HIGH</w:t>
            </w:r>
          </w:p>
        </w:tc>
        <w:tc>
          <w:tcPr>
            <w:tcW w:type="dxa" w:w="39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D2 expanded (HARD-09)</w:t>
            </w:r>
          </w:p>
        </w:tc>
      </w:tr>
      <w:tr>
        <w:tc>
          <w:tcPr>
            <w:tcW w:type="dxa" w:w="1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GAP-10</w:t>
            </w:r>
          </w:p>
        </w:tc>
        <w:tc>
          <w:tcPr>
            <w:tcW w:type="dxa" w:w="3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Resilience of Security Controls — missing</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HIGH</w:t>
            </w:r>
          </w:p>
        </w:tc>
        <w:tc>
          <w:tcPr>
            <w:tcW w:type="dxa" w:w="39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D10 + D5 (RT-05)</w:t>
            </w:r>
          </w:p>
        </w:tc>
      </w:tr>
      <w:tr>
        <w:tc>
          <w:tcPr>
            <w:tcW w:type="dxa" w:w="1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GAP-11</w:t>
            </w:r>
          </w:p>
        </w:tc>
        <w:tc>
          <w:tcPr>
            <w:tcW w:type="dxa" w:w="3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Non-Human / Machine Identity — underspecified</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MEDIUM</w:t>
            </w:r>
          </w:p>
        </w:tc>
        <w:tc>
          <w:tcPr>
            <w:tcW w:type="dxa" w:w="39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D1 expanded (IAA-09)</w:t>
            </w:r>
          </w:p>
        </w:tc>
      </w:tr>
      <w:tr>
        <w:tc>
          <w:tcPr>
            <w:tcW w:type="dxa" w:w="1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GAP-12</w:t>
            </w:r>
          </w:p>
        </w:tc>
        <w:tc>
          <w:tcPr>
            <w:tcW w:type="dxa" w:w="3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Privacy &amp; Data Sovereignty — absent</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MEDIUM</w:t>
            </w:r>
          </w:p>
        </w:tc>
        <w:tc>
          <w:tcPr>
            <w:tcW w:type="dxa" w:w="39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D3 expanded (DPROT-09), D4 (LOG-08)</w:t>
            </w:r>
          </w:p>
        </w:tc>
      </w:tr>
      <w:tr>
        <w:tc>
          <w:tcPr>
            <w:tcW w:type="dxa" w:w="1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GAP-13</w:t>
            </w:r>
          </w:p>
        </w:tc>
        <w:tc>
          <w:tcPr>
            <w:tcW w:type="dxa" w:w="3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Security Debt &amp; EoL OS Management — missing</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MEDIUM</w:t>
            </w:r>
          </w:p>
        </w:tc>
        <w:tc>
          <w:tcPr>
            <w:tcW w:type="dxa" w:w="39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D8 expanded (GOV-06)</w:t>
            </w:r>
          </w:p>
        </w:tc>
      </w:tr>
      <w:tr>
        <w:tc>
          <w:tcPr>
            <w:tcW w:type="dxa" w:w="1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GAP-14</w:t>
            </w:r>
          </w:p>
        </w:tc>
        <w:tc>
          <w:tcPr>
            <w:tcW w:type="dxa" w:w="3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SOAR &amp; Automated Response — not addressed</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MEDIUM</w:t>
            </w:r>
          </w:p>
        </w:tc>
        <w:tc>
          <w:tcPr>
            <w:tcW w:type="dxa" w:w="39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D11 + D4 expanded</w:t>
            </w:r>
          </w:p>
        </w:tc>
      </w:tr>
      <w:tr>
        <w:tc>
          <w:tcPr>
            <w:tcW w:type="dxa" w:w="1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GAP-15</w:t>
            </w:r>
          </w:p>
        </w:tc>
        <w:tc>
          <w:tcPr>
            <w:tcW w:type="dxa" w:w="3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Physical Security Intersection — missing</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MEDIUM</w:t>
            </w:r>
          </w:p>
        </w:tc>
        <w:tc>
          <w:tcPr>
            <w:tcW w:type="dxa" w:w="39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New Appendix C; D2 (HARD-10)</w:t>
            </w:r>
          </w:p>
        </w:tc>
      </w:tr>
    </w:tbl>
    <w:p>
      <w:pPr>
        <w:spacing w:before="160" w:after="0"/>
      </w:pPr>
      <w:r>
        <w:t xml:space="preserve"/>
      </w:r>
    </w:p>
    <w:p>
      <w:pPr>
        <w:pStyle w:val="Heading1"/>
        <w:spacing w:before="400" w:after="160"/>
      </w:pPr>
      <w:r>
        <w:rPr>
          <w:rFonts w:ascii="Calibri" w:cs="Calibri" w:eastAsia="Calibri" w:hAnsi="Calibri"/>
          <w:b/>
          <w:bCs/>
          <w:color w:val="0D1B2A"/>
          <w:sz w:val="36"/>
          <w:szCs w:val="36"/>
        </w:rPr>
        <w:t xml:space="preserve">Executive Summary</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Modern enterprise infrastructure demands more than point-in-time security controls applied to individual systems. This framework — now at version 3.0 — defines the OS Platform Security Architecture: a comprehensive, OS-agnostic control plane governing all Unix/Linux and Windows systems across the enterprise. It provides the authoritative baseline from which all subordinate security standards, operational procedures, and compliance artefacts are derived.</w:t>
      </w:r>
    </w:p>
    <w:p>
      <w:pPr>
        <w:spacing w:before="80" w:after="0"/>
      </w:pPr>
      <w:r>
        <w:t xml:space="preserve"/>
      </w:r>
    </w:p>
    <w:p>
      <w:pPr>
        <w:spacing w:before="60" w:after="80"/>
      </w:pPr>
      <w:r>
        <w:rPr>
          <w:rFonts w:ascii="Calibri" w:cs="Calibri" w:eastAsia="Calibri" w:hAnsi="Calibri"/>
          <w:color w:val="1A2233"/>
          <w:sz w:val="22"/>
          <w:szCs w:val="22"/>
        </w:rPr>
        <w:t xml:space="preserve">Version 3.0 addresses fifteen architectural gaps identified in the v2.0 independent assessment. Three new control domains have been added: D9 (Supply Chain Security), D10 (Operational Resilience &amp; Business Continuity), and D11 (Incident Response Integration). Existing domains have been extended with 18 new controls covering data classification, cryptographic agility, post-quantum readiness, secure admin workstations, detection engineering, virtualisation security, machine identity, privacy controls, and security debt management.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94" w:sz="8"/>
              <w:left w:val="single" w:color="00A8E8" w:sz="24"/>
              <w:bottom w:val="single" w:color="1E5F94" w:sz="4"/>
              <w:right w:val="nil"/>
            </w:tcBorders>
            <w:shd w:fill="E8EDF5" w:val="clear"/>
            <w:tcMar>
              <w:top w:type="dxa" w:w="120"/>
              <w:left w:type="dxa" w:w="240"/>
              <w:bottom w:type="dxa" w:w="120"/>
              <w:right w:type="dxa" w:w="120"/>
            </w:tcMar>
          </w:tcPr>
          <w:p>
            <w:pPr>
              <w:spacing w:before="0" w:after="40"/>
            </w:pPr>
            <w:r>
              <w:rPr>
                <w:rFonts w:ascii="Calibri" w:cs="Calibri" w:eastAsia="Calibri" w:hAnsi="Calibri"/>
                <w:b/>
                <w:bCs/>
                <w:color w:val="1E5F94"/>
                <w:sz w:val="20"/>
                <w:szCs w:val="20"/>
              </w:rPr>
              <w:t xml:space="preserve">DESIGN PHILOSOPHY</w:t>
            </w:r>
          </w:p>
          <w:p>
            <w:pPr>
              <w:spacing w:before="0" w:after="0"/>
            </w:pPr>
            <w:r>
              <w:rPr>
                <w:rFonts w:ascii="Calibri" w:cs="Calibri" w:eastAsia="Calibri" w:hAnsi="Calibri"/>
                <w:color w:val="1A2233"/>
                <w:sz w:val="20"/>
                <w:szCs w:val="20"/>
              </w:rPr>
              <w:t xml:space="preserve">This framework treats security as a platform capability, not a product overlay. Controls are designed to be baked into operating system images, enforced through policy-as-code, and verified continuously. Version 3.0 extends this with a resilience posture: security controls must themselves be resilient, recovery capability must be verified, and supply chain integrity must be proven — not assumed.</w:t>
            </w:r>
          </w:p>
        </w:tc>
      </w:tr>
    </w:tbl>
    <w:p>
      <w:pPr>
        <w:spacing w:before="80" w:after="0"/>
      </w:pPr>
      <w:r>
        <w:t xml:space="preserve"/>
      </w:r>
    </w:p>
    <w:p>
      <w:pPr>
        <w:spacing w:before="60" w:after="80"/>
      </w:pPr>
      <w:r>
        <w:rPr>
          <w:rFonts w:ascii="Calibri" w:cs="Calibri" w:eastAsia="Calibri" w:hAnsi="Calibri"/>
          <w:color w:val="1A2233"/>
          <w:sz w:val="22"/>
          <w:szCs w:val="22"/>
        </w:rPr>
        <w:t xml:space="preserve">The framework now maps to: CIS Controls v8, NIST SP 800-53 r5, NIST SP 800-61 (Incident Response), NIST SP 800-34 (BCDR), ISO/IEC 27001:2022, ISO 22301 (BCDR), PCI-DSS v4.0, SOX ITGC, MITRE ATT&amp;CK v14, SLSA v1.0 (Supply Chain), and NIST Post-Quantum Cryptography Standards (FIPS 203/204/205).</w:t>
      </w:r>
    </w:p>
    <w:p>
      <w:pPr>
        <w:pStyle w:val="Heading1"/>
        <w:spacing w:before="400" w:after="160"/>
      </w:pPr>
      <w:r>
        <w:rPr>
          <w:rFonts w:ascii="Calibri" w:cs="Calibri" w:eastAsia="Calibri" w:hAnsi="Calibri"/>
          <w:b/>
          <w:bCs/>
          <w:color w:val="0D1B2A"/>
          <w:sz w:val="36"/>
          <w:szCs w:val="36"/>
        </w:rPr>
        <w:t xml:space="preserve">1. Scope and Applicability</w:t>
      </w:r>
    </w:p>
    <w:p>
      <w:pPr>
        <w:pBdr>
          <w:bottom w:val="single" w:color="1E5F94" w:sz="8" w:space="1"/>
        </w:pBdr>
        <w:spacing w:before="40" w:after="40"/>
      </w:pPr>
      <w:r>
        <w:t xml:space="preserve"/>
      </w:r>
    </w:p>
    <w:p>
      <w:pPr>
        <w:pStyle w:val="Heading3"/>
        <w:spacing w:before="200" w:after="80"/>
      </w:pPr>
      <w:r>
        <w:rPr>
          <w:rFonts w:ascii="Calibri" w:cs="Calibri" w:eastAsia="Calibri" w:hAnsi="Calibri"/>
          <w:b/>
          <w:bCs/>
          <w:color w:val="1E5F94"/>
          <w:sz w:val="24"/>
          <w:szCs w:val="24"/>
        </w:rPr>
        <w:t xml:space="preserve">1.1 In-Scope Platforms</w:t>
      </w:r>
    </w:p>
    <w:p>
      <w:pPr>
        <w:spacing w:before="60" w:after="80"/>
      </w:pPr>
      <w:r>
        <w:rPr>
          <w:rFonts w:ascii="Calibri" w:cs="Calibri" w:eastAsia="Calibri" w:hAnsi="Calibri"/>
          <w:color w:val="1A2233"/>
          <w:sz w:val="22"/>
          <w:szCs w:val="22"/>
        </w:rPr>
        <w:t xml:space="preserve">This framework applies to all enterprise-managed operating system instances regardless of deployment model:</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Unix/Linux: Red Hat Enterprise Linux (RHEL), CentOS Stream, Ubuntu Server LTS, Debian, SUSE Linux Enterprise, Amazon Linux 2/2023, AIX, and Solaris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Windows: Windows Server 2019, 2022, and future LTS releases; Windows 10/11 enterprise endpoints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Containerised OS layers: Where containers run on managed hosts, the host OS falls under this framework</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Cloud-hosted instances: EC2, Azure VMs, GCP Compute — OS-layer controls are in scope; cloud management plane covered by Cloud Security Framework</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Hypervisor hosts: VMware ESXi, Hyper-V, KVM — hypervisor security is now explicitly in scope (v3.0, GAP-09)</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Secure Admin Workstations (SAW/PAW): Dedicated administrative terminals are in scope for elevated hardening (v3.0, GAP-07)</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1.2 Out of Scope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Network device operating systems (NX-OS, IOS-XE, JunOS)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Mobile operating systems (iOS, Android)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Operational Technology (OT) and Industrial Control Systems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Cloud management plane (covered by Cloud Security Framework)</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1.3 Audience and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58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Relationship to This Framework</w:t>
            </w:r>
          </w:p>
        </w:tc>
      </w:tr>
      <w:tr>
        <w:tc>
          <w:tcPr>
            <w:tcW w:type="dxa" w:w="3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CISO / VP Security Architecture</w:t>
            </w:r>
          </w:p>
        </w:tc>
        <w:tc>
          <w:tcPr>
            <w:tcW w:type="dxa" w:w="58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Framework owner and approver</w:t>
            </w:r>
          </w:p>
        </w:tc>
      </w:tr>
      <w:tr>
        <w:tc>
          <w:tcPr>
            <w:tcW w:type="dxa" w:w="3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Architects</w:t>
            </w:r>
          </w:p>
        </w:tc>
        <w:tc>
          <w:tcPr>
            <w:tcW w:type="dxa" w:w="58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Domain standard authorship and review</w:t>
            </w:r>
          </w:p>
        </w:tc>
      </w:tr>
      <w:tr>
        <w:tc>
          <w:tcPr>
            <w:tcW w:type="dxa" w:w="3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Platform / Infra Engineering</w:t>
            </w:r>
          </w:p>
        </w:tc>
        <w:tc>
          <w:tcPr>
            <w:tcW w:type="dxa" w:w="58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Implementation and operationalisation</w:t>
            </w:r>
          </w:p>
        </w:tc>
      </w:tr>
      <w:tr>
        <w:tc>
          <w:tcPr>
            <w:tcW w:type="dxa" w:w="3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Identity Engineering</w:t>
            </w:r>
          </w:p>
        </w:tc>
        <w:tc>
          <w:tcPr>
            <w:tcW w:type="dxa" w:w="58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Domain 1 (IAA) implementation</w:t>
            </w:r>
          </w:p>
        </w:tc>
      </w:tr>
      <w:tr>
        <w:tc>
          <w:tcPr>
            <w:tcW w:type="dxa" w:w="3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SOC / Security Operations</w:t>
            </w:r>
          </w:p>
        </w:tc>
        <w:tc>
          <w:tcPr>
            <w:tcW w:type="dxa" w:w="58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Domains 4, 5, 8, 11 operational ownership</w:t>
            </w:r>
          </w:p>
        </w:tc>
      </w:tr>
      <w:tr>
        <w:tc>
          <w:tcPr>
            <w:tcW w:type="dxa" w:w="3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GRC / Compliance</w:t>
            </w:r>
          </w:p>
        </w:tc>
        <w:tc>
          <w:tcPr>
            <w:tcW w:type="dxa" w:w="58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Regulatory mapping and audit evidence</w:t>
            </w:r>
          </w:p>
        </w:tc>
      </w:tr>
      <w:tr>
        <w:tc>
          <w:tcPr>
            <w:tcW w:type="dxa" w:w="3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Development / DevSecOps</w:t>
            </w:r>
          </w:p>
        </w:tc>
        <w:tc>
          <w:tcPr>
            <w:tcW w:type="dxa" w:w="58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D3, D9 standards in CI/CD pipelines</w:t>
            </w:r>
          </w:p>
        </w:tc>
      </w:tr>
      <w:tr>
        <w:tc>
          <w:tcPr>
            <w:tcW w:type="dxa" w:w="3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Business Continuity Team</w:t>
            </w:r>
          </w:p>
        </w:tc>
        <w:tc>
          <w:tcPr>
            <w:tcW w:type="dxa" w:w="58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Domain 10 (BCDR) co-ownership</w:t>
            </w:r>
          </w:p>
        </w:tc>
      </w:tr>
      <w:tr>
        <w:tc>
          <w:tcPr>
            <w:tcW w:type="dxa" w:w="3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TPRM / Vendor Risk</w:t>
            </w:r>
          </w:p>
        </w:tc>
        <w:tc>
          <w:tcPr>
            <w:tcW w:type="dxa" w:w="58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Domain 9 supply chain controls co-ownership</w:t>
            </w:r>
          </w:p>
        </w:tc>
      </w:tr>
    </w:tbl>
    <w:p>
      <w:pPr>
        <w:pStyle w:val="Heading1"/>
        <w:spacing w:before="400" w:after="160"/>
      </w:pPr>
      <w:r>
        <w:rPr>
          <w:rFonts w:ascii="Calibri" w:cs="Calibri" w:eastAsia="Calibri" w:hAnsi="Calibri"/>
          <w:b/>
          <w:bCs/>
          <w:color w:val="0D1B2A"/>
          <w:sz w:val="36"/>
          <w:szCs w:val="36"/>
        </w:rPr>
        <w:t xml:space="preserve">2. Foundational Design Principles</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The following principles are non-negotiable architectural requirements. Any proposed exception must be reviewed against each before approval.</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2.1  Secure by Design, Not by Remediation</w:t>
      </w:r>
    </w:p>
    <w:p>
      <w:pPr>
        <w:spacing w:before="60" w:after="80"/>
      </w:pPr>
      <w:r>
        <w:rPr>
          <w:rFonts w:ascii="Calibri" w:cs="Calibri" w:eastAsia="Calibri" w:hAnsi="Calibri"/>
          <w:color w:val="1A2233"/>
          <w:sz w:val="22"/>
          <w:szCs w:val="22"/>
        </w:rPr>
        <w:t xml:space="preserve">Security controls are built into base OS images during construction. Every hardening control, mandatory agent, and security configuration is encoded in the Packer image pipeline. Runtime tools enforce state; they do not compensate for a weak baseline.</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2.2  Zero Trust — No Implicit Trust in the OS Layer</w:t>
      </w:r>
    </w:p>
    <w:p>
      <w:pPr>
        <w:spacing w:before="60" w:after="80"/>
      </w:pPr>
      <w:r>
        <w:rPr>
          <w:rFonts w:ascii="Calibri" w:cs="Calibri" w:eastAsia="Calibri" w:hAnsi="Calibri"/>
          <w:color w:val="1A2233"/>
          <w:sz w:val="22"/>
          <w:szCs w:val="22"/>
        </w:rPr>
        <w:t xml:space="preserve">Trust must be established cryptographically and continuously. No implicit trust based on network segment, IP address, or prior authentication. Every process is unprivileged by default; privilege is explicitly granted and time-bounded. Kernel integrity is verified at boot.</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2.3  Immutable and Declarative State</w:t>
      </w:r>
    </w:p>
    <w:p>
      <w:pPr>
        <w:spacing w:before="60" w:after="80"/>
      </w:pPr>
      <w:r>
        <w:rPr>
          <w:rFonts w:ascii="Calibri" w:cs="Calibri" w:eastAsia="Calibri" w:hAnsi="Calibri"/>
          <w:color w:val="1A2233"/>
          <w:sz w:val="22"/>
          <w:szCs w:val="22"/>
        </w:rPr>
        <w:t xml:space="preserve">Systems are defined by code, not by history. Drift from declared state is a security event. All configuration is version-controlled, peer-reviewed, and deployed through automated pipelines. Manual changes are prohibited outside break-glass procedures.</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2.4  Policy-as-Code — Testable, Auditable, Versionable</w:t>
      </w:r>
    </w:p>
    <w:p>
      <w:pPr>
        <w:spacing w:before="60" w:after="80"/>
      </w:pPr>
      <w:r>
        <w:rPr>
          <w:rFonts w:ascii="Calibri" w:cs="Calibri" w:eastAsia="Calibri" w:hAnsi="Calibri"/>
          <w:color w:val="1A2233"/>
          <w:sz w:val="22"/>
          <w:szCs w:val="22"/>
        </w:rPr>
        <w:t xml:space="preserve">Every control must have a machine-readable expression that returns a pass/fail result. Policies are stored in version control, changes require code review, and results feed compliance dashboards. A control that cannot be tested programmatically is not a control.</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2.5  Least Privilege — Everywhere, Always</w:t>
      </w:r>
    </w:p>
    <w:p>
      <w:pPr>
        <w:spacing w:before="60" w:after="80"/>
      </w:pPr>
      <w:r>
        <w:rPr>
          <w:rFonts w:ascii="Calibri" w:cs="Calibri" w:eastAsia="Calibri" w:hAnsi="Calibri"/>
          <w:color w:val="1A2233"/>
          <w:sz w:val="22"/>
          <w:szCs w:val="22"/>
        </w:rPr>
        <w:t xml:space="preserve">Least privilege applies to human identities, service accounts, machine identities, processes, network flows, and filesystem permissions. The attack surface expands linearly with unnecessary privilege.</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2.6  Continuous Verification — Not Point-in-Time Compliance</w:t>
      </w:r>
    </w:p>
    <w:p>
      <w:pPr>
        <w:spacing w:before="60" w:after="80"/>
      </w:pPr>
      <w:r>
        <w:rPr>
          <w:rFonts w:ascii="Calibri" w:cs="Calibri" w:eastAsia="Calibri" w:hAnsi="Calibri"/>
          <w:color w:val="1A2233"/>
          <w:sz w:val="22"/>
          <w:szCs w:val="22"/>
        </w:rPr>
        <w:t xml:space="preserve">Compliance posture is measured in real time. Drift triggers automated detection and remediation within defined SLAs. The question 'are we compliant?' is answered by a live dashboard.</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2.7  Defence in Depth — Layered, Overlapping Controls</w:t>
      </w:r>
    </w:p>
    <w:p>
      <w:pPr>
        <w:spacing w:before="60" w:after="80"/>
      </w:pPr>
      <w:r>
        <w:rPr>
          <w:rFonts w:ascii="Calibri" w:cs="Calibri" w:eastAsia="Calibri" w:hAnsi="Calibri"/>
          <w:color w:val="1A2233"/>
          <w:sz w:val="22"/>
          <w:szCs w:val="22"/>
        </w:rPr>
        <w:t xml:space="preserve">No single control is assumed infallible. Domains are designed with overlapping detection and prevention capabilities. The failure of one control must not create an exploitable gap.</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2.8  Kernel as the Last Honest Reporter</w:t>
      </w:r>
    </w:p>
    <w:p>
      <w:pPr>
        <w:spacing w:before="60" w:after="80"/>
      </w:pPr>
      <w:r>
        <w:rPr>
          <w:rFonts w:ascii="Calibri" w:cs="Calibri" w:eastAsia="Calibri" w:hAnsi="Calibri"/>
          <w:color w:val="1A2233"/>
          <w:sz w:val="22"/>
          <w:szCs w:val="22"/>
        </w:rPr>
        <w:t xml:space="preserve">Controls relying solely on user-space agents are insufficient against sophisticated adversaries. Kernel-level integrity mechanisms (Secure Boot, TPM attestation, kernel module signing, eBPF) are foundational trust anchors — not optional enhancements.</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2.9  Resilience by Design (v3.0 — NEW)</w:t>
      </w:r>
    </w:p>
    <w:p>
      <w:pPr>
        <w:spacing w:before="60" w:after="80"/>
      </w:pPr>
      <w:r>
        <w:rPr>
          <w:rFonts w:ascii="Calibri" w:cs="Calibri" w:eastAsia="Calibri" w:hAnsi="Calibri"/>
          <w:color w:val="1A2233"/>
          <w:sz w:val="22"/>
          <w:szCs w:val="22"/>
        </w:rPr>
        <w:t xml:space="preserve">Security controls must themselves be resilient. A security architecture that creates a single point of failure is not secure — it is a liability. This principle requires that every critical security control has a defined HA posture, a tested failover procedure, and a documented break-glass capability. The PAM platform, central IdP, and SIEM are themselves Tier 0 assets subject to the highest availability requirements.</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2.10  Supply Chain Integrity — Trust Nothing, Verify Everything (v3.0 — NEW)</w:t>
      </w:r>
    </w:p>
    <w:p>
      <w:pPr>
        <w:spacing w:before="60" w:after="80"/>
      </w:pPr>
      <w:r>
        <w:rPr>
          <w:rFonts w:ascii="Calibri" w:cs="Calibri" w:eastAsia="Calibri" w:hAnsi="Calibri"/>
          <w:color w:val="1A2233"/>
          <w:sz w:val="22"/>
          <w:szCs w:val="22"/>
        </w:rPr>
        <w:t xml:space="preserve">Every component that enters the OS build pipeline — packages, agents, signing keys, base images — must have verifiable provenance. Trust in the supply chain is earned through cryptographic attestation and continuous verification, not through vendor reputation or historical practice. SBOM generation, build provenance, and software composition analysis are not Phase 4 aspirations; they are baseline requirements.</w:t>
      </w:r>
    </w:p>
    <w:p>
      <w:pPr>
        <w:pStyle w:val="Heading1"/>
        <w:spacing w:before="400" w:after="160"/>
      </w:pPr>
      <w:r>
        <w:rPr>
          <w:rFonts w:ascii="Calibri" w:cs="Calibri" w:eastAsia="Calibri" w:hAnsi="Calibri"/>
          <w:b/>
          <w:bCs/>
          <w:color w:val="0D1B2A"/>
          <w:sz w:val="36"/>
          <w:szCs w:val="36"/>
        </w:rPr>
        <w:t xml:space="preserve">3. Threat Model</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The framework's control design is grounded in a structured threat model. Version 3.0 adds three new threat categories to address supply chain, resilience, and virtualisation threats identified in the gap assessment.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Threat Category</w:t>
            </w:r>
          </w:p>
        </w:tc>
        <w:tc>
          <w:tcPr>
            <w:tcW w:type="dxa" w:w="28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Primary Attack Vectors</w:t>
            </w:r>
          </w:p>
        </w:tc>
        <w:tc>
          <w:tcPr>
            <w:tcW w:type="dxa" w:w="16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Domains Mitigating</w:t>
            </w:r>
          </w:p>
        </w:tc>
        <w:tc>
          <w:tcPr>
            <w:tcW w:type="dxa" w:w="27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Reference (MITRE ATT&amp;CK)</w:t>
            </w:r>
          </w:p>
        </w:tc>
      </w:tr>
      <w:tr>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Credential theft &amp; misuse</w:t>
            </w:r>
          </w:p>
        </w:tc>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Password spray, pass-the-hash, token theft, Kerberoasting</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D1, D4, D5</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T1110, T1550, T1558</w:t>
            </w:r>
          </w:p>
        </w:tc>
      </w:tr>
      <w:tr>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Privilege escalation</w:t>
            </w:r>
          </w:p>
        </w:tc>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SUID abuse, DLL hijack, kernel exploits, Token manipulation</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 D2, D5</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T1068, T1134, T1548</w:t>
            </w:r>
          </w:p>
        </w:tc>
      </w:tr>
      <w:tr>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Persistence mechanisms</w:t>
            </w:r>
          </w:p>
        </w:tc>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Backdoors, rootkits, scheduled tasks, Registry run keys</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D2, D4, D5, D8</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T1053, T1543, T1547</w:t>
            </w:r>
          </w:p>
        </w:tc>
      </w:tr>
      <w:tr>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Lateral movement</w:t>
            </w:r>
          </w:p>
        </w:tc>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Pass-the-ticket, SMB relay, RDP hijack, WMI</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 D4, D7</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T1021, T1534, T1570</w:t>
            </w:r>
          </w:p>
        </w:tc>
      </w:tr>
      <w:tr>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Data exfiltration</w:t>
            </w:r>
          </w:p>
        </w:tc>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Encrypted C2, DNS tunnelling, removable media</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D3, D4, D7</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T1048, T1052, T1567</w:t>
            </w:r>
          </w:p>
        </w:tc>
      </w:tr>
      <w:tr>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Supply chain compromise</w:t>
            </w:r>
          </w:p>
        </w:tc>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Malicious packages, trojanised builds, dependency confusion, poisoned repos</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D2, D5, D6, D9</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T1195, T1554, T1601</w:t>
            </w:r>
          </w:p>
        </w:tc>
      </w:tr>
      <w:tr>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Firmware / pre-OS attacks</w:t>
            </w:r>
          </w:p>
        </w:tc>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UEFI implants, BootKit, MBR rootkits</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D2, D5</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T1542, T1495</w:t>
            </w:r>
          </w:p>
        </w:tc>
      </w:tr>
      <w:tr>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Configuration drift exploitation</w:t>
            </w:r>
          </w:p>
        </w:tc>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CIS gap, stale service accounts, open ports</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D2, D6, D7, D8</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T1590, T1046, T1078</w:t>
            </w:r>
          </w:p>
        </w:tc>
      </w:tr>
      <w:tr>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Insider threat &amp; abuse</w:t>
            </w:r>
          </w:p>
        </w:tc>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Privileged misuse, data staging, audit suppression</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D1, D4, D8, D11</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T1078, T1070, T1560</w:t>
            </w:r>
          </w:p>
        </w:tc>
      </w:tr>
      <w:tr>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VM escape &amp; hypervisor attack (NEW)</w:t>
            </w:r>
          </w:p>
        </w:tc>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VM escape, vMotion interception, hypervisor rootkit</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D2, D5, D7</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T1611, T1068</w:t>
            </w:r>
          </w:p>
        </w:tc>
      </w:tr>
      <w:tr>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Security control disruption (NEW)</w:t>
            </w:r>
          </w:p>
        </w:tc>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Killing EDR/AV, disabling auditd, tampering log agents</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D4, D5, D10, D11</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T1562, T1070</w:t>
            </w:r>
          </w:p>
        </w:tc>
      </w:tr>
      <w:tr>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Machine identity abuse (NEW)</w:t>
            </w:r>
          </w:p>
        </w:tc>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IMDS credential theft, workload cert theft, lateral via mTLS</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 D3, D7</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T1552.005, T1550</w:t>
            </w:r>
          </w:p>
        </w:tc>
      </w:tr>
    </w:tbl>
    <w:p>
      <w:pPr>
        <w:pStyle w:val="Heading1"/>
        <w:spacing w:before="400" w:after="160"/>
      </w:pPr>
      <w:r>
        <w:rPr>
          <w:rFonts w:ascii="Calibri" w:cs="Calibri" w:eastAsia="Calibri" w:hAnsi="Calibri"/>
          <w:b/>
          <w:bCs/>
          <w:color w:val="0D1B2A"/>
          <w:sz w:val="36"/>
          <w:szCs w:val="36"/>
        </w:rPr>
        <w:t xml:space="preserve">4. Architecture Overview — The Control Plane Model</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Version 3.0 extends the architecture to six horizontal layers, adding a dedicated Supply Chain &amp; Build Integrity layer positioned before the OS Platform layer. This reflects the fundamental insight that a compromised build pipeline can undermine every control deployed above it.</w:t>
      </w:r>
    </w:p>
    <w:p>
      <w:pPr>
        <w:spacing w:before="80" w:after="0"/>
      </w:pPr>
      <w:r>
        <w:t xml:space="preserve"/>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Supply Chain &amp; Build Layer (NEW): All OS components, packages, and build artefacts are verified for provenance before entering the control plane. This layer is the trust root for the entire architecture.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Identity Layer: All access decisions flow through the central IdP. Now extended to include machine identities and workload credentials.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OS Platform Layer: Unix and Windows systems — now including hypervisor hosts and SAW/PAW devices.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Control Plane Layer: Eleven control domains (three new in v3.0) defining the complete security surface.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Observability Layer: Centralised telemetry, now with detection engineering lifecycle and SOAR integration.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Governance &amp; Resilience Layer: Continuous compliance, BCDR, incident response, and vendor risk — all now mandatory.</w:t>
      </w:r>
    </w:p>
    <w:p>
      <w:pPr>
        <w:pStyle w:val="Heading1"/>
        <w:spacing w:before="400" w:after="160"/>
      </w:pPr>
      <w:r>
        <w:rPr>
          <w:rFonts w:ascii="Calibri" w:cs="Calibri" w:eastAsia="Calibri" w:hAnsi="Calibri"/>
          <w:b/>
          <w:bCs/>
          <w:color w:val="0D1B2A"/>
          <w:sz w:val="36"/>
          <w:szCs w:val="36"/>
        </w:rPr>
        <w:t xml:space="preserve">5. Control Domains</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Version 3.0 defines eleven control domains. Domains D1 through D8 are carried forward from v2.0 with targeted expansions addressing the identified gaps. Domains D9, D10, and D11 are new. Each domain expansion is marked [v3.0 ADDITION].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B3A6B"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D1</w:t>
            </w:r>
          </w:p>
          <w:p>
            <w:pPr>
              <w:jc w:val="center"/>
            </w:pPr>
            <w:r>
              <w:rPr>
                <w:rFonts w:ascii="Calibri" w:cs="Calibri" w:eastAsia="Calibri" w:hAnsi="Calibri"/>
                <w:color w:val="00A8E8"/>
                <w:sz w:val="16"/>
                <w:szCs w:val="16"/>
              </w:rPr>
              <w:t xml:space="preserve">DOMAIN</w:t>
            </w:r>
          </w:p>
        </w:tc>
        <w:tc>
          <w:tcPr>
            <w:tcW w:type="dxa" w:w="8160"/>
            <w:tcBorders>
              <w:top w:val="nil"/>
              <w:left w:val="nil"/>
              <w:bottom w:val="nil"/>
              <w:right w:val="nil"/>
            </w:tcBorders>
            <w:shd w:fill="0D1B2A"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Identity, Authentication &amp; Authorisation (IAA)</w:t>
            </w:r>
          </w:p>
          <w:p>
            <w:pPr>
              <w:spacing w:before="40"/>
            </w:pPr>
            <w:r>
              <w:rPr>
                <w:rFonts w:ascii="Calibri" w:cs="Calibri" w:eastAsia="Calibri" w:hAnsi="Calibri"/>
                <w:color w:val="00A8E8"/>
                <w:sz w:val="20"/>
                <w:szCs w:val="20"/>
              </w:rPr>
              <w:t xml:space="preserve">Trust foundation — zero standing privilege — now includes machine identity and SAW</w:t>
            </w:r>
          </w:p>
        </w:tc>
      </w:tr>
    </w:tbl>
    <w:p>
      <w:pPr>
        <w:spacing w:before="80" w:after="0"/>
      </w:pPr>
      <w:r>
        <w:t xml:space="preserve"/>
      </w:r>
    </w:p>
    <w:p>
      <w:pPr>
        <w:pStyle w:val="Heading3"/>
        <w:spacing w:before="200" w:after="80"/>
      </w:pPr>
      <w:r>
        <w:rPr>
          <w:rFonts w:ascii="Calibri" w:cs="Calibri" w:eastAsia="Calibri" w:hAnsi="Calibri"/>
          <w:b/>
          <w:bCs/>
          <w:color w:val="1E5F94"/>
          <w:sz w:val="24"/>
          <w:szCs w:val="24"/>
        </w:rPr>
        <w:t xml:space="preserve">Objective</w:t>
      </w:r>
    </w:p>
    <w:p>
      <w:pPr>
        <w:spacing w:before="60" w:after="80"/>
      </w:pPr>
      <w:r>
        <w:rPr>
          <w:rFonts w:ascii="Calibri" w:cs="Calibri" w:eastAsia="Calibri" w:hAnsi="Calibri"/>
          <w:color w:val="1A2233"/>
          <w:sz w:val="22"/>
          <w:szCs w:val="22"/>
        </w:rPr>
        <w:t xml:space="preserve">Establish and enforce a single, consistent identity and access control model across all Unix, Windows, hypervisor, and administrative platforms. Eliminate local identity silos. Enforce strong authentication everywhere — including machine-to-machine. Ensure privilege is granted on a need-to-know, time-limited basis with full auditability.</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Required Controls (existing)</w:t>
      </w:r>
    </w:p>
    <w:p>
      <w:pPr>
        <w:spacing w:before="160" w:after="60"/>
      </w:pPr>
      <w:r>
        <w:rPr>
          <w:rFonts w:ascii="Calibri" w:cs="Calibri" w:eastAsia="Calibri" w:hAnsi="Calibri"/>
          <w:b/>
          <w:bCs/>
          <w:color w:val="2D4059"/>
          <w:sz w:val="22"/>
          <w:szCs w:val="22"/>
        </w:rPr>
        <w:t xml:space="preserve">IAA-01  Centralised Identity Provider</w:t>
      </w:r>
    </w:p>
    <w:p>
      <w:pPr>
        <w:spacing w:before="60" w:after="80"/>
      </w:pPr>
      <w:r>
        <w:rPr>
          <w:rFonts w:ascii="Calibri" w:cs="Calibri" w:eastAsia="Calibri" w:hAnsi="Calibri"/>
          <w:color w:val="1A2233"/>
          <w:sz w:val="22"/>
          <w:szCs w:val="22"/>
        </w:rPr>
        <w:t xml:space="preserve">All user and service account authentication federated through the enterprise IdP. Local accounts permissible only as break-glass accounts with vault-managed credentials. Unix: SSSD with Kerberos. Windows: AD/AAD-joined with LAPS v2.</w:t>
      </w:r>
    </w:p>
    <w:p>
      <w:pPr>
        <w:spacing w:before="160" w:after="60"/>
      </w:pPr>
      <w:r>
        <w:rPr>
          <w:rFonts w:ascii="Calibri" w:cs="Calibri" w:eastAsia="Calibri" w:hAnsi="Calibri"/>
          <w:b/>
          <w:bCs/>
          <w:color w:val="2D4059"/>
          <w:sz w:val="22"/>
          <w:szCs w:val="22"/>
        </w:rPr>
        <w:t xml:space="preserve">IAA-02  Multi-Factor Authentication</w:t>
      </w:r>
    </w:p>
    <w:p>
      <w:pPr>
        <w:spacing w:before="60" w:after="80"/>
      </w:pPr>
      <w:r>
        <w:rPr>
          <w:rFonts w:ascii="Calibri" w:cs="Calibri" w:eastAsia="Calibri" w:hAnsi="Calibri"/>
          <w:color w:val="1A2233"/>
          <w:sz w:val="22"/>
          <w:szCs w:val="22"/>
        </w:rPr>
        <w:t xml:space="preserve">MFA mandatory for all interactive authentication. FIDO2/WebAuthn required for privileged users. TOTP acceptable for standard users. SMS OTP prohibited. Service-to-service mTLS satisfies MFA requirements.</w:t>
      </w:r>
    </w:p>
    <w:p>
      <w:pPr>
        <w:spacing w:before="160" w:after="60"/>
      </w:pPr>
      <w:r>
        <w:rPr>
          <w:rFonts w:ascii="Calibri" w:cs="Calibri" w:eastAsia="Calibri" w:hAnsi="Calibri"/>
          <w:b/>
          <w:bCs/>
          <w:color w:val="2D4059"/>
          <w:sz w:val="22"/>
          <w:szCs w:val="22"/>
        </w:rPr>
        <w:t xml:space="preserve">IAA-03  Role-Based and Attribute-Based Access Control</w:t>
      </w:r>
    </w:p>
    <w:p>
      <w:pPr>
        <w:spacing w:before="60" w:after="80"/>
      </w:pPr>
      <w:r>
        <w:rPr>
          <w:rFonts w:ascii="Calibri" w:cs="Calibri" w:eastAsia="Calibri" w:hAnsi="Calibri"/>
          <w:color w:val="1A2233"/>
          <w:sz w:val="22"/>
          <w:szCs w:val="22"/>
        </w:rPr>
        <w:t xml:space="preserve">RBAC with ABAC extensions. Role definitions managed as code. Separation of duties between admin, security ops, and audit roles. Quarterly role review. Unix: sudo via SSSD/AD. Windows: AD Tier Model + PIM.</w:t>
      </w:r>
    </w:p>
    <w:p>
      <w:pPr>
        <w:spacing w:before="160" w:after="60"/>
      </w:pPr>
      <w:r>
        <w:rPr>
          <w:rFonts w:ascii="Calibri" w:cs="Calibri" w:eastAsia="Calibri" w:hAnsi="Calibri"/>
          <w:b/>
          <w:bCs/>
          <w:color w:val="2D4059"/>
          <w:sz w:val="22"/>
          <w:szCs w:val="22"/>
        </w:rPr>
        <w:t xml:space="preserve">IAA-04  Privileged Access Management Platform</w:t>
      </w:r>
    </w:p>
    <w:p>
      <w:pPr>
        <w:spacing w:before="60" w:after="80"/>
      </w:pPr>
      <w:r>
        <w:rPr>
          <w:rFonts w:ascii="Calibri" w:cs="Calibri" w:eastAsia="Calibri" w:hAnsi="Calibri"/>
          <w:color w:val="1A2233"/>
          <w:sz w:val="22"/>
          <w:szCs w:val="22"/>
        </w:rPr>
        <w:t xml:space="preserve">All privileged access brokered through PAM platform. Credential vaulting, session recording, command-level auditing, approval workflows. No standing privileged access. Session recording stored minimum 90 days.</w:t>
      </w:r>
    </w:p>
    <w:p>
      <w:pPr>
        <w:spacing w:before="160" w:after="60"/>
      </w:pPr>
      <w:r>
        <w:rPr>
          <w:rFonts w:ascii="Calibri" w:cs="Calibri" w:eastAsia="Calibri" w:hAnsi="Calibri"/>
          <w:b/>
          <w:bCs/>
          <w:color w:val="2D4059"/>
          <w:sz w:val="22"/>
          <w:szCs w:val="22"/>
        </w:rPr>
        <w:t xml:space="preserve">IAA-05  Just-In-Time Access</w:t>
      </w:r>
    </w:p>
    <w:p>
      <w:pPr>
        <w:spacing w:before="60" w:after="80"/>
      </w:pPr>
      <w:r>
        <w:rPr>
          <w:rFonts w:ascii="Calibri" w:cs="Calibri" w:eastAsia="Calibri" w:hAnsi="Calibri"/>
          <w:color w:val="1A2233"/>
          <w:sz w:val="22"/>
          <w:szCs w:val="22"/>
        </w:rPr>
        <w:t xml:space="preserve">Tier 0: dual approval, 4-hour max, full recording. Tier 1: single approval, 8-hour max. Tier 2: self-service, 2-hour max. Standing root/admin access outside PAM vault prohibited.</w:t>
      </w:r>
    </w:p>
    <w:p>
      <w:pPr>
        <w:spacing w:before="160" w:after="60"/>
      </w:pPr>
      <w:r>
        <w:rPr>
          <w:rFonts w:ascii="Calibri" w:cs="Calibri" w:eastAsia="Calibri" w:hAnsi="Calibri"/>
          <w:b/>
          <w:bCs/>
          <w:color w:val="2D4059"/>
          <w:sz w:val="22"/>
          <w:szCs w:val="22"/>
        </w:rPr>
        <w:t xml:space="preserve">IAA-06  Service Account Governance</w:t>
      </w:r>
    </w:p>
    <w:p>
      <w:pPr>
        <w:spacing w:before="60" w:after="80"/>
      </w:pPr>
      <w:r>
        <w:rPr>
          <w:rFonts w:ascii="Calibri" w:cs="Calibri" w:eastAsia="Calibri" w:hAnsi="Calibri"/>
          <w:color w:val="1A2233"/>
          <w:sz w:val="22"/>
          <w:szCs w:val="22"/>
        </w:rPr>
        <w:t xml:space="preserve">All service accounts inventoried, owned, non-interactive. Minimum 30-character random passwords, 90-day rotation, PAM vault storage. gMSA preferred on Windows. Unused accounts disabled within 30 days, deleted within 90.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8"/>
              <w:bottom w:val="single" w:color="D97706" w:sz="6"/>
              <w:right w:val="nil"/>
            </w:tcBorders>
            <w:shd w:fill="FFFBEB" w:val="clear"/>
            <w:tcMar>
              <w:top w:type="dxa" w:w="120"/>
              <w:left w:type="dxa" w:w="240"/>
              <w:bottom w:type="dxa" w:w="120"/>
              <w:right w:type="dxa" w:w="120"/>
            </w:tcMar>
          </w:tcPr>
          <w:p>
            <w:pPr>
              <w:spacing w:before="0" w:after="40"/>
            </w:pPr>
            <w:r>
              <w:rPr>
                <w:rFonts w:ascii="Calibri" w:cs="Calibri" w:eastAsia="Calibri" w:hAnsi="Calibri"/>
                <w:b/>
                <w:bCs/>
                <w:color w:val="D97706"/>
                <w:sz w:val="20"/>
                <w:szCs w:val="20"/>
              </w:rPr>
              <w:t xml:space="preserve">GAP-07 REMEDIATION — Secure Admin Workstation (SAW/PAW) — IAA-08  </w:t>
            </w:r>
            <w:r>
              <w:rPr>
                <w:rFonts w:ascii="Calibri" w:cs="Calibri" w:eastAsia="Calibri" w:hAnsi="Calibri"/>
                <w:b/>
                <w:bCs/>
                <w:color w:val="D97706"/>
                <w:sz w:val="18"/>
                <w:szCs w:val="18"/>
              </w:rPr>
              <w:t xml:space="preserve">[HIGH]</w:t>
            </w:r>
          </w:p>
          <w:p>
            <w:pPr>
              <w:spacing w:before="0" w:after="0"/>
            </w:pPr>
            <w:r>
              <w:rPr>
                <w:rFonts w:ascii="Calibri" w:cs="Calibri" w:eastAsia="Calibri" w:hAnsi="Calibri"/>
                <w:color w:val="1A2233"/>
                <w:sz w:val="20"/>
                <w:szCs w:val="20"/>
              </w:rPr>
              <w:t xml:space="preserve">Administrators managing Tier 0 and Tier 1 systems must do so exclusively from designated Secure Admin Workstations (SAW) or Privileged Access Workstations (PAW). These devices are subject to the highest hardening tier (CIS Level 2 + DISA STIG), are not used for email, web browsing, or general productivity, and are network-isolated to the management VLAN. This closes the most common lateral movement path from a compromised admin workstation to critical infrastructure.</w:t>
            </w:r>
          </w:p>
        </w:tc>
      </w:tr>
    </w:tbl>
    <w:p>
      <w:pPr>
        <w:spacing w:before="60" w:after="0"/>
      </w:pPr>
      <w:r>
        <w:t xml:space="preserve"/>
      </w:r>
    </w:p>
    <w:p>
      <w:pPr>
        <w:spacing w:before="160" w:after="60"/>
      </w:pPr>
      <w:r>
        <w:rPr>
          <w:rFonts w:ascii="Calibri" w:cs="Calibri" w:eastAsia="Calibri" w:hAnsi="Calibri"/>
          <w:b/>
          <w:bCs/>
          <w:color w:val="2D4059"/>
          <w:sz w:val="22"/>
          <w:szCs w:val="22"/>
        </w:rPr>
        <w:t xml:space="preserve">IAA-08  Secure Admin Workstation (SAW/PAW) Requirements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SAW devices are dedicated administrative terminals — no general-purpose use, no internet browsing, no email</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SAW operating system hardened to CIS Level 2 minimum. Credential Guard, WDAC, and VBS mandatory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SAW devices network-isolated: only routes to PAM jump infrastructure and management VLAN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Tier 0 administration may only originate from SAW devices. Enforcement via Conditional Access policies (device compliance check)</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SAW inventory maintained in CMDB. Non-compliant SAW triggers immediate PAM access suspension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Derived standard: Secure Admin Workstation Specification and Network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8"/>
              <w:bottom w:val="single" w:color="16A34A" w:sz="6"/>
              <w:right w:val="nil"/>
            </w:tcBorders>
            <w:shd w:fill="F0FDF4" w:val="clear"/>
            <w:tcMar>
              <w:top w:type="dxa" w:w="120"/>
              <w:left w:type="dxa" w:w="240"/>
              <w:bottom w:type="dxa" w:w="120"/>
              <w:right w:type="dxa" w:w="120"/>
            </w:tcMar>
          </w:tcPr>
          <w:p>
            <w:pPr>
              <w:spacing w:before="0" w:after="40"/>
            </w:pPr>
            <w:r>
              <w:rPr>
                <w:rFonts w:ascii="Calibri" w:cs="Calibri" w:eastAsia="Calibri" w:hAnsi="Calibri"/>
                <w:b/>
                <w:bCs/>
                <w:color w:val="16A34A"/>
                <w:sz w:val="20"/>
                <w:szCs w:val="20"/>
              </w:rPr>
              <w:t xml:space="preserve">GAP-11 REMEDIATION — Non-Human / Machine Identity — IAA-09  </w:t>
            </w:r>
            <w:r>
              <w:rPr>
                <w:rFonts w:ascii="Calibri" w:cs="Calibri" w:eastAsia="Calibri" w:hAnsi="Calibri"/>
                <w:b/>
                <w:bCs/>
                <w:color w:val="16A34A"/>
                <w:sz w:val="18"/>
                <w:szCs w:val="18"/>
              </w:rPr>
              <w:t xml:space="preserve">[MEDIUM]</w:t>
            </w:r>
          </w:p>
          <w:p>
            <w:pPr>
              <w:spacing w:before="0" w:after="0"/>
            </w:pPr>
            <w:r>
              <w:rPr>
                <w:rFonts w:ascii="Calibri" w:cs="Calibri" w:eastAsia="Calibri" w:hAnsi="Calibri"/>
                <w:color w:val="1A2233"/>
                <w:sz w:val="20"/>
                <w:szCs w:val="20"/>
              </w:rPr>
              <w:t xml:space="preserve">Workload identities, machine certificates, and cloud instance credentials are a primary attack target. IMDS credential abuse (T1552.005) and workload certificate theft are underserved by service account controls alone. Short-lived credentials and workload identity federation close this gap.</w:t>
            </w:r>
          </w:p>
        </w:tc>
      </w:tr>
    </w:tbl>
    <w:p>
      <w:pPr>
        <w:spacing w:before="60" w:after="0"/>
      </w:pPr>
      <w:r>
        <w:t xml:space="preserve"/>
      </w:r>
    </w:p>
    <w:p>
      <w:pPr>
        <w:spacing w:before="160" w:after="60"/>
      </w:pPr>
      <w:r>
        <w:rPr>
          <w:rFonts w:ascii="Calibri" w:cs="Calibri" w:eastAsia="Calibri" w:hAnsi="Calibri"/>
          <w:b/>
          <w:bCs/>
          <w:color w:val="2D4059"/>
          <w:sz w:val="22"/>
          <w:szCs w:val="22"/>
        </w:rPr>
        <w:t xml:space="preserve">IAA-09  Machine Identity and Workload Credential Management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All workload-to-workload authentication uses short-lived certificates or SPIFFE/SPIRE-issued SVIDs — not long-lived static credentials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Cloud instance metadata service (IMDS) access restricted via host-level firewall rules to approved processes only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Machine certificates managed through PKI with maximum 90-day validity and automated rotation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Workload identity federation preferred over static service account keys for cloud workloads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IMDS access attempts from unexpected processes alert to SIEM at P1 severity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Certificate lifecycle monitored: expiry &lt; 14 days triggers automated renewal + alert</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Derived Standards (D1)</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Unix ↔ Active Directory Integration Standard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Active Directory Hardening Baseline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Privileged Account Lifecycle Policy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JIT Access Standard and Tier Classification Model</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Service Account Governance Standard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Secure Admin Workstation Specification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Machine Identity and Workload Credential Standard [NEW v3.0]</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B3A6B"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D2</w:t>
            </w:r>
          </w:p>
          <w:p>
            <w:pPr>
              <w:jc w:val="center"/>
            </w:pPr>
            <w:r>
              <w:rPr>
                <w:rFonts w:ascii="Calibri" w:cs="Calibri" w:eastAsia="Calibri" w:hAnsi="Calibri"/>
                <w:color w:val="00A8E8"/>
                <w:sz w:val="16"/>
                <w:szCs w:val="16"/>
              </w:rPr>
              <w:t xml:space="preserve">DOMAIN</w:t>
            </w:r>
          </w:p>
        </w:tc>
        <w:tc>
          <w:tcPr>
            <w:tcW w:type="dxa" w:w="8160"/>
            <w:tcBorders>
              <w:top w:val="nil"/>
              <w:left w:val="nil"/>
              <w:bottom w:val="nil"/>
              <w:right w:val="nil"/>
            </w:tcBorders>
            <w:shd w:fill="0D1B2A"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OS Hardening &amp; Secure Configuration</w:t>
            </w:r>
          </w:p>
          <w:p>
            <w:pPr>
              <w:spacing w:before="40"/>
            </w:pPr>
            <w:r>
              <w:rPr>
                <w:rFonts w:ascii="Calibri" w:cs="Calibri" w:eastAsia="Calibri" w:hAnsi="Calibri"/>
                <w:color w:val="00A8E8"/>
                <w:sz w:val="20"/>
                <w:szCs w:val="20"/>
              </w:rPr>
              <w:t xml:space="preserve">Eliminate attack surface — now includes hypervisor hardening and SAW baseline</w:t>
            </w:r>
          </w:p>
        </w:tc>
      </w:tr>
    </w:tbl>
    <w:p>
      <w:pPr>
        <w:spacing w:before="80" w:after="0"/>
      </w:pPr>
      <w:r>
        <w:t xml:space="preserve"/>
      </w:r>
    </w:p>
    <w:p>
      <w:pPr>
        <w:pStyle w:val="Heading3"/>
        <w:spacing w:before="200" w:after="80"/>
      </w:pPr>
      <w:r>
        <w:rPr>
          <w:rFonts w:ascii="Calibri" w:cs="Calibri" w:eastAsia="Calibri" w:hAnsi="Calibri"/>
          <w:b/>
          <w:bCs/>
          <w:color w:val="1E5F94"/>
          <w:sz w:val="24"/>
          <w:szCs w:val="24"/>
        </w:rPr>
        <w:t xml:space="preserve">Required Controls (existing: HARD-01 through HARD-07 retained — refer v2.0)</w:t>
      </w:r>
    </w:p>
    <w:p>
      <w:pPr>
        <w:spacing w:before="60" w:after="80"/>
      </w:pPr>
      <w:r>
        <w:rPr>
          <w:rFonts w:ascii="Calibri" w:cs="Calibri" w:eastAsia="Calibri" w:hAnsi="Calibri"/>
          <w:color w:val="1A2233"/>
          <w:sz w:val="22"/>
          <w:szCs w:val="22"/>
        </w:rPr>
        <w:t xml:space="preserve">Controls HARD-01 through HARD-07 (CIS compliance, kernel hardening, MAC, service minimisation, filesystem controls, Secure Boot, and golden image pipeline) are retained without modification from v2.0. The following controls are added in v3.0.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8"/>
              <w:bottom w:val="single" w:color="D97706" w:sz="6"/>
              <w:right w:val="nil"/>
            </w:tcBorders>
            <w:shd w:fill="FFFBEB" w:val="clear"/>
            <w:tcMar>
              <w:top w:type="dxa" w:w="120"/>
              <w:left w:type="dxa" w:w="240"/>
              <w:bottom w:type="dxa" w:w="120"/>
              <w:right w:type="dxa" w:w="120"/>
            </w:tcMar>
          </w:tcPr>
          <w:p>
            <w:pPr>
              <w:spacing w:before="0" w:after="40"/>
            </w:pPr>
            <w:r>
              <w:rPr>
                <w:rFonts w:ascii="Calibri" w:cs="Calibri" w:eastAsia="Calibri" w:hAnsi="Calibri"/>
                <w:b/>
                <w:bCs/>
                <w:color w:val="D97706"/>
                <w:sz w:val="20"/>
                <w:szCs w:val="20"/>
              </w:rPr>
              <w:t xml:space="preserve">GAP-09 REMEDIATION — Hypervisor &amp; Virtualisation Security — HARD-09  </w:t>
            </w:r>
            <w:r>
              <w:rPr>
                <w:rFonts w:ascii="Calibri" w:cs="Calibri" w:eastAsia="Calibri" w:hAnsi="Calibri"/>
                <w:b/>
                <w:bCs/>
                <w:color w:val="D97706"/>
                <w:sz w:val="18"/>
                <w:szCs w:val="18"/>
              </w:rPr>
              <w:t xml:space="preserve">[HIGH]</w:t>
            </w:r>
          </w:p>
          <w:p>
            <w:pPr>
              <w:spacing w:before="0" w:after="0"/>
            </w:pPr>
            <w:r>
              <w:rPr>
                <w:rFonts w:ascii="Calibri" w:cs="Calibri" w:eastAsia="Calibri" w:hAnsi="Calibri"/>
                <w:color w:val="1A2233"/>
                <w:sz w:val="20"/>
                <w:szCs w:val="20"/>
              </w:rPr>
              <w:t xml:space="preserve">The v2.0 framework addressed guest VM security but left the hypervisor layer — the highest-privilege execution environment in a virtualised estate — without explicit controls. A compromised hypervisor (T1611) invalidates all guest-level security guarantees. This is an architectural gap of the highest order.</w:t>
            </w:r>
          </w:p>
        </w:tc>
      </w:tr>
    </w:tbl>
    <w:p>
      <w:pPr>
        <w:spacing w:before="60" w:after="0"/>
      </w:pPr>
      <w:r>
        <w:t xml:space="preserve"/>
      </w:r>
    </w:p>
    <w:p>
      <w:pPr>
        <w:spacing w:before="160" w:after="60"/>
      </w:pPr>
      <w:r>
        <w:rPr>
          <w:rFonts w:ascii="Calibri" w:cs="Calibri" w:eastAsia="Calibri" w:hAnsi="Calibri"/>
          <w:b/>
          <w:bCs/>
          <w:color w:val="2D4059"/>
          <w:sz w:val="22"/>
          <w:szCs w:val="22"/>
        </w:rPr>
        <w:t xml:space="preserve">HARD-09  Hypervisor Hardening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VMware ESXi: CIS VMware ESXi Benchmark Level 1 minimum. Lockdown Mode enabled. vSphere Management Network on isolated VLAN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Hyper-V: Hardened per DISA Hyper-V STIG. Guarded Fabric with Host Guardian Service for Tier 0 workloads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KVM/QEMU: SELinux sVirt mandatory. IOMMU enabled for PCI device isolation. CPU pinning for sensitive VMs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VM-to-VM isolation enforced: No shared storage between trust zones without explicit approval and encryption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VM snapshots containing regulated data encrypted at rest. Snapshot lifecycle policy: maximum 30-day retention with automated purge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vMotion and live migration traffic encrypted. No live migration of Tier 0 VMs without CISO approval</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Hypervisor management interfaces accessible only from SAW devices via OOB management network</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Hypervisor audit logging forwarded to SIEM. Host escape events (T1611 indicators) generate P1 alert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8"/>
              <w:bottom w:val="single" w:color="16A34A" w:sz="6"/>
              <w:right w:val="nil"/>
            </w:tcBorders>
            <w:shd w:fill="F0FDF4" w:val="clear"/>
            <w:tcMar>
              <w:top w:type="dxa" w:w="120"/>
              <w:left w:type="dxa" w:w="240"/>
              <w:bottom w:type="dxa" w:w="120"/>
              <w:right w:type="dxa" w:w="120"/>
            </w:tcMar>
          </w:tcPr>
          <w:p>
            <w:pPr>
              <w:spacing w:before="0" w:after="40"/>
            </w:pPr>
            <w:r>
              <w:rPr>
                <w:rFonts w:ascii="Calibri" w:cs="Calibri" w:eastAsia="Calibri" w:hAnsi="Calibri"/>
                <w:b/>
                <w:bCs/>
                <w:color w:val="16A34A"/>
                <w:sz w:val="20"/>
                <w:szCs w:val="20"/>
              </w:rPr>
              <w:t xml:space="preserve">GAP-15 REMEDIATION — Physical Security at OS Layer — HARD-10  </w:t>
            </w:r>
            <w:r>
              <w:rPr>
                <w:rFonts w:ascii="Calibri" w:cs="Calibri" w:eastAsia="Calibri" w:hAnsi="Calibri"/>
                <w:b/>
                <w:bCs/>
                <w:color w:val="16A34A"/>
                <w:sz w:val="18"/>
                <w:szCs w:val="18"/>
              </w:rPr>
              <w:t xml:space="preserve">[MEDIUM]</w:t>
            </w:r>
          </w:p>
          <w:p>
            <w:pPr>
              <w:spacing w:before="0" w:after="0"/>
            </w:pPr>
            <w:r>
              <w:rPr>
                <w:rFonts w:ascii="Calibri" w:cs="Calibri" w:eastAsia="Calibri" w:hAnsi="Calibri"/>
                <w:color w:val="1A2233"/>
                <w:sz w:val="20"/>
                <w:szCs w:val="20"/>
              </w:rPr>
              <w:t xml:space="preserve">Physical access to managed systems provides capabilities that bypass most OS-layer logical controls. Console access, cold-boot attacks, and direct memory access require physical security controls that intersect with this framework.</w:t>
            </w:r>
          </w:p>
        </w:tc>
      </w:tr>
    </w:tbl>
    <w:p>
      <w:pPr>
        <w:spacing w:before="60" w:after="0"/>
      </w:pPr>
      <w:r>
        <w:t xml:space="preserve"/>
      </w:r>
    </w:p>
    <w:p>
      <w:pPr>
        <w:spacing w:before="160" w:after="60"/>
      </w:pPr>
      <w:r>
        <w:rPr>
          <w:rFonts w:ascii="Calibri" w:cs="Calibri" w:eastAsia="Calibri" w:hAnsi="Calibri"/>
          <w:b/>
          <w:bCs/>
          <w:color w:val="2D4059"/>
          <w:sz w:val="22"/>
          <w:szCs w:val="22"/>
        </w:rPr>
        <w:t xml:space="preserve">HARD-10  Physical Security Intersection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BIOS/UEFI password protection enforced on all physical hardware. TPM PCR binding ensures boot integrity is tied to physical hardware state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Console/KVM access requires PAM session checkout. Unattended console access to Tier 0/1 systems prohibited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Physical removal of storage media from in-scope systems requires documented chain of custody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Cold-boot attack mitigation: Memory scrambling on power-off enabled where hardware supports (BIOS settings). FDE key not held in memory after boot where TPM sealing is used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Data centre physical access logs correlated with logical access records. Discrepancy between physical presence and PAM session triggers alert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Decommissioned storage media: DoD 5220.22-M or NIST 800-88 purge before disposal</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Derived Standards (D2 additions)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Hypervisor Hardening Baseline — VMware ESXi / Hyper-V / KVM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Physical Security Procedures for Managed OS Systems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Secure Admin Workstation OS Hardening Specification [NEW v3.0]</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B3A6B"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D3</w:t>
            </w:r>
          </w:p>
          <w:p>
            <w:pPr>
              <w:jc w:val="center"/>
            </w:pPr>
            <w:r>
              <w:rPr>
                <w:rFonts w:ascii="Calibri" w:cs="Calibri" w:eastAsia="Calibri" w:hAnsi="Calibri"/>
                <w:color w:val="00A8E8"/>
                <w:sz w:val="16"/>
                <w:szCs w:val="16"/>
              </w:rPr>
              <w:t xml:space="preserve">DOMAIN</w:t>
            </w:r>
          </w:p>
        </w:tc>
        <w:tc>
          <w:tcPr>
            <w:tcW w:type="dxa" w:w="8160"/>
            <w:tcBorders>
              <w:top w:val="nil"/>
              <w:left w:val="nil"/>
              <w:bottom w:val="nil"/>
              <w:right w:val="nil"/>
            </w:tcBorders>
            <w:shd w:fill="0D1B2A"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Data Protection — Encryption at Rest &amp; in Transit</w:t>
            </w:r>
          </w:p>
          <w:p>
            <w:pPr>
              <w:spacing w:before="40"/>
            </w:pPr>
            <w:r>
              <w:rPr>
                <w:rFonts w:ascii="Calibri" w:cs="Calibri" w:eastAsia="Calibri" w:hAnsi="Calibri"/>
                <w:color w:val="00A8E8"/>
                <w:sz w:val="20"/>
                <w:szCs w:val="20"/>
              </w:rPr>
              <w:t xml:space="preserve">Extended with data classification, PQC readiness, privacy controls</w:t>
            </w:r>
          </w:p>
        </w:tc>
      </w:tr>
    </w:tbl>
    <w:p>
      <w:pPr>
        <w:spacing w:before="80" w:after="0"/>
      </w:pPr>
      <w:r>
        <w:t xml:space="preserve"/>
      </w:r>
    </w:p>
    <w:p>
      <w:pPr>
        <w:pStyle w:val="Heading3"/>
        <w:spacing w:before="200" w:after="80"/>
      </w:pPr>
      <w:r>
        <w:rPr>
          <w:rFonts w:ascii="Calibri" w:cs="Calibri" w:eastAsia="Calibri" w:hAnsi="Calibri"/>
          <w:b/>
          <w:bCs/>
          <w:color w:val="1E5F94"/>
          <w:sz w:val="24"/>
          <w:szCs w:val="24"/>
        </w:rPr>
        <w:t xml:space="preserve">Required Controls (existing: DPROT-01 through DPROT-05 retained — refer v2.0)</w:t>
      </w:r>
    </w:p>
    <w:p>
      <w:pPr>
        <w:spacing w:before="60" w:after="80"/>
      </w:pPr>
      <w:r>
        <w:rPr>
          <w:rFonts w:ascii="Calibri" w:cs="Calibri" w:eastAsia="Calibri" w:hAnsi="Calibri"/>
          <w:color w:val="1A2233"/>
          <w:sz w:val="22"/>
          <w:szCs w:val="22"/>
        </w:rPr>
        <w:t xml:space="preserve">Controls DPROT-01 through DPROT-05 (FDE, TLS baseline, SSH hardening, KMS, secrets management) are retained from v2.0. The following controls are added in v3.0.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8"/>
              <w:bottom w:val="single" w:color="D97706" w:sz="6"/>
              <w:right w:val="nil"/>
            </w:tcBorders>
            <w:shd w:fill="FFFBEB" w:val="clear"/>
            <w:tcMar>
              <w:top w:type="dxa" w:w="120"/>
              <w:left w:type="dxa" w:w="240"/>
              <w:bottom w:type="dxa" w:w="120"/>
              <w:right w:type="dxa" w:w="120"/>
            </w:tcMar>
          </w:tcPr>
          <w:p>
            <w:pPr>
              <w:spacing w:before="0" w:after="40"/>
            </w:pPr>
            <w:r>
              <w:rPr>
                <w:rFonts w:ascii="Calibri" w:cs="Calibri" w:eastAsia="Calibri" w:hAnsi="Calibri"/>
                <w:b/>
                <w:bCs/>
                <w:color w:val="D97706"/>
                <w:sz w:val="20"/>
                <w:szCs w:val="20"/>
              </w:rPr>
              <w:t xml:space="preserve">GAP-04 REMEDIATION — Data Classification at OS Layer — DPROT-06/07  </w:t>
            </w:r>
            <w:r>
              <w:rPr>
                <w:rFonts w:ascii="Calibri" w:cs="Calibri" w:eastAsia="Calibri" w:hAnsi="Calibri"/>
                <w:b/>
                <w:bCs/>
                <w:color w:val="D97706"/>
                <w:sz w:val="18"/>
                <w:szCs w:val="18"/>
              </w:rPr>
              <w:t xml:space="preserve">[HIGH]</w:t>
            </w:r>
          </w:p>
          <w:p>
            <w:pPr>
              <w:spacing w:before="0" w:after="0"/>
            </w:pPr>
            <w:r>
              <w:rPr>
                <w:rFonts w:ascii="Calibri" w:cs="Calibri" w:eastAsia="Calibri" w:hAnsi="Calibri"/>
                <w:color w:val="1A2233"/>
                <w:sz w:val="20"/>
                <w:szCs w:val="20"/>
              </w:rPr>
              <w:t xml:space="preserve">The v2.0 framework applied encryption uniformly but never classified the data being protected. Without classification, there is no basis for differential controls — all data receives the same treatment regardless of sensitivity. Additionally, volatile data (swap, core dumps, temp files) was entirely unaddressed — a significant gap given that these can expose credentials and cryptographic material.</w:t>
            </w:r>
          </w:p>
        </w:tc>
      </w:tr>
    </w:tbl>
    <w:p>
      <w:pPr>
        <w:spacing w:before="60" w:after="0"/>
      </w:pPr>
      <w:r>
        <w:t xml:space="preserve"/>
      </w:r>
    </w:p>
    <w:p>
      <w:pPr>
        <w:spacing w:before="160" w:after="60"/>
      </w:pPr>
      <w:r>
        <w:rPr>
          <w:rFonts w:ascii="Calibri" w:cs="Calibri" w:eastAsia="Calibri" w:hAnsi="Calibri"/>
          <w:b/>
          <w:bCs/>
          <w:color w:val="2D4059"/>
          <w:sz w:val="22"/>
          <w:szCs w:val="22"/>
        </w:rPr>
        <w:t xml:space="preserve">DPROT-06  Data Classification and OS-Layer Handling Controls [v3.0]</w:t>
      </w:r>
    </w:p>
    <w:p>
      <w:pPr>
        <w:spacing w:before="60" w:after="80"/>
      </w:pPr>
      <w:r>
        <w:rPr>
          <w:rFonts w:ascii="Calibri" w:cs="Calibri" w:eastAsia="Calibri" w:hAnsi="Calibri"/>
          <w:color w:val="1A2233"/>
          <w:sz w:val="22"/>
          <w:szCs w:val="22"/>
        </w:rPr>
        <w:t xml:space="preserve">Data processed or stored on managed OS systems is classified into four tiers. OS-layer controls are applied differentially based 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Classification</w:t>
            </w:r>
          </w:p>
        </w:tc>
        <w:tc>
          <w:tcPr>
            <w:tcW w:type="dxa" w:w="26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c>
          <w:tcPr>
            <w:tcW w:type="dxa" w:w="51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OS-Layer Controls Required</w:t>
            </w:r>
          </w:p>
        </w:tc>
      </w:tr>
      <w:tr>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Public</w:t>
            </w:r>
          </w:p>
        </w:tc>
        <w:tc>
          <w:tcPr>
            <w:tcW w:type="dxa" w:w="2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Approved for external release</w:t>
            </w:r>
          </w:p>
        </w:tc>
        <w:tc>
          <w:tcPr>
            <w:tcW w:type="dxa" w:w="51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FDE, TLS 1.2+. Standard controls.</w:t>
            </w:r>
          </w:p>
        </w:tc>
      </w:tr>
      <w:tr>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Internal</w:t>
            </w:r>
          </w:p>
        </w:tc>
        <w:tc>
          <w:tcPr>
            <w:tcW w:type="dxa" w:w="2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Internal business data</w:t>
            </w:r>
          </w:p>
        </w:tc>
        <w:tc>
          <w:tcPr>
            <w:tcW w:type="dxa" w:w="51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FDE, TLS 1.2+, access logging, 90-day log retention.</w:t>
            </w:r>
          </w:p>
        </w:tc>
      </w:tr>
      <w:tr>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Confidential</w:t>
            </w:r>
          </w:p>
        </w:tc>
        <w:tc>
          <w:tcPr>
            <w:tcW w:type="dxa" w:w="2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Sensitive business / PII</w:t>
            </w:r>
          </w:p>
        </w:tc>
        <w:tc>
          <w:tcPr>
            <w:tcW w:type="dxa" w:w="51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FDE + file-level encryption, mTLS, PAM-brokered access, 180-day retention, DLP tagging.</w:t>
            </w:r>
          </w:p>
        </w:tc>
      </w:tr>
      <w:tr>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Restricted</w:t>
            </w:r>
          </w:p>
        </w:tc>
        <w:tc>
          <w:tcPr>
            <w:tcW w:type="dxa" w:w="2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Regulated / highest sensitivity</w:t>
            </w:r>
          </w:p>
        </w:tc>
        <w:tc>
          <w:tcPr>
            <w:tcW w:type="dxa" w:w="51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HSM-backed keys, FIPS 140-3 Level 3, dual-person integrity, 7-year retention, air-gap consideration.</w:t>
            </w:r>
          </w:p>
        </w:tc>
      </w:tr>
    </w:tbl>
    <w:p>
      <w:pPr>
        <w:spacing w:before="60" w:after="0"/>
      </w:pPr>
      <w:r>
        <w:t xml:space="preserve"/>
      </w:r>
    </w:p>
    <w:p>
      <w:pPr>
        <w:spacing w:before="160" w:after="60"/>
      </w:pPr>
      <w:r>
        <w:rPr>
          <w:rFonts w:ascii="Calibri" w:cs="Calibri" w:eastAsia="Calibri" w:hAnsi="Calibri"/>
          <w:b/>
          <w:bCs/>
          <w:color w:val="2D4059"/>
          <w:sz w:val="22"/>
          <w:szCs w:val="22"/>
        </w:rPr>
        <w:t xml:space="preserve">DPROT-07  Volatile Data and Memory Protection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Swap / pagefile encryption: Linux swap encrypted via dm-crypt. Windows pagefile encrypted via BitLocker (pagefile.sys encryption flag enabled)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Hibernate files: Encrypted or hibernate disabled on Tier 0/1 systems (hibernate file contains full memory snapshot)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Core dumps: Disabled on production Tier 0/1 systems. If required for diagnostics, core dumps written to encrypted, access-controlled location and purged within 24 hours after analysis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Temporary file paths (/tmp, /var/tmp, Windows %TEMP%): Encrypted on Confidential/Restricted systems. noexec,nosuid,nodev mount options enforced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Memory-resident secrets: Applications handling Restricted data must use mlock() (Linux) or VirtualLock() (Windows) to prevent swapping of cryptographic material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8"/>
              <w:bottom w:val="single" w:color="D97706" w:sz="6"/>
              <w:right w:val="nil"/>
            </w:tcBorders>
            <w:shd w:fill="FFFBEB" w:val="clear"/>
            <w:tcMar>
              <w:top w:type="dxa" w:w="120"/>
              <w:left w:type="dxa" w:w="240"/>
              <w:bottom w:type="dxa" w:w="120"/>
              <w:right w:type="dxa" w:w="120"/>
            </w:tcMar>
          </w:tcPr>
          <w:p>
            <w:pPr>
              <w:spacing w:before="0" w:after="40"/>
            </w:pPr>
            <w:r>
              <w:rPr>
                <w:rFonts w:ascii="Calibri" w:cs="Calibri" w:eastAsia="Calibri" w:hAnsi="Calibri"/>
                <w:b/>
                <w:bCs/>
                <w:color w:val="D97706"/>
                <w:sz w:val="20"/>
                <w:szCs w:val="20"/>
              </w:rPr>
              <w:t xml:space="preserve">GAP-06 REMEDIATION — Cryptographic Agility &amp; Post-Quantum Readiness — DPROT-08  </w:t>
            </w:r>
            <w:r>
              <w:rPr>
                <w:rFonts w:ascii="Calibri" w:cs="Calibri" w:eastAsia="Calibri" w:hAnsi="Calibri"/>
                <w:b/>
                <w:bCs/>
                <w:color w:val="D97706"/>
                <w:sz w:val="18"/>
                <w:szCs w:val="18"/>
              </w:rPr>
              <w:t xml:space="preserve">[HIGH]</w:t>
            </w:r>
          </w:p>
          <w:p>
            <w:pPr>
              <w:spacing w:before="0" w:after="0"/>
            </w:pPr>
            <w:r>
              <w:rPr>
                <w:rFonts w:ascii="Calibri" w:cs="Calibri" w:eastAsia="Calibri" w:hAnsi="Calibri"/>
                <w:color w:val="1A2233"/>
                <w:sz w:val="20"/>
                <w:szCs w:val="20"/>
              </w:rPr>
              <w:t xml:space="preserve">NIST published post-quantum cryptography standards (FIPS 203 ML-KEM, FIPS 204 ML-DSA, FIPS 205 SLH-DSA) in 2024. RSA and current ECDH/ECDSA are vulnerable to sufficiently capable quantum computers. Long-lived infrastructure with data requiring multi-year confidentiality must begin the transition now. Cryptographic agility — the ability to swap algorithms without re-architecting — must be designed in.</w:t>
            </w:r>
          </w:p>
        </w:tc>
      </w:tr>
    </w:tbl>
    <w:p>
      <w:pPr>
        <w:spacing w:before="60" w:after="0"/>
      </w:pPr>
      <w:r>
        <w:t xml:space="preserve"/>
      </w:r>
    </w:p>
    <w:p>
      <w:pPr>
        <w:spacing w:before="160" w:after="60"/>
      </w:pPr>
      <w:r>
        <w:rPr>
          <w:rFonts w:ascii="Calibri" w:cs="Calibri" w:eastAsia="Calibri" w:hAnsi="Calibri"/>
          <w:b/>
          <w:bCs/>
          <w:color w:val="2D4059"/>
          <w:sz w:val="22"/>
          <w:szCs w:val="22"/>
        </w:rPr>
        <w:t xml:space="preserve">DPROT-08  Cryptographic Agility and Post-Quantum Transition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Cryptographic algorithm inventory: All algorithms in use across OS-layer controls catalogued with asset association and planned migration timeline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Algorithm abstraction: Cryptographic implementations use configurable algorithm identifiers — hard-coded algorithm strings are a design defect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PQC transition timeline: RSA-2048/4096 and ECDH/ECDSA phased out by 2030 for new implementations. Hybrid schemes (classical + PQC) required during transition period for Confidential/Restricted data</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Approved PQC algorithms (when OS/library support available): ML-KEM-768 (key encapsulation), ML-DSA-65 (digital signatures) per FIPS 203/204</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TLS 1.3 with PQC hybrid key exchange: Required for Restricted data channels as library support matures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Certificate infrastructure: PKI migration plan to PQC-capable CA by 2028. New CAs must support hybrid certificate issuance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Annual cryptographic inventory review with migration progress report to CISO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8"/>
              <w:bottom w:val="single" w:color="16A34A" w:sz="6"/>
              <w:right w:val="nil"/>
            </w:tcBorders>
            <w:shd w:fill="F0FDF4" w:val="clear"/>
            <w:tcMar>
              <w:top w:type="dxa" w:w="120"/>
              <w:left w:type="dxa" w:w="240"/>
              <w:bottom w:type="dxa" w:w="120"/>
              <w:right w:type="dxa" w:w="120"/>
            </w:tcMar>
          </w:tcPr>
          <w:p>
            <w:pPr>
              <w:spacing w:before="0" w:after="40"/>
            </w:pPr>
            <w:r>
              <w:rPr>
                <w:rFonts w:ascii="Calibri" w:cs="Calibri" w:eastAsia="Calibri" w:hAnsi="Calibri"/>
                <w:b/>
                <w:bCs/>
                <w:color w:val="16A34A"/>
                <w:sz w:val="20"/>
                <w:szCs w:val="20"/>
              </w:rPr>
              <w:t xml:space="preserve">GAP-12 REMEDIATION — Privacy &amp; Data Sovereignty — DPROT-09 / LOG-08  </w:t>
            </w:r>
            <w:r>
              <w:rPr>
                <w:rFonts w:ascii="Calibri" w:cs="Calibri" w:eastAsia="Calibri" w:hAnsi="Calibri"/>
                <w:b/>
                <w:bCs/>
                <w:color w:val="16A34A"/>
                <w:sz w:val="18"/>
                <w:szCs w:val="18"/>
              </w:rPr>
              <w:t xml:space="preserve">[MEDIUM]</w:t>
            </w:r>
          </w:p>
          <w:p>
            <w:pPr>
              <w:spacing w:before="0" w:after="0"/>
            </w:pPr>
            <w:r>
              <w:rPr>
                <w:rFonts w:ascii="Calibri" w:cs="Calibri" w:eastAsia="Calibri" w:hAnsi="Calibri"/>
                <w:color w:val="1A2233"/>
                <w:sz w:val="20"/>
                <w:szCs w:val="20"/>
              </w:rPr>
              <w:t xml:space="preserve">OS-layer telemetry, PAM session recordings, and audit logs can contain personal data including employee keystrokes, authentication events, and access patterns. GDPR Article 32 requires appropriate technical measures. Data sovereignty requirements restrict where telemetry may reside.</w:t>
            </w:r>
          </w:p>
        </w:tc>
      </w:tr>
    </w:tbl>
    <w:p>
      <w:pPr>
        <w:spacing w:before="60" w:after="0"/>
      </w:pPr>
      <w:r>
        <w:t xml:space="preserve"/>
      </w:r>
    </w:p>
    <w:p>
      <w:pPr>
        <w:spacing w:before="160" w:after="60"/>
      </w:pPr>
      <w:r>
        <w:rPr>
          <w:rFonts w:ascii="Calibri" w:cs="Calibri" w:eastAsia="Calibri" w:hAnsi="Calibri"/>
          <w:b/>
          <w:bCs/>
          <w:color w:val="2D4059"/>
          <w:sz w:val="22"/>
          <w:szCs w:val="22"/>
        </w:rPr>
        <w:t xml:space="preserve">DPROT-09  Privacy Controls at OS Layer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PII minimisation in logs: auditd and Sysmon configurations reviewed for unnecessary PII capture. User input content not logged unless explicitly required for forensic investigation (PAM session recording exception applies for Tier 0/1)</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Employee monitoring notice: PAM session recording of employee keystrokes requires documented legal basis (legitimate interest / employment contract) and employee notification per applicable privacy law</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Data sovereignty: OS telemetry (SIEM data, PAM recordings) stored in designated geographic regions. Cross-border transfer requires legal mechanism (SCCs, adequacy decision)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Right to erasure limitation: Security logs are retained for legitimate security purposes and may override erasure requests — documented in Records Management Policy with legal review</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Privacy impact assessment: Required before deploying new OS-layer monitoring capability that captures employee data</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Derived Standards (D3 additions)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Data Classification Standard and OS-Layer Handling Requirements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Volatile Data and Memory Protection Baseline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Cryptographic Algorithm Inventory and PQC Transition Plan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Privacy Impact Assessment Template — OS Monitoring [NEW v3.0]</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B3A6B"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D4</w:t>
            </w:r>
          </w:p>
          <w:p>
            <w:pPr>
              <w:jc w:val="center"/>
            </w:pPr>
            <w:r>
              <w:rPr>
                <w:rFonts w:ascii="Calibri" w:cs="Calibri" w:eastAsia="Calibri" w:hAnsi="Calibri"/>
                <w:color w:val="00A8E8"/>
                <w:sz w:val="16"/>
                <w:szCs w:val="16"/>
              </w:rPr>
              <w:t xml:space="preserve">DOMAIN</w:t>
            </w:r>
          </w:p>
        </w:tc>
        <w:tc>
          <w:tcPr>
            <w:tcW w:type="dxa" w:w="8160"/>
            <w:tcBorders>
              <w:top w:val="nil"/>
              <w:left w:val="nil"/>
              <w:bottom w:val="nil"/>
              <w:right w:val="nil"/>
            </w:tcBorders>
            <w:shd w:fill="0D1B2A"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Logging, Monitoring &amp; Security Telemetry</w:t>
            </w:r>
          </w:p>
          <w:p>
            <w:pPr>
              <w:spacing w:before="40"/>
            </w:pPr>
            <w:r>
              <w:rPr>
                <w:rFonts w:ascii="Calibri" w:cs="Calibri" w:eastAsia="Calibri" w:hAnsi="Calibri"/>
                <w:color w:val="00A8E8"/>
                <w:sz w:val="20"/>
                <w:szCs w:val="20"/>
              </w:rPr>
              <w:t xml:space="preserve">Extended with detection engineering lifecycle and PII controls</w:t>
            </w:r>
          </w:p>
        </w:tc>
      </w:tr>
    </w:tbl>
    <w:p>
      <w:pPr>
        <w:spacing w:before="80" w:after="0"/>
      </w:pPr>
      <w:r>
        <w:t xml:space="preserve"/>
      </w:r>
    </w:p>
    <w:p>
      <w:pPr>
        <w:pStyle w:val="Heading3"/>
        <w:spacing w:before="200" w:after="80"/>
      </w:pPr>
      <w:r>
        <w:rPr>
          <w:rFonts w:ascii="Calibri" w:cs="Calibri" w:eastAsia="Calibri" w:hAnsi="Calibri"/>
          <w:b/>
          <w:bCs/>
          <w:color w:val="1E5F94"/>
          <w:sz w:val="24"/>
          <w:szCs w:val="24"/>
        </w:rPr>
        <w:t xml:space="preserve">Required Controls (existing: LOG-01 through LOG-06 retained — refer v2.0)</w:t>
      </w:r>
    </w:p>
    <w:p>
      <w:pPr>
        <w:spacing w:before="60" w:after="80"/>
      </w:pPr>
      <w:r>
        <w:rPr>
          <w:rFonts w:ascii="Calibri" w:cs="Calibri" w:eastAsia="Calibri" w:hAnsi="Calibri"/>
          <w:color w:val="1A2233"/>
          <w:sz w:val="22"/>
          <w:szCs w:val="22"/>
        </w:rPr>
        <w:t xml:space="preserve">Controls LOG-01 through LOG-06 are retained from v2.0. The following control addresses the detection engineering gap identified in the assessment.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8"/>
              <w:bottom w:val="single" w:color="D97706" w:sz="6"/>
              <w:right w:val="nil"/>
            </w:tcBorders>
            <w:shd w:fill="FFFBEB" w:val="clear"/>
            <w:tcMar>
              <w:top w:type="dxa" w:w="120"/>
              <w:left w:type="dxa" w:w="240"/>
              <w:bottom w:type="dxa" w:w="120"/>
              <w:right w:type="dxa" w:w="120"/>
            </w:tcMar>
          </w:tcPr>
          <w:p>
            <w:pPr>
              <w:spacing w:before="0" w:after="40"/>
            </w:pPr>
            <w:r>
              <w:rPr>
                <w:rFonts w:ascii="Calibri" w:cs="Calibri" w:eastAsia="Calibri" w:hAnsi="Calibri"/>
                <w:b/>
                <w:bCs/>
                <w:color w:val="D97706"/>
                <w:sz w:val="20"/>
                <w:szCs w:val="20"/>
              </w:rPr>
              <w:t xml:space="preserve">GAP-08 REMEDIATION — Detection Engineering Lifecycle — LOG-07  </w:t>
            </w:r>
            <w:r>
              <w:rPr>
                <w:rFonts w:ascii="Calibri" w:cs="Calibri" w:eastAsia="Calibri" w:hAnsi="Calibri"/>
                <w:b/>
                <w:bCs/>
                <w:color w:val="D97706"/>
                <w:sz w:val="18"/>
                <w:szCs w:val="18"/>
              </w:rPr>
              <w:t xml:space="preserve">[HIGH]</w:t>
            </w:r>
          </w:p>
          <w:p>
            <w:pPr>
              <w:spacing w:before="0" w:after="0"/>
            </w:pPr>
            <w:r>
              <w:rPr>
                <w:rFonts w:ascii="Calibri" w:cs="Calibri" w:eastAsia="Calibri" w:hAnsi="Calibri"/>
                <w:color w:val="1A2233"/>
                <w:sz w:val="20"/>
                <w:szCs w:val="20"/>
              </w:rPr>
              <w:t xml:space="preserve">v2.0 specified what to log and how to ship it but left a critical gap: how detection rules are created, tested, deployed, and retired. Without a detection lifecycle, organisations accumulate stale rules that generate alert fatigue, miss coverage against new techniques, and have no traceability to the threat model. MTTD is absent from the KPI set.</w:t>
            </w:r>
          </w:p>
        </w:tc>
      </w:tr>
    </w:tbl>
    <w:p>
      <w:pPr>
        <w:spacing w:before="60" w:after="0"/>
      </w:pPr>
      <w:r>
        <w:t xml:space="preserve"/>
      </w:r>
    </w:p>
    <w:p>
      <w:pPr>
        <w:spacing w:before="160" w:after="60"/>
      </w:pPr>
      <w:r>
        <w:rPr>
          <w:rFonts w:ascii="Calibri" w:cs="Calibri" w:eastAsia="Calibri" w:hAnsi="Calibri"/>
          <w:b/>
          <w:bCs/>
          <w:color w:val="2D4059"/>
          <w:sz w:val="22"/>
          <w:szCs w:val="22"/>
        </w:rPr>
        <w:t xml:space="preserve">LOG-07  Detection Engineering Lifecycle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Detection rule lifecycle: Create → Peer Review → Test in staging → Deploy → Monitor FP rate → Tune → Retire. All rules maintained in version control (detection-as-code)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MITRE ATT&amp;CK coverage mapping: Detection rules mapped to ATT&amp;CK technique IDs. Coverage gaps reported monthly. Minimum 70% coverage of techniques in the framework's threat model</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False positive management: Rules with FP rate &gt; 5% in 30-day window flagged for mandatory tuning. Alert fatigue is a security risk</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Threat intelligence integration: Threat intelligence platform (TIP) feeds IOCs to SIEM detection rules. OS-layer IOC subscriptions (process hashes, C2 domains, YARA signatures) refreshed every 4 hours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SOAR integration: High-confidence OS-layer alerts trigger automated SOAR playbooks for containment actions (host isolation, credential revocation). Human approval required for Tier 0 actions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Mean Time to Detect (MTTD) as KPI: Target ≤ 1 hour for Critical-severity OS events. Measured via purple team exercises quarterly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Detection rule testing: All new rules validated against historical data and red team scenarios before production deployment</w:t>
      </w:r>
    </w:p>
    <w:p>
      <w:pPr>
        <w:spacing w:before="60" w:after="0"/>
      </w:pPr>
      <w:r>
        <w:t xml:space="preserve"/>
      </w:r>
    </w:p>
    <w:p>
      <w:pPr>
        <w:spacing w:before="160" w:after="60"/>
      </w:pPr>
      <w:r>
        <w:rPr>
          <w:rFonts w:ascii="Calibri" w:cs="Calibri" w:eastAsia="Calibri" w:hAnsi="Calibri"/>
          <w:b/>
          <w:bCs/>
          <w:color w:val="2D4059"/>
          <w:sz w:val="22"/>
          <w:szCs w:val="22"/>
        </w:rPr>
        <w:t xml:space="preserve">LOG-08  PII Controls in Security Telemetry [v3.0]</w:t>
      </w:r>
    </w:p>
    <w:p>
      <w:pPr>
        <w:spacing w:before="60" w:after="80"/>
      </w:pPr>
      <w:r>
        <w:rPr>
          <w:rFonts w:ascii="Calibri" w:cs="Calibri" w:eastAsia="Calibri" w:hAnsi="Calibri"/>
          <w:color w:val="1A2233"/>
          <w:sz w:val="22"/>
          <w:szCs w:val="22"/>
        </w:rPr>
        <w:t xml:space="preserve">Addresses GAP-12 (privacy in logging). auditd and Sysmon configurations reviewed for PII minimisation. Personal data in logs subject to data classification controls from DPROT-09. Legal basis documented for employee keystroke capture in PAM recordings.</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Derived Standards (D4 additions)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Detection Rule Lifecycle Standard — Detection-as-Code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MITRE ATT&amp;CK Coverage Mapping and Gap Report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SOAR Playbook Framework — OS-Layer Incident Response [NEW v3.0]</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B3A6B"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D5</w:t>
            </w:r>
          </w:p>
          <w:p>
            <w:pPr>
              <w:jc w:val="center"/>
            </w:pPr>
            <w:r>
              <w:rPr>
                <w:rFonts w:ascii="Calibri" w:cs="Calibri" w:eastAsia="Calibri" w:hAnsi="Calibri"/>
                <w:color w:val="00A8E8"/>
                <w:sz w:val="16"/>
                <w:szCs w:val="16"/>
              </w:rPr>
              <w:t xml:space="preserve">DOMAIN</w:t>
            </w:r>
          </w:p>
        </w:tc>
        <w:tc>
          <w:tcPr>
            <w:tcW w:type="dxa" w:w="8160"/>
            <w:tcBorders>
              <w:top w:val="nil"/>
              <w:left w:val="nil"/>
              <w:bottom w:val="nil"/>
              <w:right w:val="nil"/>
            </w:tcBorders>
            <w:shd w:fill="0D1B2A"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Endpoint &amp; Runtime Protection</w:t>
            </w:r>
          </w:p>
          <w:p>
            <w:pPr>
              <w:spacing w:before="40"/>
            </w:pPr>
            <w:r>
              <w:rPr>
                <w:rFonts w:ascii="Calibri" w:cs="Calibri" w:eastAsia="Calibri" w:hAnsi="Calibri"/>
                <w:color w:val="00A8E8"/>
                <w:sz w:val="20"/>
                <w:szCs w:val="20"/>
              </w:rPr>
              <w:t xml:space="preserve">Extended with security control resilience requirements</w:t>
            </w:r>
          </w:p>
        </w:tc>
      </w:tr>
    </w:tbl>
    <w:p>
      <w:pPr>
        <w:spacing w:before="80" w:after="0"/>
      </w:pPr>
      <w:r>
        <w:t xml:space="preserve"/>
      </w:r>
    </w:p>
    <w:p>
      <w:pPr>
        <w:pStyle w:val="Heading3"/>
        <w:spacing w:before="200" w:after="80"/>
      </w:pPr>
      <w:r>
        <w:rPr>
          <w:rFonts w:ascii="Calibri" w:cs="Calibri" w:eastAsia="Calibri" w:hAnsi="Calibri"/>
          <w:b/>
          <w:bCs/>
          <w:color w:val="1E5F94"/>
          <w:sz w:val="24"/>
          <w:szCs w:val="24"/>
        </w:rPr>
        <w:t xml:space="preserve">Required Controls (existing: RT-01 through RT-04 retained — refer v2.0)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8"/>
              <w:bottom w:val="single" w:color="D97706" w:sz="6"/>
              <w:right w:val="nil"/>
            </w:tcBorders>
            <w:shd w:fill="FFFBEB" w:val="clear"/>
            <w:tcMar>
              <w:top w:type="dxa" w:w="120"/>
              <w:left w:type="dxa" w:w="240"/>
              <w:bottom w:type="dxa" w:w="120"/>
              <w:right w:type="dxa" w:w="120"/>
            </w:tcMar>
          </w:tcPr>
          <w:p>
            <w:pPr>
              <w:spacing w:before="0" w:after="40"/>
            </w:pPr>
            <w:r>
              <w:rPr>
                <w:rFonts w:ascii="Calibri" w:cs="Calibri" w:eastAsia="Calibri" w:hAnsi="Calibri"/>
                <w:b/>
                <w:bCs/>
                <w:color w:val="D97706"/>
                <w:sz w:val="20"/>
                <w:szCs w:val="20"/>
              </w:rPr>
              <w:t xml:space="preserve">GAP-10 REMEDIATION — Resilience of Security Controls — RT-05  </w:t>
            </w:r>
            <w:r>
              <w:rPr>
                <w:rFonts w:ascii="Calibri" w:cs="Calibri" w:eastAsia="Calibri" w:hAnsi="Calibri"/>
                <w:b/>
                <w:bCs/>
                <w:color w:val="D97706"/>
                <w:sz w:val="18"/>
                <w:szCs w:val="18"/>
              </w:rPr>
              <w:t xml:space="preserve">[HIGH]</w:t>
            </w:r>
          </w:p>
          <w:p>
            <w:pPr>
              <w:spacing w:before="0" w:after="0"/>
            </w:pPr>
            <w:r>
              <w:rPr>
                <w:rFonts w:ascii="Calibri" w:cs="Calibri" w:eastAsia="Calibri" w:hAnsi="Calibri"/>
                <w:color w:val="1A2233"/>
                <w:sz w:val="20"/>
                <w:szCs w:val="20"/>
              </w:rPr>
              <w:t xml:space="preserve">The framework assumed security agents (EDR, auditd, log shippers) operate reliably but did not specify what happens when they are disabled — by malware (T1562) or by failure. An attacker's first action after gaining access is often to kill security tooling. Without self-healing and watchdog requirements, a killed EDR sensor creates a blind spot that may persist undetected.</w:t>
            </w:r>
          </w:p>
        </w:tc>
      </w:tr>
    </w:tbl>
    <w:p>
      <w:pPr>
        <w:spacing w:before="60" w:after="0"/>
      </w:pPr>
      <w:r>
        <w:t xml:space="preserve"/>
      </w:r>
    </w:p>
    <w:p>
      <w:pPr>
        <w:spacing w:before="160" w:after="60"/>
      </w:pPr>
      <w:r>
        <w:rPr>
          <w:rFonts w:ascii="Calibri" w:cs="Calibri" w:eastAsia="Calibri" w:hAnsi="Calibri"/>
          <w:b/>
          <w:bCs/>
          <w:color w:val="2D4059"/>
          <w:sz w:val="22"/>
          <w:szCs w:val="22"/>
        </w:rPr>
        <w:t xml:space="preserve">RT-05  Security Control Resilience and Self-Healing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EDR self-protection: EDR kernel driver protected from user-space termination. Tamper protection enabled on all EDR platforms. EDR process termination generates immediate P1 SIEM alert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auditd watchdog: systemd service configured to restart auditd on failure. auditd stop event generates SIEM P1 alert. Systems with auditd down for &gt; 5 minutes quarantined from production network</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Log shipper watchdog: Supervisord or systemd restarts log shipping agent on failure. SIEM alerts on log volume drop &gt; 50% for any source within 15-minute window</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Security agent health dashboard: Real-time visibility of EDR, auditd, FIM, and log shipper status across all managed systems. Unhealthy agents appear in CMDB as at-risk</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Immutable security agent configuration: Security agent configurations protected by FIM. Modification attempts generate P1 alert and trigger automated re-deployment from golden image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Break-glass detection: If an attacker disables multiple security controls simultaneously (≥ 3 in &lt; 10 minutes), this pattern triggers a Critical incident in the SIEM and automated network isolation</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Derived Standards (D5 additions)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Security Control Resilience and Self-Healing Standard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EDR Tamper Protection Configuration Baseline [NEW v3.0]</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B3A6B"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D6</w:t>
            </w:r>
          </w:p>
          <w:p>
            <w:pPr>
              <w:jc w:val="center"/>
            </w:pPr>
            <w:r>
              <w:rPr>
                <w:rFonts w:ascii="Calibri" w:cs="Calibri" w:eastAsia="Calibri" w:hAnsi="Calibri"/>
                <w:color w:val="00A8E8"/>
                <w:sz w:val="16"/>
                <w:szCs w:val="16"/>
              </w:rPr>
              <w:t xml:space="preserve">DOMAIN</w:t>
            </w:r>
          </w:p>
        </w:tc>
        <w:tc>
          <w:tcPr>
            <w:tcW w:type="dxa" w:w="8160"/>
            <w:tcBorders>
              <w:top w:val="nil"/>
              <w:left w:val="nil"/>
              <w:bottom w:val="nil"/>
              <w:right w:val="nil"/>
            </w:tcBorders>
            <w:shd w:fill="0D1B2A"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Vulnerability &amp; Patch Management</w:t>
            </w:r>
          </w:p>
          <w:p>
            <w:pPr>
              <w:spacing w:before="40"/>
            </w:pPr>
            <w:r>
              <w:rPr>
                <w:rFonts w:ascii="Calibri" w:cs="Calibri" w:eastAsia="Calibri" w:hAnsi="Calibri"/>
                <w:color w:val="00A8E8"/>
                <w:sz w:val="20"/>
                <w:szCs w:val="20"/>
              </w:rPr>
              <w:t xml:space="preserve">Extended with EoL OS and security debt management</w:t>
            </w:r>
          </w:p>
        </w:tc>
      </w:tr>
    </w:tbl>
    <w:p>
      <w:pPr>
        <w:spacing w:before="80" w:after="0"/>
      </w:pPr>
      <w:r>
        <w:t xml:space="preserve"/>
      </w:r>
    </w:p>
    <w:p>
      <w:pPr>
        <w:pStyle w:val="Heading3"/>
        <w:spacing w:before="200" w:after="80"/>
      </w:pPr>
      <w:r>
        <w:rPr>
          <w:rFonts w:ascii="Calibri" w:cs="Calibri" w:eastAsia="Calibri" w:hAnsi="Calibri"/>
          <w:b/>
          <w:bCs/>
          <w:color w:val="1E5F94"/>
          <w:sz w:val="24"/>
          <w:szCs w:val="24"/>
        </w:rPr>
        <w:t xml:space="preserve">Required Controls (existing: VULN-01 through VULN-04 retained — refer v2.0)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8"/>
              <w:bottom w:val="single" w:color="16A34A" w:sz="6"/>
              <w:right w:val="nil"/>
            </w:tcBorders>
            <w:shd w:fill="F0FDF4" w:val="clear"/>
            <w:tcMar>
              <w:top w:type="dxa" w:w="120"/>
              <w:left w:type="dxa" w:w="240"/>
              <w:bottom w:type="dxa" w:w="120"/>
              <w:right w:type="dxa" w:w="120"/>
            </w:tcMar>
          </w:tcPr>
          <w:p>
            <w:pPr>
              <w:spacing w:before="0" w:after="40"/>
            </w:pPr>
            <w:r>
              <w:rPr>
                <w:rFonts w:ascii="Calibri" w:cs="Calibri" w:eastAsia="Calibri" w:hAnsi="Calibri"/>
                <w:b/>
                <w:bCs/>
                <w:color w:val="16A34A"/>
                <w:sz w:val="20"/>
                <w:szCs w:val="20"/>
              </w:rPr>
              <w:t xml:space="preserve">GAP-13 REMEDIATION — Security Debt &amp; End-of-Life OS Management — VULN-05  </w:t>
            </w:r>
            <w:r>
              <w:rPr>
                <w:rFonts w:ascii="Calibri" w:cs="Calibri" w:eastAsia="Calibri" w:hAnsi="Calibri"/>
                <w:b/>
                <w:bCs/>
                <w:color w:val="16A34A"/>
                <w:sz w:val="18"/>
                <w:szCs w:val="18"/>
              </w:rPr>
              <w:t xml:space="preserve">[MEDIUM]</w:t>
            </w:r>
          </w:p>
          <w:p>
            <w:pPr>
              <w:spacing w:before="0" w:after="0"/>
            </w:pPr>
            <w:r>
              <w:rPr>
                <w:rFonts w:ascii="Calibri" w:cs="Calibri" w:eastAsia="Calibri" w:hAnsi="Calibri"/>
                <w:color w:val="1A2233"/>
                <w:sz w:val="20"/>
                <w:szCs w:val="20"/>
              </w:rPr>
              <w:t xml:space="preserve">The framework had no policy for end-of-life operating systems, which are frequently found in enterprise environments long after vendor support ends. EoL OS instances cannot receive security patches and represent permanent, unremediable vulnerability exposure. They require a managed risk acceptance process with time-bound remediation obligation.</w:t>
            </w:r>
          </w:p>
        </w:tc>
      </w:tr>
    </w:tbl>
    <w:p>
      <w:pPr>
        <w:spacing w:before="60" w:after="0"/>
      </w:pPr>
      <w:r>
        <w:t xml:space="preserve"/>
      </w:r>
    </w:p>
    <w:p>
      <w:pPr>
        <w:spacing w:before="160" w:after="60"/>
      </w:pPr>
      <w:r>
        <w:rPr>
          <w:rFonts w:ascii="Calibri" w:cs="Calibri" w:eastAsia="Calibri" w:hAnsi="Calibri"/>
          <w:b/>
          <w:bCs/>
          <w:color w:val="2D4059"/>
          <w:sz w:val="22"/>
          <w:szCs w:val="22"/>
        </w:rPr>
        <w:t xml:space="preserve">VULN-05  End-of-Life OS and Security Debt Management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EoL OS inventory: All systems running OS versions past vendor end-of-support date identified, tagged in CMDB, and reported to CISO monthly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EoL OS risk acceptance: Each EoL OS instance requires: documented business justification, compensating controls (network isolation, enhanced monitoring, EDR coverage), CISO-approved risk acceptance, and a migration timeline. Maximum acceptance period: 12 months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Compensating controls for EoL OS: Network micro-segmentation (restrict to minimum required flows), enhanced EDR monitoring in detection + prevention mode, daily vulnerability scan, no internet exposure, PAM-only access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Security debt registry: Formal register of accepted security exceptions, EoL OS instances, and deferred remediation items. Reviewed monthly by VM Governance Board and quarterly by CISO</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Migration obligation: Systems on EoL OS must have an approved migration project within 60 days of EoL date, or be decommissioned within 90 days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EoL KPI: Number of EoL OS instances trending to zero. Any increase requires CISO notification within 24 hours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B3A6B"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D7</w:t>
            </w:r>
          </w:p>
          <w:p>
            <w:pPr>
              <w:jc w:val="center"/>
            </w:pPr>
            <w:r>
              <w:rPr>
                <w:rFonts w:ascii="Calibri" w:cs="Calibri" w:eastAsia="Calibri" w:hAnsi="Calibri"/>
                <w:color w:val="00A8E8"/>
                <w:sz w:val="16"/>
                <w:szCs w:val="16"/>
              </w:rPr>
              <w:t xml:space="preserve">DOMAIN</w:t>
            </w:r>
          </w:p>
        </w:tc>
        <w:tc>
          <w:tcPr>
            <w:tcW w:type="dxa" w:w="8160"/>
            <w:tcBorders>
              <w:top w:val="nil"/>
              <w:left w:val="nil"/>
              <w:bottom w:val="nil"/>
              <w:right w:val="nil"/>
            </w:tcBorders>
            <w:shd w:fill="0D1B2A"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Network Security &amp; Segmentation</w:t>
            </w:r>
          </w:p>
          <w:p>
            <w:pPr>
              <w:spacing w:before="40"/>
            </w:pPr>
            <w:r>
              <w:rPr>
                <w:rFonts w:ascii="Calibri" w:cs="Calibri" w:eastAsia="Calibri" w:hAnsi="Calibri"/>
                <w:color w:val="00A8E8"/>
                <w:sz w:val="20"/>
                <w:szCs w:val="20"/>
              </w:rPr>
              <w:t xml:space="preserve">Retained from v2.0 — refer original controls NET-01 through NET-03</w:t>
            </w:r>
          </w:p>
        </w:tc>
      </w:tr>
    </w:tbl>
    <w:p>
      <w:pPr>
        <w:spacing w:before="60" w:after="0"/>
      </w:pPr>
      <w:r>
        <w:t xml:space="preserve"/>
      </w:r>
    </w:p>
    <w:p>
      <w:pPr>
        <w:spacing w:before="60" w:after="80"/>
      </w:pPr>
      <w:r>
        <w:rPr>
          <w:rFonts w:ascii="Calibri" w:cs="Calibri" w:eastAsia="Calibri" w:hAnsi="Calibri"/>
          <w:color w:val="1A2233"/>
          <w:sz w:val="22"/>
          <w:szCs w:val="22"/>
        </w:rPr>
        <w:t xml:space="preserve">Domain D7 controls NET-01 (Host-Based Firewall), NET-02 (Micro-Segmentation and Trust Zones), and NET-03 (Secure Remote Administration) are retained unchanged from v2.0. SAW device network isolation requirements are specified in IAA-08 and cross-reference D7 zone model.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B3A6B"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D8</w:t>
            </w:r>
          </w:p>
          <w:p>
            <w:pPr>
              <w:jc w:val="center"/>
            </w:pPr>
            <w:r>
              <w:rPr>
                <w:rFonts w:ascii="Calibri" w:cs="Calibri" w:eastAsia="Calibri" w:hAnsi="Calibri"/>
                <w:color w:val="00A8E8"/>
                <w:sz w:val="16"/>
                <w:szCs w:val="16"/>
              </w:rPr>
              <w:t xml:space="preserve">DOMAIN</w:t>
            </w:r>
          </w:p>
        </w:tc>
        <w:tc>
          <w:tcPr>
            <w:tcW w:type="dxa" w:w="8160"/>
            <w:tcBorders>
              <w:top w:val="nil"/>
              <w:left w:val="nil"/>
              <w:bottom w:val="nil"/>
              <w:right w:val="nil"/>
            </w:tcBorders>
            <w:shd w:fill="0D1B2A"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Compliance, Governance &amp; Continuous Assurance</w:t>
            </w:r>
          </w:p>
          <w:p>
            <w:pPr>
              <w:spacing w:before="40"/>
            </w:pPr>
            <w:r>
              <w:rPr>
                <w:rFonts w:ascii="Calibri" w:cs="Calibri" w:eastAsia="Calibri" w:hAnsi="Calibri"/>
                <w:color w:val="00A8E8"/>
                <w:sz w:val="20"/>
                <w:szCs w:val="20"/>
              </w:rPr>
              <w:t xml:space="preserve">Extended with third-party risk management and security debt governance</w:t>
            </w:r>
          </w:p>
        </w:tc>
      </w:tr>
    </w:tbl>
    <w:p>
      <w:pPr>
        <w:spacing w:before="80" w:after="0"/>
      </w:pPr>
      <w:r>
        <w:t xml:space="preserve"/>
      </w:r>
    </w:p>
    <w:p>
      <w:pPr>
        <w:pStyle w:val="Heading3"/>
        <w:spacing w:before="200" w:after="80"/>
      </w:pPr>
      <w:r>
        <w:rPr>
          <w:rFonts w:ascii="Calibri" w:cs="Calibri" w:eastAsia="Calibri" w:hAnsi="Calibri"/>
          <w:b/>
          <w:bCs/>
          <w:color w:val="1E5F94"/>
          <w:sz w:val="24"/>
          <w:szCs w:val="24"/>
        </w:rPr>
        <w:t xml:space="preserve">Required Controls (existing: GOV-01 through GOV-04 retained — refer v2.0)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8"/>
              <w:bottom w:val="single" w:color="D97706" w:sz="6"/>
              <w:right w:val="nil"/>
            </w:tcBorders>
            <w:shd w:fill="FFFBEB" w:val="clear"/>
            <w:tcMar>
              <w:top w:type="dxa" w:w="120"/>
              <w:left w:type="dxa" w:w="240"/>
              <w:bottom w:type="dxa" w:w="120"/>
              <w:right w:type="dxa" w:w="120"/>
            </w:tcMar>
          </w:tcPr>
          <w:p>
            <w:pPr>
              <w:spacing w:before="0" w:after="40"/>
            </w:pPr>
            <w:r>
              <w:rPr>
                <w:rFonts w:ascii="Calibri" w:cs="Calibri" w:eastAsia="Calibri" w:hAnsi="Calibri"/>
                <w:b/>
                <w:bCs/>
                <w:color w:val="D97706"/>
                <w:sz w:val="20"/>
                <w:szCs w:val="20"/>
              </w:rPr>
              <w:t xml:space="preserve">GAP-05 REMEDIATION — Third-Party &amp; Vendor Risk at OS Layer — GOV-05  </w:t>
            </w:r>
            <w:r>
              <w:rPr>
                <w:rFonts w:ascii="Calibri" w:cs="Calibri" w:eastAsia="Calibri" w:hAnsi="Calibri"/>
                <w:b/>
                <w:bCs/>
                <w:color w:val="D97706"/>
                <w:sz w:val="18"/>
                <w:szCs w:val="18"/>
              </w:rPr>
              <w:t xml:space="preserve">[HIGH]</w:t>
            </w:r>
          </w:p>
          <w:p>
            <w:pPr>
              <w:spacing w:before="0" w:after="0"/>
            </w:pPr>
            <w:r>
              <w:rPr>
                <w:rFonts w:ascii="Calibri" w:cs="Calibri" w:eastAsia="Calibri" w:hAnsi="Calibri"/>
                <w:color w:val="1A2233"/>
                <w:sz w:val="20"/>
                <w:szCs w:val="20"/>
              </w:rPr>
              <w:t xml:space="preserve">Third-party tools installed on managed OS systems (agents, monitoring tools, backup clients, vendor utilities) have the same privilege as the OS itself. The framework had no controls on third-party agent vetting, third-party privileged access, or vendor exit. This is a significant supply chain and access risk.</w:t>
            </w:r>
          </w:p>
        </w:tc>
      </w:tr>
    </w:tbl>
    <w:p>
      <w:pPr>
        <w:spacing w:before="60" w:after="0"/>
      </w:pPr>
      <w:r>
        <w:t xml:space="preserve"/>
      </w:r>
    </w:p>
    <w:p>
      <w:pPr>
        <w:spacing w:before="160" w:after="60"/>
      </w:pPr>
      <w:r>
        <w:rPr>
          <w:rFonts w:ascii="Calibri" w:cs="Calibri" w:eastAsia="Calibri" w:hAnsi="Calibri"/>
          <w:b/>
          <w:bCs/>
          <w:color w:val="2D4059"/>
          <w:sz w:val="22"/>
          <w:szCs w:val="22"/>
        </w:rPr>
        <w:t xml:space="preserve">GOV-05  Third-Party and Vendor Risk Management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Third-party agent approval: No third-party software installed on managed OS systems without security review. Review covers: functionality, privilege requirements, update mechanism, vendor security posture, SBOM or equivalent composition disclosure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Third-party privileged access: Vendor access to managed systems brokered through PAM (same JIT/session recording requirements as internal privileged access). No standing vendor access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Vendor security assessment: Annual assessment of all vendors providing OS-layer tooling. Assessment covers: patch currency, disclosure programme, SOC 2 Type II or equivalent, data handling practices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Third-party agent inventory: All third-party agents catalogued in CMDB with vendor, version, privilege level, and last security review date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Vendor exit controls: Documented process for removing third-party agents and revoking vendor access when contract terminates. Credential rotation and access review within 24 hours of termination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Derived standard: Third-Party Agent Onboarding and Review Standard [NEW v3.0]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8"/>
              <w:bottom w:val="single" w:color="16A34A" w:sz="6"/>
              <w:right w:val="nil"/>
            </w:tcBorders>
            <w:shd w:fill="F0FDF4" w:val="clear"/>
            <w:tcMar>
              <w:top w:type="dxa" w:w="120"/>
              <w:left w:type="dxa" w:w="240"/>
              <w:bottom w:type="dxa" w:w="120"/>
              <w:right w:type="dxa" w:w="120"/>
            </w:tcMar>
          </w:tcPr>
          <w:p>
            <w:pPr>
              <w:spacing w:before="0" w:after="40"/>
            </w:pPr>
            <w:r>
              <w:rPr>
                <w:rFonts w:ascii="Calibri" w:cs="Calibri" w:eastAsia="Calibri" w:hAnsi="Calibri"/>
                <w:b/>
                <w:bCs/>
                <w:color w:val="16A34A"/>
                <w:sz w:val="20"/>
                <w:szCs w:val="20"/>
              </w:rPr>
              <w:t xml:space="preserve">GAP-13 REMEDIATION — Security Debt Governance — GOV-06  </w:t>
            </w:r>
            <w:r>
              <w:rPr>
                <w:rFonts w:ascii="Calibri" w:cs="Calibri" w:eastAsia="Calibri" w:hAnsi="Calibri"/>
                <w:b/>
                <w:bCs/>
                <w:color w:val="16A34A"/>
                <w:sz w:val="18"/>
                <w:szCs w:val="18"/>
              </w:rPr>
              <w:t xml:space="preserve">[MEDIUM]</w:t>
            </w:r>
          </w:p>
          <w:p>
            <w:pPr>
              <w:spacing w:before="0" w:after="0"/>
            </w:pPr>
            <w:r>
              <w:rPr>
                <w:rFonts w:ascii="Calibri" w:cs="Calibri" w:eastAsia="Calibri" w:hAnsi="Calibri"/>
                <w:color w:val="1A2233"/>
                <w:sz w:val="20"/>
                <w:szCs w:val="20"/>
              </w:rPr>
              <w:t xml:space="preserve">Security debt items tracked in VULN-05 require governance oversight. The risk acceptance process must have defined escalation, expiry, and executive visibility.</w:t>
            </w:r>
          </w:p>
        </w:tc>
      </w:tr>
    </w:tbl>
    <w:p>
      <w:pPr>
        <w:spacing w:before="60" w:after="0"/>
      </w:pPr>
      <w:r>
        <w:t xml:space="preserve"/>
      </w:r>
    </w:p>
    <w:p>
      <w:pPr>
        <w:spacing w:before="160" w:after="60"/>
      </w:pPr>
      <w:r>
        <w:rPr>
          <w:rFonts w:ascii="Calibri" w:cs="Calibri" w:eastAsia="Calibri" w:hAnsi="Calibri"/>
          <w:b/>
          <w:bCs/>
          <w:color w:val="2D4059"/>
          <w:sz w:val="22"/>
          <w:szCs w:val="22"/>
        </w:rPr>
        <w:t xml:space="preserve">GOV-06  Security Debt Governance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Security debt register maintained as a living document, owned by the VM Governance Board with CISO oversight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All risk acceptance decisions reviewed at 90-day intervals. Items not remediated or renewed are automatically escalated to CISO for mandatory decision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Security debt metrics reported quarterly to Board Risk Committee: count, age, criticality distribution, trend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Security debt reduction target: 20% quarter-over-quarter reduction in open items by count</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Derived Standards (D8 additions)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Third-Party Agent Onboarding and Security Review Standard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Vendor Privileged Access Policy [NEW v3.0]</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Security Debt Register and Governance Procedures [NEW v3.0]</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6A34A"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D9</w:t>
            </w:r>
          </w:p>
          <w:p>
            <w:pPr>
              <w:jc w:val="center"/>
            </w:pPr>
            <w:r>
              <w:rPr>
                <w:rFonts w:ascii="Calibri" w:cs="Calibri" w:eastAsia="Calibri" w:hAnsi="Calibri"/>
                <w:color w:val="DCFCE7"/>
                <w:sz w:val="16"/>
                <w:szCs w:val="16"/>
              </w:rPr>
              <w:t xml:space="preserve">NEW</w:t>
            </w:r>
          </w:p>
        </w:tc>
        <w:tc>
          <w:tcPr>
            <w:tcW w:type="dxa" w:w="8160"/>
            <w:tcBorders>
              <w:top w:val="nil"/>
              <w:left w:val="nil"/>
              <w:bottom w:val="nil"/>
              <w:right w:val="nil"/>
            </w:tcBorders>
            <w:shd w:fill="14532D"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Supply Chain Security</w:t>
            </w:r>
          </w:p>
          <w:p>
            <w:pPr>
              <w:spacing w:before="40"/>
            </w:pPr>
            <w:r>
              <w:rPr>
                <w:rFonts w:ascii="Calibri" w:cs="Calibri" w:eastAsia="Calibri" w:hAnsi="Calibri"/>
                <w:color w:val="86EFAC"/>
                <w:sz w:val="20"/>
                <w:szCs w:val="20"/>
              </w:rPr>
              <w:t xml:space="preserve">NEW in v3.0 — Addresses GAP-01 — Verified provenance for every OS layer component</w:t>
            </w:r>
          </w:p>
        </w:tc>
      </w:tr>
    </w:tbl>
    <w:p>
      <w:pPr>
        <w:spacing w:before="120" w:after="0"/>
      </w:pPr>
      <w:r>
        <w:t xml:space="preserve"/>
      </w:r>
    </w:p>
    <w:p>
      <w:pPr>
        <w:pStyle w:val="Heading3"/>
        <w:spacing w:before="200" w:after="80"/>
      </w:pPr>
      <w:r>
        <w:rPr>
          <w:rFonts w:ascii="Calibri" w:cs="Calibri" w:eastAsia="Calibri" w:hAnsi="Calibri"/>
          <w:b/>
          <w:bCs/>
          <w:color w:val="1E5F94"/>
          <w:sz w:val="24"/>
          <w:szCs w:val="24"/>
        </w:rPr>
        <w:t xml:space="preserve">Objective</w:t>
      </w:r>
    </w:p>
    <w:p>
      <w:pPr>
        <w:spacing w:before="60" w:after="80"/>
      </w:pPr>
      <w:r>
        <w:rPr>
          <w:rFonts w:ascii="Calibri" w:cs="Calibri" w:eastAsia="Calibri" w:hAnsi="Calibri"/>
          <w:color w:val="1A2233"/>
          <w:sz w:val="22"/>
          <w:szCs w:val="22"/>
        </w:rPr>
        <w:t xml:space="preserve">Ensure that every software component entering the OS build pipeline — base OS images, packages, agents, build tools, signing keys, and container images — has verified provenance and has not been tampered with. Supply chain compromise (T1195) bypasses all runtime controls by attacking the trust anchor below them. This domain treats software provenance as a first-class security property.</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Threat Context</w:t>
      </w:r>
    </w:p>
    <w:p>
      <w:pPr>
        <w:spacing w:before="60" w:after="80"/>
      </w:pPr>
      <w:r>
        <w:rPr>
          <w:rFonts w:ascii="Calibri" w:cs="Calibri" w:eastAsia="Calibri" w:hAnsi="Calibri"/>
          <w:color w:val="1A2233"/>
          <w:sz w:val="22"/>
          <w:szCs w:val="22"/>
        </w:rPr>
        <w:t xml:space="preserve">SolarWinds, XZ Utils (CVE-2024-3094), 3CX, and the Polyfill.io compromise demonstrated that sophisticated adversaries now target build pipelines and update mechanisms. MITRE ATT&amp;CK T1195 (Supply Chain Compromise), T1554 (Compromise Client Software Binary), and T1601 (Modify System Image) are actively exploited. This domain directly addresses these threats at the OS layer.</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Required Controls</w:t>
      </w:r>
    </w:p>
    <w:p>
      <w:pPr>
        <w:spacing w:before="160" w:after="60"/>
      </w:pPr>
      <w:r>
        <w:rPr>
          <w:rFonts w:ascii="Calibri" w:cs="Calibri" w:eastAsia="Calibri" w:hAnsi="Calibri"/>
          <w:b/>
          <w:bCs/>
          <w:color w:val="2D4059"/>
          <w:sz w:val="22"/>
          <w:szCs w:val="22"/>
        </w:rPr>
        <w:t xml:space="preserve">SC-01  Software Bill of Materials (SBOM)</w:t>
      </w:r>
    </w:p>
    <w:p>
      <w:pPr>
        <w:spacing w:before="60" w:after="80"/>
      </w:pPr>
      <w:r>
        <w:rPr>
          <w:rFonts w:ascii="Calibri" w:cs="Calibri" w:eastAsia="Calibri" w:hAnsi="Calibri"/>
          <w:color w:val="1A2233"/>
          <w:sz w:val="22"/>
          <w:szCs w:val="22"/>
        </w:rPr>
        <w:t xml:space="preserve">Every OS golden image and software package deployed on managed systems must have an associated SBOM in a machine-readable format.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SBOM format: SPDX 2.3 or CycloneDX 1.5 minimum. Both formats acceptable.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SBOM scope: All packages, libraries, and components in the image. Transitive dependencies included.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SBOM generation: Automated in build pipeline using Syft, Trivy, or equivalent. Not manually authored.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SBOM storage: Signed and stored in artefact registry alongside the image. Retrievable by asset ID.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SBOM consumption: Vulnerability scanner ingests SBOM for dependency-level CVE matching. SBOM queried before any emergency patching decision.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SBOM disclosure: SBOM made available to enterprise GRC and external auditors on request.</w:t>
      </w:r>
    </w:p>
    <w:p>
      <w:pPr>
        <w:spacing w:before="60" w:after="0"/>
      </w:pPr>
      <w:r>
        <w:t xml:space="preserve"/>
      </w:r>
    </w:p>
    <w:p>
      <w:pPr>
        <w:spacing w:before="160" w:after="60"/>
      </w:pPr>
      <w:r>
        <w:rPr>
          <w:rFonts w:ascii="Calibri" w:cs="Calibri" w:eastAsia="Calibri" w:hAnsi="Calibri"/>
          <w:b/>
          <w:bCs/>
          <w:color w:val="2D4059"/>
          <w:sz w:val="22"/>
          <w:szCs w:val="22"/>
        </w:rPr>
        <w:t xml:space="preserve">SC-02  Package Integrity and Signing</w:t>
      </w:r>
    </w:p>
    <w:p>
      <w:pPr>
        <w:spacing w:before="60" w:after="80"/>
      </w:pPr>
      <w:r>
        <w:rPr>
          <w:rFonts w:ascii="Calibri" w:cs="Calibri" w:eastAsia="Calibri" w:hAnsi="Calibri"/>
          <w:color w:val="1A2233"/>
          <w:sz w:val="22"/>
          <w:szCs w:val="22"/>
        </w:rPr>
        <w:t xml:space="preserve">All OS packages installed on managed systems must be cryptographically verified before installation.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Linux: RPM GPG signature verification enforced (gpgcheck=1, no override). APT signed repository with gpg key verification. Package manager configured to reject unsigned or unverifiable packages.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Windows: PowerShell package providers restricted to PSGallery with TLS pinning. Unsigned .msi/.exe installation blocked by WDAC policy.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Repository trust: Only approved, enterprise-controlled package mirrors permitted. Direct internet package downloads from build systems prohibited.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Mirror integrity: Enterprise package mirrors cryptographically verify upstream packages before accepting. Mirror compromise detection via hash comparison against multiple upstream sources.</w:t>
      </w:r>
    </w:p>
    <w:p>
      <w:pPr>
        <w:spacing w:before="60" w:after="0"/>
      </w:pPr>
      <w:r>
        <w:t xml:space="preserve"/>
      </w:r>
    </w:p>
    <w:p>
      <w:pPr>
        <w:spacing w:before="160" w:after="60"/>
      </w:pPr>
      <w:r>
        <w:rPr>
          <w:rFonts w:ascii="Calibri" w:cs="Calibri" w:eastAsia="Calibri" w:hAnsi="Calibri"/>
          <w:b/>
          <w:bCs/>
          <w:color w:val="2D4059"/>
          <w:sz w:val="22"/>
          <w:szCs w:val="22"/>
        </w:rPr>
        <w:t xml:space="preserve">SC-03  Build Provenance and SLSA Compliance</w:t>
      </w:r>
    </w:p>
    <w:p>
      <w:pPr>
        <w:spacing w:before="60" w:after="80"/>
      </w:pPr>
      <w:r>
        <w:rPr>
          <w:rFonts w:ascii="Calibri" w:cs="Calibri" w:eastAsia="Calibri" w:hAnsi="Calibri"/>
          <w:color w:val="1A2233"/>
          <w:sz w:val="22"/>
          <w:szCs w:val="22"/>
        </w:rPr>
        <w:t xml:space="preserve">The build pipeline must produce verifiable attestations that artefacts were built from the declared source using the declared process. This closes the gap between source code and deployed artefact.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SLSA Level 2 minimum for all OS golden images (version-controlled source, automated build, provenance generated). SLSA Level 3 target for Tier 0 system images.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Build provenance attestation: Every image build produces a signed SLSA provenance attestation recording: source commit hash, build system identity, build parameters, output artefact digest.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Provenance verification: Image deployment pipeline verifies provenance attestation before promotion to production. Deployment blocked if provenance missing or signature invalid.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Build system isolation: Build infrastructure (Packer, CI/CD runners) is Tier 0 and subject to highest hardening standards. Build systems have no internet access except approved package mirrors.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Ephemeral build environments: Build jobs execute in ephemeral, isolated environments. No persistent build agents with accumulated state.</w:t>
      </w:r>
    </w:p>
    <w:p>
      <w:pPr>
        <w:spacing w:before="60" w:after="0"/>
      </w:pPr>
      <w:r>
        <w:t xml:space="preserve"/>
      </w:r>
    </w:p>
    <w:p>
      <w:pPr>
        <w:spacing w:before="160" w:after="60"/>
      </w:pPr>
      <w:r>
        <w:rPr>
          <w:rFonts w:ascii="Calibri" w:cs="Calibri" w:eastAsia="Calibri" w:hAnsi="Calibri"/>
          <w:b/>
          <w:bCs/>
          <w:color w:val="2D4059"/>
          <w:sz w:val="22"/>
          <w:szCs w:val="22"/>
        </w:rPr>
        <w:t xml:space="preserve">SC-04  Dependency and Composition Analysis</w:t>
      </w:r>
    </w:p>
    <w:p>
      <w:pPr>
        <w:spacing w:before="60" w:after="80"/>
      </w:pPr>
      <w:r>
        <w:rPr>
          <w:rFonts w:ascii="Calibri" w:cs="Calibri" w:eastAsia="Calibri" w:hAnsi="Calibri"/>
          <w:color w:val="1A2233"/>
          <w:sz w:val="22"/>
          <w:szCs w:val="22"/>
        </w:rPr>
        <w:t xml:space="preserve">Continuous analysis of software composition to detect vulnerabilities, licence risks, and malicious packages in OS-layer dependencies.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Software Composition Analysis (SCA): Trivy, Grype, or OWASP Dependency-Check integrated into build pipeline. Build fails if Critical CVE present in dependency without approved exception.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Dependency confusion prevention: Enterprise package namespaces registered in public registries. Package manager configured to prefer internal mirror. Dependency confusion attack detection via package name monitoring.</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Typosquat detection: Package names scanned against known typosquat patterns before installation. Unexpected new packages in golden images generate alert.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Malicious package detection: Threat intelligence feeds for known-malicious package hashes and names integrated into build pipeline scanning.</w:t>
      </w:r>
    </w:p>
    <w:p>
      <w:pPr>
        <w:spacing w:before="60" w:after="0"/>
      </w:pPr>
      <w:r>
        <w:t xml:space="preserve"/>
      </w:r>
    </w:p>
    <w:p>
      <w:pPr>
        <w:spacing w:before="160" w:after="60"/>
      </w:pPr>
      <w:r>
        <w:rPr>
          <w:rFonts w:ascii="Calibri" w:cs="Calibri" w:eastAsia="Calibri" w:hAnsi="Calibri"/>
          <w:b/>
          <w:bCs/>
          <w:color w:val="2D4059"/>
          <w:sz w:val="22"/>
          <w:szCs w:val="22"/>
        </w:rPr>
        <w:t xml:space="preserve">SC-05  Vendor and Third-Party Component Vetting</w:t>
      </w:r>
    </w:p>
    <w:p>
      <w:pPr>
        <w:spacing w:before="60" w:after="80"/>
      </w:pPr>
      <w:r>
        <w:rPr>
          <w:rFonts w:ascii="Calibri" w:cs="Calibri" w:eastAsia="Calibri" w:hAnsi="Calibri"/>
          <w:color w:val="1A2233"/>
          <w:sz w:val="22"/>
          <w:szCs w:val="22"/>
        </w:rPr>
        <w:t xml:space="preserve">Commercially provided OS components, firmware, and agents require structured vetting before deployment.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Vendor disclosure requirements: Vendors providing OS-layer components must provide: SBOM or component inventory, patch response SLA (&lt; 48h for Critical), coordinated disclosure programme, SOC 2 Type II or equivalent assurance.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Firmware integrity: Hardware firmware (BIOS, NIC, storage controller) verified against vendor-provided hashes before deployment. Firmware updates distributed only through authenticated, encrypted vendor channels.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Third-party agent vetting: Refer GOV-05 for agent approval process. SC domain adds: mandatory SBOM review, known-vulnerable component check, and build provenance verification for all third-party agents.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Vendor security notification integration: Enterprise subscribed to vendor security advisories for all OS-layer components. Advisories automatically create tracking items in vulnerability management platform.</w:t>
      </w:r>
    </w:p>
    <w:p>
      <w:pPr>
        <w:spacing w:before="60" w:after="0"/>
      </w:pPr>
      <w:r>
        <w:t xml:space="preserve"/>
      </w:r>
    </w:p>
    <w:p>
      <w:pPr>
        <w:spacing w:before="160" w:after="60"/>
      </w:pPr>
      <w:r>
        <w:rPr>
          <w:rFonts w:ascii="Calibri" w:cs="Calibri" w:eastAsia="Calibri" w:hAnsi="Calibri"/>
          <w:b/>
          <w:bCs/>
          <w:color w:val="2D4059"/>
          <w:sz w:val="22"/>
          <w:szCs w:val="22"/>
        </w:rPr>
        <w:t xml:space="preserve">SC-06  Container and Base Image Chain of Custody</w:t>
      </w:r>
    </w:p>
    <w:p>
      <w:pPr>
        <w:spacing w:before="60" w:after="80"/>
      </w:pPr>
      <w:r>
        <w:rPr>
          <w:rFonts w:ascii="Calibri" w:cs="Calibri" w:eastAsia="Calibri" w:hAnsi="Calibri"/>
          <w:color w:val="1A2233"/>
          <w:sz w:val="22"/>
          <w:szCs w:val="22"/>
        </w:rPr>
        <w:t xml:space="preserve">Where OS builds use container-based components or are deployed in containerised form, the container supply chain requires equivalent controls.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Base images sourced only from enterprise-maintained registry or verified vendor registry (Red Hat UBI, Microsoft MCR). No Docker Hub base images in production.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Container images scanned for CVEs and secrets before registry push. Scan results attached to image metadata.</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Image signing: All production container images signed with Sigstore/Cosign. Kubernetes admission control (OPA/Kyverno) rejects unsigned images.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Distroless base images preferred for production workloads to minimise OS-layer attack surface.</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OS-Specific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Control</w:t>
            </w:r>
          </w:p>
        </w:tc>
        <w:tc>
          <w:tcPr>
            <w:tcW w:type="dxa" w:w="358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Unix/Linux Implementation</w:t>
            </w:r>
          </w:p>
        </w:tc>
        <w:tc>
          <w:tcPr>
            <w:tcW w:type="dxa" w:w="358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Windows Implementation</w:t>
            </w:r>
          </w:p>
        </w:tc>
      </w:tr>
      <w:tr>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Package signing</w:t>
            </w:r>
          </w:p>
        </w:tc>
        <w:tc>
          <w:tcPr>
            <w:tcW w:type="dxa" w:w="358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RPM: gpgcheck=1. APT: signed-by in sources.list. Verification automated in Packer build.</w:t>
            </w:r>
          </w:p>
        </w:tc>
        <w:tc>
          <w:tcPr>
            <w:tcW w:type="dxa" w:w="358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WinGet: PackageManifest verification. WSUS: SSL + publisher certificates. WDAC blocks unsigned installs.</w:t>
            </w:r>
          </w:p>
        </w:tc>
      </w:tr>
      <w:tr>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SBOM generation</w:t>
            </w:r>
          </w:p>
        </w:tc>
        <w:tc>
          <w:tcPr>
            <w:tcW w:type="dxa" w:w="358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Syft or Trivy in Packer provisioner. SPDX output to artefact registry.</w:t>
            </w:r>
          </w:p>
        </w:tc>
        <w:tc>
          <w:tcPr>
            <w:tcW w:type="dxa" w:w="358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Syft for Windows packages. Integrated with Azure Container Registry or JFrog Artifactory.</w:t>
            </w:r>
          </w:p>
        </w:tc>
      </w:tr>
      <w:tr>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Build provenance</w:t>
            </w:r>
          </w:p>
        </w:tc>
        <w:tc>
          <w:tcPr>
            <w:tcW w:type="dxa" w:w="358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GitHub Actions SLSA generator or Tekton Chains. Provenance stored in OCI registry.</w:t>
            </w:r>
          </w:p>
        </w:tc>
        <w:tc>
          <w:tcPr>
            <w:tcW w:type="dxa" w:w="358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Azure DevOps with SLSA provenance. Signed by Azure Managed Identity.</w:t>
            </w:r>
          </w:p>
        </w:tc>
      </w:tr>
      <w:tr>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Dependency analysis</w:t>
            </w:r>
          </w:p>
        </w:tc>
        <w:tc>
          <w:tcPr>
            <w:tcW w:type="dxa" w:w="358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Trivy FS scan + Grype in CI pipeline. Fail on CRITICAL unpatched CVE.</w:t>
            </w:r>
          </w:p>
        </w:tc>
        <w:tc>
          <w:tcPr>
            <w:tcW w:type="dxa" w:w="358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Trivy Windows support or Mend (WhiteSource) for MSI/NuGet dependencies.</w:t>
            </w:r>
          </w:p>
        </w:tc>
      </w:tr>
      <w:tr>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Container chain</w:t>
            </w:r>
          </w:p>
        </w:tc>
        <w:tc>
          <w:tcPr>
            <w:tcW w:type="dxa" w:w="358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Containerd + Cosign image verification. OPA Gatekeeper enforces signed images.</w:t>
            </w:r>
          </w:p>
        </w:tc>
        <w:tc>
          <w:tcPr>
            <w:tcW w:type="dxa" w:w="358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ACR Tasks with Notary v2 signing. AKS admission webhook enforces signed images.</w:t>
            </w:r>
          </w:p>
        </w:tc>
      </w:tr>
    </w:tbl>
    <w:p>
      <w:pPr>
        <w:spacing w:before="80" w:after="0"/>
      </w:pPr>
      <w:r>
        <w:t xml:space="preserve"/>
      </w:r>
    </w:p>
    <w:p>
      <w:pPr>
        <w:pStyle w:val="Heading3"/>
        <w:spacing w:before="200" w:after="80"/>
      </w:pPr>
      <w:r>
        <w:rPr>
          <w:rFonts w:ascii="Calibri" w:cs="Calibri" w:eastAsia="Calibri" w:hAnsi="Calibri"/>
          <w:b/>
          <w:bCs/>
          <w:color w:val="1E5F94"/>
          <w:sz w:val="24"/>
          <w:szCs w:val="24"/>
        </w:rPr>
        <w:t xml:space="preserve">Derived Standards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SBOM Generation Standard — Format, Tooling, and Storage Requirements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Package Signing and Repository Integrity Standard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Build Provenance and SLSA Compliance Standard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Software Composition Analysis Pipeline Standard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Container Supply Chain Security Standard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Vendor Component Vetting and TPRM Integration Standard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6A34A"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D10</w:t>
            </w:r>
          </w:p>
          <w:p>
            <w:pPr>
              <w:jc w:val="center"/>
            </w:pPr>
            <w:r>
              <w:rPr>
                <w:rFonts w:ascii="Calibri" w:cs="Calibri" w:eastAsia="Calibri" w:hAnsi="Calibri"/>
                <w:color w:val="DCFCE7"/>
                <w:sz w:val="16"/>
                <w:szCs w:val="16"/>
              </w:rPr>
              <w:t xml:space="preserve">NEW</w:t>
            </w:r>
          </w:p>
        </w:tc>
        <w:tc>
          <w:tcPr>
            <w:tcW w:type="dxa" w:w="8160"/>
            <w:tcBorders>
              <w:top w:val="nil"/>
              <w:left w:val="nil"/>
              <w:bottom w:val="nil"/>
              <w:right w:val="nil"/>
            </w:tcBorders>
            <w:shd w:fill="14532D"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Operational Resilience &amp; Business Continuity</w:t>
            </w:r>
          </w:p>
          <w:p>
            <w:pPr>
              <w:spacing w:before="40"/>
            </w:pPr>
            <w:r>
              <w:rPr>
                <w:rFonts w:ascii="Calibri" w:cs="Calibri" w:eastAsia="Calibri" w:hAnsi="Calibri"/>
                <w:color w:val="86EFAC"/>
                <w:sz w:val="20"/>
                <w:szCs w:val="20"/>
              </w:rPr>
              <w:t xml:space="preserve">NEW in v3.0 — Addresses GAP-02 — Security infrastructure must survive, recover, and be tested</w:t>
            </w:r>
          </w:p>
        </w:tc>
      </w:tr>
    </w:tbl>
    <w:p>
      <w:pPr>
        <w:spacing w:before="120" w:after="0"/>
      </w:pPr>
      <w:r>
        <w:t xml:space="preserve"/>
      </w:r>
    </w:p>
    <w:p>
      <w:pPr>
        <w:pStyle w:val="Heading3"/>
        <w:spacing w:before="200" w:after="80"/>
      </w:pPr>
      <w:r>
        <w:rPr>
          <w:rFonts w:ascii="Calibri" w:cs="Calibri" w:eastAsia="Calibri" w:hAnsi="Calibri"/>
          <w:b/>
          <w:bCs/>
          <w:color w:val="1E5F94"/>
          <w:sz w:val="24"/>
          <w:szCs w:val="24"/>
        </w:rPr>
        <w:t xml:space="preserve">Objective</w:t>
      </w:r>
    </w:p>
    <w:p>
      <w:pPr>
        <w:spacing w:before="60" w:after="80"/>
      </w:pPr>
      <w:r>
        <w:rPr>
          <w:rFonts w:ascii="Calibri" w:cs="Calibri" w:eastAsia="Calibri" w:hAnsi="Calibri"/>
          <w:color w:val="1A2233"/>
          <w:sz w:val="22"/>
          <w:szCs w:val="22"/>
        </w:rPr>
        <w:t xml:space="preserve">Ensure that OS security infrastructure — identity services, PAM platform, SIEM, and security agents — has defined availability targets, tested recovery procedures, and verified failover capability. A security architecture that creates dependencies without resilience is a liability, not a control. This domain also defines BCDR requirements for the OS platforms themselves.</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Threat Context</w:t>
      </w:r>
    </w:p>
    <w:p>
      <w:pPr>
        <w:spacing w:before="60" w:after="80"/>
      </w:pPr>
      <w:r>
        <w:rPr>
          <w:rFonts w:ascii="Calibri" w:cs="Calibri" w:eastAsia="Calibri" w:hAnsi="Calibri"/>
          <w:color w:val="1A2233"/>
          <w:sz w:val="22"/>
          <w:szCs w:val="22"/>
        </w:rPr>
        <w:t xml:space="preserve">Availability attacks against security infrastructure (killing EDR, disabling SIEM, disrupting PAM) are a primary attacker objective after initial access. Additionally, ransomware and destructive attacks (T1485, T1486) can render OS infrastructure unavailable. Without tested recovery procedures, the organisation's response capability is undefined.</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Required Controls</w:t>
      </w:r>
    </w:p>
    <w:p>
      <w:pPr>
        <w:spacing w:before="160" w:after="60"/>
      </w:pPr>
      <w:r>
        <w:rPr>
          <w:rFonts w:ascii="Calibri" w:cs="Calibri" w:eastAsia="Calibri" w:hAnsi="Calibri"/>
          <w:b/>
          <w:bCs/>
          <w:color w:val="2D4059"/>
          <w:sz w:val="22"/>
          <w:szCs w:val="22"/>
        </w:rPr>
        <w:t xml:space="preserve">RES-01  Availability Targets for Security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80"/>
        <w:gridCol w:w="1040"/>
        <w:gridCol w:w="1200"/>
        <w:gridCol w:w="3840"/>
      </w:tblGrid>
      <w:tr>
        <w:trPr>
          <w:tblHeader/>
        </w:trPr>
        <w:tc>
          <w:tcPr>
            <w:tcW w:type="dxa" w:w="24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Component</w:t>
            </w:r>
          </w:p>
        </w:tc>
        <w:tc>
          <w:tcPr>
            <w:tcW w:type="dxa" w:w="88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Tier</w:t>
            </w:r>
          </w:p>
        </w:tc>
        <w:tc>
          <w:tcPr>
            <w:tcW w:type="dxa" w:w="104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RTO</w:t>
            </w:r>
          </w:p>
        </w:tc>
        <w:tc>
          <w:tcPr>
            <w:tcW w:type="dxa" w:w="12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RPO</w:t>
            </w:r>
          </w:p>
        </w:tc>
        <w:tc>
          <w:tcPr>
            <w:tcW w:type="dxa" w:w="384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HA Requirement</w:t>
            </w:r>
          </w:p>
        </w:tc>
      </w:tr>
      <w:tr>
        <w:tc>
          <w:tcPr>
            <w:tcW w:type="dxa" w:w="2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Identity Provider (AD/LDAP/SSO)</w:t>
            </w:r>
          </w:p>
        </w:tc>
        <w:tc>
          <w:tcPr>
            <w:tcW w:type="dxa" w:w="88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Tier 0</w:t>
            </w:r>
          </w:p>
        </w:tc>
        <w:tc>
          <w:tcPr>
            <w:tcW w:type="dxa" w:w="104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15 minutes</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0 (zero data loss)</w:t>
            </w:r>
          </w:p>
        </w:tc>
        <w:tc>
          <w:tcPr>
            <w:tcW w:type="dxa" w:w="384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Active-Active, geographically separated DCs</w:t>
            </w:r>
          </w:p>
        </w:tc>
      </w:tr>
      <w:tr>
        <w:tc>
          <w:tcPr>
            <w:tcW w:type="dxa" w:w="2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PAM Platform</w:t>
            </w:r>
          </w:p>
        </w:tc>
        <w:tc>
          <w:tcPr>
            <w:tcW w:type="dxa" w:w="88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Tier 0</w:t>
            </w:r>
          </w:p>
        </w:tc>
        <w:tc>
          <w:tcPr>
            <w:tcW w:type="dxa" w:w="104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30 minutes</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&lt; 1 hour</w:t>
            </w:r>
          </w:p>
        </w:tc>
        <w:tc>
          <w:tcPr>
            <w:tcW w:type="dxa" w:w="384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Active-Passive with automated failover. HA tested quarterly.</w:t>
            </w:r>
          </w:p>
        </w:tc>
      </w:tr>
      <w:tr>
        <w:tc>
          <w:tcPr>
            <w:tcW w:type="dxa" w:w="2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PKI / Certificate Authority</w:t>
            </w:r>
          </w:p>
        </w:tc>
        <w:tc>
          <w:tcPr>
            <w:tcW w:type="dxa" w:w="88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Tier 0</w:t>
            </w:r>
          </w:p>
        </w:tc>
        <w:tc>
          <w:tcPr>
            <w:tcW w:type="dxa" w:w="104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1 hour</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0</w:t>
            </w:r>
          </w:p>
        </w:tc>
        <w:tc>
          <w:tcPr>
            <w:tcW w:type="dxa" w:w="384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Offline root CA. Online subordinate CA in HA pair.</w:t>
            </w:r>
          </w:p>
        </w:tc>
      </w:tr>
      <w:tr>
        <w:tc>
          <w:tcPr>
            <w:tcW w:type="dxa" w:w="2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SIEM Ingestion Pipeline</w:t>
            </w:r>
          </w:p>
        </w:tc>
        <w:tc>
          <w:tcPr>
            <w:tcW w:type="dxa" w:w="88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Tier 1</w:t>
            </w:r>
          </w:p>
        </w:tc>
        <w:tc>
          <w:tcPr>
            <w:tcW w:type="dxa" w:w="104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1 hour</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&lt; 15 minutes log gap</w:t>
            </w:r>
          </w:p>
        </w:tc>
        <w:tc>
          <w:tcPr>
            <w:tcW w:type="dxa" w:w="384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SIEM cluster. Local buffering on agents for pipeline failure.</w:t>
            </w:r>
          </w:p>
        </w:tc>
      </w:tr>
      <w:tr>
        <w:tc>
          <w:tcPr>
            <w:tcW w:type="dxa" w:w="2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EDR Console / Management</w:t>
            </w:r>
          </w:p>
        </w:tc>
        <w:tc>
          <w:tcPr>
            <w:tcW w:type="dxa" w:w="88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Tier 1</w:t>
            </w:r>
          </w:p>
        </w:tc>
        <w:tc>
          <w:tcPr>
            <w:tcW w:type="dxa" w:w="104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4 hours</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N/A (sensor-independent)</w:t>
            </w:r>
          </w:p>
        </w:tc>
        <w:tc>
          <w:tcPr>
            <w:tcW w:type="dxa" w:w="384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Cloud-hosted EDR preferred. On-prem: HA cluster.</w:t>
            </w:r>
          </w:p>
        </w:tc>
      </w:tr>
      <w:tr>
        <w:tc>
          <w:tcPr>
            <w:tcW w:type="dxa" w:w="2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Vulnerability Scanner</w:t>
            </w:r>
          </w:p>
        </w:tc>
        <w:tc>
          <w:tcPr>
            <w:tcW w:type="dxa" w:w="88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Tier 2</w:t>
            </w:r>
          </w:p>
        </w:tc>
        <w:tc>
          <w:tcPr>
            <w:tcW w:type="dxa" w:w="104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24 hours</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&lt; 7 days scan gap</w:t>
            </w:r>
          </w:p>
        </w:tc>
        <w:tc>
          <w:tcPr>
            <w:tcW w:type="dxa" w:w="384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Single instance acceptable with backup configuration.</w:t>
            </w:r>
          </w:p>
        </w:tc>
      </w:tr>
      <w:tr>
        <w:tc>
          <w:tcPr>
            <w:tcW w:type="dxa" w:w="2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NTP Infrastructure</w:t>
            </w:r>
          </w:p>
        </w:tc>
        <w:tc>
          <w:tcPr>
            <w:tcW w:type="dxa" w:w="88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Tier 1</w:t>
            </w:r>
          </w:p>
        </w:tc>
        <w:tc>
          <w:tcPr>
            <w:tcW w:type="dxa" w:w="104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30 minutes</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N/A</w:t>
            </w:r>
          </w:p>
        </w:tc>
        <w:tc>
          <w:tcPr>
            <w:tcW w:type="dxa" w:w="384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Minimum 3 stratum 2 servers. No single stratum 1 dependency.</w:t>
            </w:r>
          </w:p>
        </w:tc>
      </w:tr>
    </w:tbl>
    <w:p>
      <w:pPr>
        <w:spacing w:before="60" w:after="0"/>
      </w:pPr>
      <w:r>
        <w:t xml:space="preserve"/>
      </w:r>
    </w:p>
    <w:p>
      <w:pPr>
        <w:spacing w:before="160" w:after="60"/>
      </w:pPr>
      <w:r>
        <w:rPr>
          <w:rFonts w:ascii="Calibri" w:cs="Calibri" w:eastAsia="Calibri" w:hAnsi="Calibri"/>
          <w:b/>
          <w:bCs/>
          <w:color w:val="2D4059"/>
          <w:sz w:val="22"/>
          <w:szCs w:val="22"/>
        </w:rPr>
        <w:t xml:space="preserve">RES-02  Break-Glass Procedures for Security Infrastructure Failure</w:t>
      </w:r>
    </w:p>
    <w:p>
      <w:pPr>
        <w:spacing w:before="60" w:after="80"/>
      </w:pPr>
      <w:r>
        <w:rPr>
          <w:rFonts w:ascii="Calibri" w:cs="Calibri" w:eastAsia="Calibri" w:hAnsi="Calibri"/>
          <w:color w:val="1A2233"/>
          <w:sz w:val="22"/>
          <w:szCs w:val="22"/>
        </w:rPr>
        <w:t xml:space="preserve">When central security controls are unavailable, defined break-glass procedures ensure operational continuity without creating permanent security gaps.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IdP unavailability: Break-glass local accounts on each system, with credentials vaulted (offline, hardware-key protected vault). Activation requires dual-person integrity and is automatically revoked when IdP recovers. All break-glass use generates retrospective alert reviewed within 4 hours of IdP recovery.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PAM platform unavailability: Offline vault containing emergency credentials for Tier 0 systems. Stored in physically secured, access-controlled location. Usage requires physical key + passphrase + witness. Full audit upon PAM recovery.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SIEM unavailability: Local log retention on systems activated. Minimum 7-day local retention. Log backfill to SIEM when connectivity restored. Operations team notified immediately.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EDR console unavailability: Sensor continues operating independently. Alerts buffered locally. No operational change to endpoint protection during console unavailability.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Break-glass procedures documented, tested annually, and known to SOC and platform leads. Not stored exclusively in systems that may be unavailable during the incident.</w:t>
      </w:r>
    </w:p>
    <w:p>
      <w:pPr>
        <w:spacing w:before="60" w:after="0"/>
      </w:pPr>
      <w:r>
        <w:t xml:space="preserve"/>
      </w:r>
    </w:p>
    <w:p>
      <w:pPr>
        <w:spacing w:before="160" w:after="60"/>
      </w:pPr>
      <w:r>
        <w:rPr>
          <w:rFonts w:ascii="Calibri" w:cs="Calibri" w:eastAsia="Calibri" w:hAnsi="Calibri"/>
          <w:b/>
          <w:bCs/>
          <w:color w:val="2D4059"/>
          <w:sz w:val="22"/>
          <w:szCs w:val="22"/>
        </w:rPr>
        <w:t xml:space="preserve">RES-03  OS Platform Backup and Recovery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Configuration state backup: All OS configuration (managed by Ansible/DSC) is implicitly backed up in version control. Deployment pipeline is the recovery mechanism — not point-in-time backup.</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Stateful data: Databases, application state, and user data on managed OS systems backed up per data classification: Confidential/Restricted — daily backup, 30-day retention, encrypted, off-site copy. Internal — weekly backup.</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Identity infrastructure backup: Active Directory backed up daily using AD-native backup tools. Backup tested quarterly with restore verification. Backup media encrypted and stored off-site.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Recovery testing: Backup restore tested quarterly for Critical systems. Annual full DR exercise including IdP, PAM, and SIEM recovery.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Immutable backup: Backup data stored in immutable storage (WORM) to prevent ransomware encryption of backup copies. Air-gap copy maintained for Restricted data.</w:t>
      </w:r>
    </w:p>
    <w:p>
      <w:pPr>
        <w:spacing w:before="60" w:after="0"/>
      </w:pPr>
      <w:r>
        <w:t xml:space="preserve"/>
      </w:r>
    </w:p>
    <w:p>
      <w:pPr>
        <w:spacing w:before="160" w:after="60"/>
      </w:pPr>
      <w:r>
        <w:rPr>
          <w:rFonts w:ascii="Calibri" w:cs="Calibri" w:eastAsia="Calibri" w:hAnsi="Calibri"/>
          <w:b/>
          <w:bCs/>
          <w:color w:val="2D4059"/>
          <w:sz w:val="22"/>
          <w:szCs w:val="22"/>
        </w:rPr>
        <w:t xml:space="preserve">RES-04  Resilience Testing</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Availability testing: Quarterly failover tests for Tier 0 security components (IdP, PAM) in production or production-equivalent environment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Chaos / fault injection: Annual fault injection exercises simulating: SIEM failure, EDR console loss, PAM platform failure, NTP desync. Validates that break-glass procedures work as documented.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BCDR exercise: Annual tabletop exercise simulating major OS security incident (ransomware, supply chain compromise) with CISO, platform teams, and SOC. Outcomes fed back into this domain.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RTO/RPO validation: Actual recovery times measured during tests and compared against targets. Failures to meet targets trigger remediation projects.</w:t>
      </w:r>
    </w:p>
    <w:p>
      <w:pPr>
        <w:spacing w:before="60" w:after="0"/>
      </w:pPr>
      <w:r>
        <w:t xml:space="preserve"/>
      </w:r>
    </w:p>
    <w:p>
      <w:pPr>
        <w:spacing w:before="160" w:after="60"/>
      </w:pPr>
      <w:r>
        <w:rPr>
          <w:rFonts w:ascii="Calibri" w:cs="Calibri" w:eastAsia="Calibri" w:hAnsi="Calibri"/>
          <w:b/>
          <w:bCs/>
          <w:color w:val="2D4059"/>
          <w:sz w:val="22"/>
          <w:szCs w:val="22"/>
        </w:rPr>
        <w:t xml:space="preserve">RES-05  Alignment with Enterprise BCDR</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This domain's requirements are incorporated into the enterprise Business Continuity Plan. Changes to security infrastructure HA requirements are reviewed by the Business Continuity team.</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Regulatory alignment: ISO 22301 for BCDR programme. NIST SP 800-34 for IT contingency planning. FSB/FCA operational resilience requirements for financial sector (where applicable).</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Derived Standards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Security Infrastructure High Availability Standard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Break-Glass Procedure Manual (Offline copy maintained)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OS Platform Backup and Recovery Standard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BCDR Testing Calendar and Exercise Playbook</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RTO/RPO Registry for Security Components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6A34A" w:val="clear"/>
            <w:tcMar>
              <w:top w:type="dxa" w:w="160"/>
              <w:left w:type="dxa" w:w="160"/>
              <w:bottom w:type="dxa" w:w="160"/>
              <w:right w:type="dxa" w:w="160"/>
            </w:tcMar>
            <w:vAlign w:val="center"/>
          </w:tcPr>
          <w:p>
            <w:pPr>
              <w:jc w:val="center"/>
            </w:pPr>
            <w:r>
              <w:rPr>
                <w:rFonts w:ascii="Calibri" w:cs="Calibri" w:eastAsia="Calibri" w:hAnsi="Calibri"/>
                <w:b/>
                <w:bCs/>
                <w:color w:val="FFFFFF"/>
                <w:sz w:val="48"/>
                <w:szCs w:val="48"/>
              </w:rPr>
              <w:t xml:space="preserve">D11</w:t>
            </w:r>
          </w:p>
          <w:p>
            <w:pPr>
              <w:jc w:val="center"/>
            </w:pPr>
            <w:r>
              <w:rPr>
                <w:rFonts w:ascii="Calibri" w:cs="Calibri" w:eastAsia="Calibri" w:hAnsi="Calibri"/>
                <w:color w:val="DCFCE7"/>
                <w:sz w:val="16"/>
                <w:szCs w:val="16"/>
              </w:rPr>
              <w:t xml:space="preserve">NEW</w:t>
            </w:r>
          </w:p>
        </w:tc>
        <w:tc>
          <w:tcPr>
            <w:tcW w:type="dxa" w:w="8160"/>
            <w:tcBorders>
              <w:top w:val="nil"/>
              <w:left w:val="nil"/>
              <w:bottom w:val="nil"/>
              <w:right w:val="nil"/>
            </w:tcBorders>
            <w:shd w:fill="14532D" w:val="clear"/>
            <w:tcMar>
              <w:top w:type="dxa" w:w="160"/>
              <w:left w:type="dxa" w:w="280"/>
              <w:bottom w:type="dxa" w:w="160"/>
              <w:right w:type="dxa" w:w="160"/>
            </w:tcMar>
            <w:vAlign w:val="center"/>
          </w:tcPr>
          <w:p>
            <w:r>
              <w:rPr>
                <w:rFonts w:ascii="Calibri" w:cs="Calibri" w:eastAsia="Calibri" w:hAnsi="Calibri"/>
                <w:b/>
                <w:bCs/>
                <w:color w:val="FFFFFF"/>
                <w:sz w:val="32"/>
                <w:szCs w:val="32"/>
              </w:rPr>
              <w:t xml:space="preserve">Incident Response Integration — OS Layer</w:t>
            </w:r>
          </w:p>
          <w:p>
            <w:pPr>
              <w:spacing w:before="40"/>
            </w:pPr>
            <w:r>
              <w:rPr>
                <w:rFonts w:ascii="Calibri" w:cs="Calibri" w:eastAsia="Calibri" w:hAnsi="Calibri"/>
                <w:color w:val="86EFAC"/>
                <w:sz w:val="20"/>
                <w:szCs w:val="20"/>
              </w:rPr>
              <w:t xml:space="preserve">NEW in v3.0 — Addresses GAP-03 — Defined response, containment, and forensic capability</w:t>
            </w:r>
          </w:p>
        </w:tc>
      </w:tr>
    </w:tbl>
    <w:p>
      <w:pPr>
        <w:spacing w:before="120" w:after="0"/>
      </w:pPr>
      <w:r>
        <w:t xml:space="preserve"/>
      </w:r>
    </w:p>
    <w:p>
      <w:pPr>
        <w:pStyle w:val="Heading3"/>
        <w:spacing w:before="200" w:after="80"/>
      </w:pPr>
      <w:r>
        <w:rPr>
          <w:rFonts w:ascii="Calibri" w:cs="Calibri" w:eastAsia="Calibri" w:hAnsi="Calibri"/>
          <w:b/>
          <w:bCs/>
          <w:color w:val="1E5F94"/>
          <w:sz w:val="24"/>
          <w:szCs w:val="24"/>
        </w:rPr>
        <w:t xml:space="preserve">Objective</w:t>
      </w:r>
    </w:p>
    <w:p>
      <w:pPr>
        <w:spacing w:before="60" w:after="80"/>
      </w:pPr>
      <w:r>
        <w:rPr>
          <w:rFonts w:ascii="Calibri" w:cs="Calibri" w:eastAsia="Calibri" w:hAnsi="Calibri"/>
          <w:color w:val="1A2233"/>
          <w:sz w:val="22"/>
          <w:szCs w:val="22"/>
        </w:rPr>
        <w:t xml:space="preserve">Define the OS-layer incident response capability: how compromised systems are detected, contained, investigated, and recovered. Establish forensic readiness so that evidence can be preserved and chain of custody maintained. Integrate with the enterprise Incident Response Plan (IRP) without duplicating it.</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Threat Context</w:t>
      </w:r>
    </w:p>
    <w:p>
      <w:pPr>
        <w:spacing w:before="60" w:after="80"/>
      </w:pPr>
      <w:r>
        <w:rPr>
          <w:rFonts w:ascii="Calibri" w:cs="Calibri" w:eastAsia="Calibri" w:hAnsi="Calibri"/>
          <w:color w:val="1A2233"/>
          <w:sz w:val="22"/>
          <w:szCs w:val="22"/>
        </w:rPr>
        <w:t xml:space="preserve">Without defined OS-layer IR procedures, response teams improvise under pressure, evidence is destroyed, and attackers maintain dwell time while defenders debate containment options. This domain eliminates those gaps by pre-defining response actions for known OS attack patterns.</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Required Controls</w:t>
      </w:r>
    </w:p>
    <w:p>
      <w:pPr>
        <w:spacing w:before="160" w:after="60"/>
      </w:pPr>
      <w:r>
        <w:rPr>
          <w:rFonts w:ascii="Calibri" w:cs="Calibri" w:eastAsia="Calibri" w:hAnsi="Calibri"/>
          <w:b/>
          <w:bCs/>
          <w:color w:val="2D4059"/>
          <w:sz w:val="22"/>
          <w:szCs w:val="22"/>
        </w:rPr>
        <w:t xml:space="preserve">IR-01  OS-Layer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c>
          <w:tcPr>
            <w:tcW w:type="dxa" w:w="28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c>
          <w:tcPr>
            <w:tcW w:type="dxa" w:w="20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Initial Response SLA</w:t>
            </w:r>
          </w:p>
        </w:tc>
        <w:tc>
          <w:tcPr>
            <w:tcW w:type="dxa" w:w="33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Escalation</w:t>
            </w:r>
          </w:p>
        </w:tc>
      </w:tr>
      <w:tr>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P1 — Critical</w:t>
            </w:r>
          </w:p>
        </w:tc>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Confirmed compromise of Tier 0 system, active ransomware, confirmed data exfiltration</w:t>
            </w:r>
          </w:p>
        </w:tc>
        <w:tc>
          <w:tcPr>
            <w:tcW w:type="dxa" w:w="2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Immediate containment, CISO notification within 30 minutes</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CISO, Legal, Board notification per regulatory obligations</w:t>
            </w:r>
          </w:p>
        </w:tc>
      </w:tr>
      <w:tr>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P2 — High</w:t>
            </w:r>
          </w:p>
        </w:tc>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Suspected compromise, privilege escalation detected, security control disabled</w:t>
            </w:r>
          </w:p>
        </w:tc>
        <w:tc>
          <w:tcPr>
            <w:tcW w:type="dxa" w:w="2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Triage within 15 minutes, containment within 1 hour</w:t>
            </w:r>
          </w:p>
        </w:tc>
        <w:tc>
          <w:tcPr>
            <w:tcW w:type="dxa" w:w="33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Architecture, Platform Lead, SOC Manager</w:t>
            </w:r>
          </w:p>
        </w:tc>
      </w:tr>
      <w:tr>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P3 — Medium</w:t>
            </w:r>
          </w:p>
        </w:tc>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Anomalous privileged activity, policy violation, FIM alert</w:t>
            </w:r>
          </w:p>
        </w:tc>
        <w:tc>
          <w:tcPr>
            <w:tcW w:type="dxa" w:w="2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Triage within 1 hour, investigation within 4 hours</w:t>
            </w:r>
          </w:p>
        </w:tc>
        <w:tc>
          <w:tcPr>
            <w:tcW w:type="dxa" w:w="33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SOC Analyst, Platform Team</w:t>
            </w:r>
          </w:p>
        </w:tc>
      </w:tr>
      <w:tr>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P4 — Low</w:t>
            </w:r>
          </w:p>
        </w:tc>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Compliance drift, configuration deviation, failed auth (single instance)</w:t>
            </w:r>
          </w:p>
        </w:tc>
        <w:tc>
          <w:tcPr>
            <w:tcW w:type="dxa" w:w="2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Investigation within 24 hours</w:t>
            </w:r>
          </w:p>
        </w:tc>
        <w:tc>
          <w:tcPr>
            <w:tcW w:type="dxa" w:w="33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Platform team notification</w:t>
            </w:r>
          </w:p>
        </w:tc>
      </w:tr>
    </w:tbl>
    <w:p>
      <w:pPr>
        <w:spacing w:before="60" w:after="0"/>
      </w:pPr>
      <w:r>
        <w:t xml:space="preserve"/>
      </w:r>
    </w:p>
    <w:p>
      <w:pPr>
        <w:spacing w:before="160" w:after="60"/>
      </w:pPr>
      <w:r>
        <w:rPr>
          <w:rFonts w:ascii="Calibri" w:cs="Calibri" w:eastAsia="Calibri" w:hAnsi="Calibri"/>
          <w:b/>
          <w:bCs/>
          <w:color w:val="2D4059"/>
          <w:sz w:val="22"/>
          <w:szCs w:val="22"/>
        </w:rPr>
        <w:t xml:space="preserve">IR-02  OS Containment Procedures</w:t>
      </w:r>
    </w:p>
    <w:p>
      <w:pPr>
        <w:spacing w:before="60" w:after="80"/>
      </w:pPr>
      <w:r>
        <w:rPr>
          <w:rFonts w:ascii="Calibri" w:cs="Calibri" w:eastAsia="Calibri" w:hAnsi="Calibri"/>
          <w:color w:val="1A2233"/>
          <w:sz w:val="22"/>
          <w:szCs w:val="22"/>
        </w:rPr>
        <w:t xml:space="preserve">Pre-defined containment actions for compromised OS systems, ordered by invasiveness. SOC analysts are authorised to execute steps 1-3 without escalation; steps 4-5 require manager approval.</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Step 1 — Enhanced monitoring: Increase audit verbosity on suspect system. Enable additional SIEM correlation rules targeting the host.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Step 2 — Network quarantine: Apply host firewall rules blocking all traffic except to SIEM, EDR console, and management network. System remains reachable for investigation.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Step 3 — Session termination: Terminate all active sessions on the compromised system. Revoke any credentials that may have been exposed.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Step 4 — Network isolation: Remove system from all production network access. Accessible only via OOB management network for forensic investigation.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Step 5 — Instance termination and rebuild: For cloud instances or virtualised workloads, snapshot for forensics then terminate and rebuild from golden image. For physical systems, preserve and redeploy.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SOAR automation: Steps 1-3 can be triggered automatically by SOAR on high-confidence SIEM alerts. Steps 4-5 require human approval via SOAR approval workflow.</w:t>
      </w:r>
    </w:p>
    <w:p>
      <w:pPr>
        <w:spacing w:before="60" w:after="0"/>
      </w:pPr>
      <w:r>
        <w:t xml:space="preserve"/>
      </w:r>
    </w:p>
    <w:p>
      <w:pPr>
        <w:spacing w:before="160" w:after="60"/>
      </w:pPr>
      <w:r>
        <w:rPr>
          <w:rFonts w:ascii="Calibri" w:cs="Calibri" w:eastAsia="Calibri" w:hAnsi="Calibri"/>
          <w:b/>
          <w:bCs/>
          <w:color w:val="2D4059"/>
          <w:sz w:val="22"/>
          <w:szCs w:val="22"/>
        </w:rPr>
        <w:t xml:space="preserve">IR-03  Forensic Readiness</w:t>
      </w:r>
    </w:p>
    <w:p>
      <w:pPr>
        <w:spacing w:before="60" w:after="80"/>
      </w:pPr>
      <w:r>
        <w:rPr>
          <w:rFonts w:ascii="Calibri" w:cs="Calibri" w:eastAsia="Calibri" w:hAnsi="Calibri"/>
          <w:color w:val="1A2233"/>
          <w:sz w:val="22"/>
          <w:szCs w:val="22"/>
        </w:rPr>
        <w:t xml:space="preserve">The organisation must be capable of acquiring and preserving forensic evidence from OS systems in a manner that maintains chain of custody and admissibility.</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Forensic image acquisition: dd, dcfldd, or FTK Imager capability available for physical systems. Cloud: snapshot API used for VM image acquisition before instance termination.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Memory acquisition: Volatility or WinPmem capability available for live memory acquisition. Required for suspected rootkit or fileless malware investigation.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Chain of custody: Every forensic artefact (disk image, memory dump, log export) has a chain of custody record: acquisition timestamp, hash, analyst identity, storage location.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Evidence preservation: Forensic images stored in access-controlled, immutable storage. Retention: 12 months minimum; extended for matters involving legal proceedings.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Forensic tool pre-deployment: Forensic collection scripts and tools pre-staged on PAM jump hosts. Not acquired post-incident.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Live forensics capability: eBPF-based live forensics (Linux: bpftrace, Falco) and Windows Sysmon provide in-memory investigation capability without taking system offline.</w:t>
      </w:r>
    </w:p>
    <w:p>
      <w:pPr>
        <w:spacing w:before="60" w:after="0"/>
      </w:pPr>
      <w:r>
        <w:t xml:space="preserve"/>
      </w:r>
    </w:p>
    <w:p>
      <w:pPr>
        <w:spacing w:before="160" w:after="60"/>
      </w:pPr>
      <w:r>
        <w:rPr>
          <w:rFonts w:ascii="Calibri" w:cs="Calibri" w:eastAsia="Calibri" w:hAnsi="Calibri"/>
          <w:b/>
          <w:bCs/>
          <w:color w:val="2D4059"/>
          <w:sz w:val="22"/>
          <w:szCs w:val="22"/>
        </w:rPr>
        <w:t xml:space="preserve">IR-04  Post-Incident Review and Framework Feedback</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Post-Incident Review (PIR) mandatory for all P1 and P2 incidents. PIR completed within 5 business days of incident closure.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PIR outputs fed into framework review process (GOV-04). Control failures identified in PIR trigger domain review within 30 days.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Indicators of Compromise (IOCs) extracted from incidents and added to threat intelligence platform within 24 hours of PIR completion.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Lessons learned distributed to platform teams, SOC, and security architecture. Not restricted to incident response team.</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Metrics: Mean Time to Detect (MTTD), Mean Time to Contain (MTTC), Mean Time to Recover (MTTR) tracked per incident and reported monthly.</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Derived Standards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OS-Layer Incident Response Playbook Library (per attack type: ransomware, lateral movement, supply chain, rootkit, insider)</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Forensic Evidence Collection and Chain of Custody Standard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SOAR Playbook — OS Containment Automation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Post-Incident Review Template and Process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Forensic Tool Inventory and Readiness Checklist</w:t>
      </w:r>
    </w:p>
    <w:p>
      <w:pPr>
        <w:spacing w:before="160" w:after="0"/>
      </w:pPr>
      <w:r>
        <w:t xml:space="preserve"/>
      </w:r>
    </w:p>
    <w:p>
      <w:pPr>
        <w:pStyle w:val="Heading1"/>
        <w:spacing w:before="400" w:after="160"/>
      </w:pPr>
      <w:r>
        <w:rPr>
          <w:rFonts w:ascii="Calibri" w:cs="Calibri" w:eastAsia="Calibri" w:hAnsi="Calibri"/>
          <w:b/>
          <w:bCs/>
          <w:color w:val="0D1B2A"/>
          <w:sz w:val="36"/>
          <w:szCs w:val="36"/>
        </w:rPr>
        <w:t xml:space="preserve">6. Regulatory Framework Mapping</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Version 3.0 adds three new frameworks to the mapping: NIST SP 800-61 (Incident Response), ISO 22301 (BCDR), and SLSA v1.0 (Supply Chain). New domains D9, D10, and D11 are included.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1600"/>
        <w:gridCol w:w="1200"/>
        <w:gridCol w:w="1760"/>
      </w:tblGrid>
      <w:tr>
        <w:trPr>
          <w:tblHeader/>
        </w:trPr>
        <w:tc>
          <w:tcPr>
            <w:tcW w:type="dxa" w:w="17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Domain</w:t>
            </w:r>
          </w:p>
        </w:tc>
        <w:tc>
          <w:tcPr>
            <w:tcW w:type="dxa" w:w="14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CIS Controls v8</w:t>
            </w:r>
          </w:p>
        </w:tc>
        <w:tc>
          <w:tcPr>
            <w:tcW w:type="dxa" w:w="17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NIST SP 800-53 r5</w:t>
            </w:r>
          </w:p>
        </w:tc>
        <w:tc>
          <w:tcPr>
            <w:tcW w:type="dxa" w:w="16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ISO/IEC 27001:2022</w:t>
            </w:r>
          </w:p>
        </w:tc>
        <w:tc>
          <w:tcPr>
            <w:tcW w:type="dxa" w:w="12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PCI-DSS v4.0</w:t>
            </w:r>
          </w:p>
        </w:tc>
        <w:tc>
          <w:tcPr>
            <w:tcW w:type="dxa" w:w="17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Additional</w:t>
            </w:r>
          </w:p>
        </w:tc>
      </w:tr>
      <w:tr>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D1 — IAA</w:t>
            </w:r>
          </w:p>
        </w:tc>
        <w:tc>
          <w:tcPr>
            <w:tcW w:type="dxa" w:w="1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Ctrl 5, 6</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AC-2, AC-6, IA-2, IA-5</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A.5.15, A.5.17, A.8.2</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Req 7, 8</w:t>
            </w:r>
          </w:p>
        </w:tc>
        <w:tc>
          <w:tcPr>
            <w:tcW w:type="dxa" w:w="1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AC-17 (SAW)</w:t>
            </w:r>
          </w:p>
        </w:tc>
      </w:tr>
      <w:tr>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D2 — OS Hardening</w:t>
            </w:r>
          </w:p>
        </w:tc>
        <w:tc>
          <w:tcPr>
            <w:tcW w:type="dxa" w:w="1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Ctrl 4, 16</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CM-6, CM-7, SA-11</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A.8.9, A.8.19</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Req 6.3, 6.5</w:t>
            </w:r>
          </w:p>
        </w:tc>
        <w:tc>
          <w:tcPr>
            <w:tcW w:type="dxa" w:w="1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DISA STIG, CIS Hypervisor</w:t>
            </w:r>
          </w:p>
        </w:tc>
      </w:tr>
      <w:tr>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D3 — Data Protection</w:t>
            </w:r>
          </w:p>
        </w:tc>
        <w:tc>
          <w:tcPr>
            <w:tcW w:type="dxa" w:w="1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Ctrl 3, 11</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SC-8, SC-28, IA-7</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A.8.24, A.8.20</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Req 3, 4</w:t>
            </w:r>
          </w:p>
        </w:tc>
        <w:tc>
          <w:tcPr>
            <w:tcW w:type="dxa" w:w="1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SP 800-131A (PQC), GDPR Art.32</w:t>
            </w:r>
          </w:p>
        </w:tc>
      </w:tr>
      <w:tr>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D4 — Logging</w:t>
            </w:r>
          </w:p>
        </w:tc>
        <w:tc>
          <w:tcPr>
            <w:tcW w:type="dxa" w:w="1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Ctrl 8</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AU-2, AU-9, AU-12</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A.8.15, A.8.17</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Req 10</w:t>
            </w:r>
          </w:p>
        </w:tc>
        <w:tc>
          <w:tcPr>
            <w:tcW w:type="dxa" w:w="1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SP 800-61 (detection)</w:t>
            </w:r>
          </w:p>
        </w:tc>
      </w:tr>
      <w:tr>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D5 — Endpoint</w:t>
            </w:r>
          </w:p>
        </w:tc>
        <w:tc>
          <w:tcPr>
            <w:tcW w:type="dxa" w:w="1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Ctrl 9, 10</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SI-2, SI-3, SI-7</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A.8.7, A.8.8</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Req 5, 6.4</w:t>
            </w:r>
          </w:p>
        </w:tc>
        <w:tc>
          <w:tcPr>
            <w:tcW w:type="dxa" w:w="1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MITRE D3FEND</w:t>
            </w:r>
          </w:p>
        </w:tc>
      </w:tr>
      <w:tr>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D6 — Vuln &amp; Patch</w:t>
            </w:r>
          </w:p>
        </w:tc>
        <w:tc>
          <w:tcPr>
            <w:tcW w:type="dxa" w:w="1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Ctrl 7</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RA-5, SI-2, CA-7</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A.8.8</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Req 6.3</w:t>
            </w:r>
          </w:p>
        </w:tc>
        <w:tc>
          <w:tcPr>
            <w:tcW w:type="dxa" w:w="1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CISA KEV</w:t>
            </w:r>
          </w:p>
        </w:tc>
      </w:tr>
      <w:tr>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D7 — Network</w:t>
            </w:r>
          </w:p>
        </w:tc>
        <w:tc>
          <w:tcPr>
            <w:tcW w:type="dxa" w:w="1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Ctrl 12, 13</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SC-7, SC-39, AC-17</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A.8.20, A.8.22</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Req 1, 2</w:t>
            </w:r>
          </w:p>
        </w:tc>
        <w:tc>
          <w:tcPr>
            <w:tcW w:type="dxa" w:w="1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Zero Trust (NIST SP 800-207)</w:t>
            </w:r>
          </w:p>
        </w:tc>
      </w:tr>
      <w:tr>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D8 — Governance</w:t>
            </w:r>
          </w:p>
        </w:tc>
        <w:tc>
          <w:tcPr>
            <w:tcW w:type="dxa" w:w="1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Ctrl 1, 18</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CA-2, CA-7, PL-1</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A.5.35, A.5.36</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Req 12</w:t>
            </w:r>
          </w:p>
        </w:tc>
        <w:tc>
          <w:tcPr>
            <w:tcW w:type="dxa" w:w="1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ISO 31000 (Risk)</w:t>
            </w:r>
          </w:p>
        </w:tc>
      </w:tr>
      <w:tr>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D9 — Supply Chain (NEW)</w:t>
            </w:r>
          </w:p>
        </w:tc>
        <w:tc>
          <w:tcPr>
            <w:tcW w:type="dxa" w:w="1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Ctrl 2, 16</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SR-4, SR-6, SR-11</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A.5.19, A.5.20</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Req 6.3.3</w:t>
            </w:r>
          </w:p>
        </w:tc>
        <w:tc>
          <w:tcPr>
            <w:tcW w:type="dxa" w:w="1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SLSA v1.0, NIST SP 800-161</w:t>
            </w:r>
          </w:p>
        </w:tc>
      </w:tr>
      <w:tr>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D10 — Resilience (NEW)</w:t>
            </w:r>
          </w:p>
        </w:tc>
        <w:tc>
          <w:tcPr>
            <w:tcW w:type="dxa" w:w="1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Ctrl 11</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CP-2, CP-9, CP-10</w:t>
            </w:r>
          </w:p>
        </w:tc>
        <w:tc>
          <w:tcPr>
            <w:tcW w:type="dxa" w:w="1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A.5.29, A.5.30</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Req 12.3</w:t>
            </w:r>
          </w:p>
        </w:tc>
        <w:tc>
          <w:tcPr>
            <w:tcW w:type="dxa" w:w="1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ISO 22301, NIST SP 800-34</w:t>
            </w:r>
          </w:p>
        </w:tc>
      </w:tr>
      <w:tr>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D11 — Incident Response (NEW)</w:t>
            </w:r>
          </w:p>
        </w:tc>
        <w:tc>
          <w:tcPr>
            <w:tcW w:type="dxa" w:w="1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Ctrl 17</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IR-4, IR-5, IR-8</w:t>
            </w:r>
          </w:p>
        </w:tc>
        <w:tc>
          <w:tcPr>
            <w:tcW w:type="dxa" w:w="1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A.5.24, A.5.26</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Req 12.10</w:t>
            </w:r>
          </w:p>
        </w:tc>
        <w:tc>
          <w:tcPr>
            <w:tcW w:type="dxa" w:w="1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SP 800-61, SANS IR Process</w:t>
            </w:r>
          </w:p>
        </w:tc>
      </w:tr>
    </w:tbl>
    <w:p>
      <w:pPr>
        <w:pStyle w:val="Heading1"/>
        <w:spacing w:before="400" w:after="160"/>
      </w:pPr>
      <w:r>
        <w:rPr>
          <w:rFonts w:ascii="Calibri" w:cs="Calibri" w:eastAsia="Calibri" w:hAnsi="Calibri"/>
          <w:b/>
          <w:bCs/>
          <w:color w:val="0D1B2A"/>
          <w:sz w:val="36"/>
          <w:szCs w:val="36"/>
        </w:rPr>
        <w:t xml:space="preserve">7. Cross-Cutting Capabilities</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Three capabilities span all control domains. Version 3.0 adds Supply Chain Verification as a fourth cross-cutting capability.</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7.1  Infrastructure as Code and Automation Platform</w:t>
      </w:r>
    </w:p>
    <w:p>
      <w:pPr>
        <w:spacing w:before="60" w:after="80"/>
      </w:pPr>
      <w:r>
        <w:rPr>
          <w:rFonts w:ascii="Calibri" w:cs="Calibri" w:eastAsia="Calibri" w:hAnsi="Calibri"/>
          <w:color w:val="1A2233"/>
          <w:sz w:val="22"/>
          <w:szCs w:val="22"/>
        </w:rPr>
        <w:t xml:space="preserve">Every control must have a programmable expression. Image building via Packer, configuration via Ansible/DSC, compliance testing via InSpec/OpenSCAP, orchestration via Terraform/GitOps. Secret injection via Vault Agent Injector — never static credential files.</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7.2  Asset Inventory and CMDB Integration</w:t>
      </w:r>
    </w:p>
    <w:p>
      <w:pPr>
        <w:spacing w:before="60" w:after="80"/>
      </w:pPr>
      <w:r>
        <w:rPr>
          <w:rFonts w:ascii="Calibri" w:cs="Calibri" w:eastAsia="Calibri" w:hAnsi="Calibri"/>
          <w:color w:val="1A2233"/>
          <w:sz w:val="22"/>
          <w:szCs w:val="22"/>
        </w:rPr>
        <w:t xml:space="preserve">Complete, accurate, real-time asset inventory. Every managed OS instance in CMDB with: OS type, version, owner, classification tier, compliance scope, EDR status, last scan result, patch currency, EoL status (v3.0 addition), and third-party agent inventory (v3.0 addition).</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7.3  Security Data Lake and Analytics</w:t>
      </w:r>
    </w:p>
    <w:p>
      <w:pPr>
        <w:spacing w:before="60" w:after="80"/>
      </w:pPr>
      <w:r>
        <w:rPr>
          <w:rFonts w:ascii="Calibri" w:cs="Calibri" w:eastAsia="Calibri" w:hAnsi="Calibri"/>
          <w:color w:val="1A2233"/>
          <w:sz w:val="22"/>
          <w:szCs w:val="22"/>
        </w:rPr>
        <w:t xml:space="preserve">Security telemetry converges in a data lake. 24-month searchable retention. Use cases: threat hunting, UEBA, incident reconstruction, compliance trend analysis. v3.0 addition: detection-as-code repository feeds detection rules from data lake analysis.</w:t>
      </w:r>
    </w:p>
    <w:p>
      <w:pPr>
        <w:spacing w:before="60" w:after="0"/>
      </w:pPr>
      <w:r>
        <w:t xml:space="preserve"/>
      </w:r>
    </w:p>
    <w:p>
      <w:pPr>
        <w:pStyle w:val="Heading3"/>
        <w:spacing w:before="200" w:after="80"/>
      </w:pPr>
      <w:r>
        <w:rPr>
          <w:rFonts w:ascii="Calibri" w:cs="Calibri" w:eastAsia="Calibri" w:hAnsi="Calibri"/>
          <w:b/>
          <w:bCs/>
          <w:color w:val="1E5F94"/>
          <w:sz w:val="24"/>
          <w:szCs w:val="24"/>
        </w:rPr>
        <w:t xml:space="preserve">7.4  Supply Chain Verification Platform [v3.0 NEW]</w:t>
      </w:r>
    </w:p>
    <w:p>
      <w:pPr>
        <w:spacing w:before="60" w:after="80"/>
      </w:pPr>
      <w:r>
        <w:rPr>
          <w:rFonts w:ascii="Calibri" w:cs="Calibri" w:eastAsia="Calibri" w:hAnsi="Calibri"/>
          <w:color w:val="1A2233"/>
          <w:sz w:val="22"/>
          <w:szCs w:val="22"/>
        </w:rPr>
        <w:t xml:space="preserve">A dedicated capability spanning D9 and all build-pipeline-consuming domains. Components: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Artefact registry with provenance metadata (OCI registry with Cosign/Notary v2 signing)</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SBOM storage and query API — query by CVE, component, or asset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SCA pipeline integration — Trivy/Grype results aggregated and trended</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SLSA provenance verification service — validates build attestations before image promotion</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Dependency confusion monitoring — alerts on unexpected package resolutions</w:t>
      </w:r>
    </w:p>
    <w:p>
      <w:pPr>
        <w:pStyle w:val="Heading1"/>
        <w:spacing w:before="400" w:after="160"/>
      </w:pPr>
      <w:r>
        <w:rPr>
          <w:rFonts w:ascii="Calibri" w:cs="Calibri" w:eastAsia="Calibri" w:hAnsi="Calibri"/>
          <w:b/>
          <w:bCs/>
          <w:color w:val="0D1B2A"/>
          <w:sz w:val="36"/>
          <w:szCs w:val="36"/>
        </w:rPr>
        <w:t xml:space="preserve">8. Key Performance Indicators and Success Metrics</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Version 3.0 adds seven new KPIs covering incident response, resilience, supply chain, detection, and security debt.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760"/>
        <w:gridCol w:w="1500"/>
      </w:tblGrid>
      <w:tr>
        <w:trPr>
          <w:tblHeader/>
        </w:trPr>
        <w:tc>
          <w:tcPr>
            <w:tcW w:type="dxa" w:w="36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KPI</w:t>
            </w:r>
          </w:p>
        </w:tc>
        <w:tc>
          <w:tcPr>
            <w:tcW w:type="dxa" w:w="15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Target</w:t>
            </w:r>
          </w:p>
        </w:tc>
        <w:tc>
          <w:tcPr>
            <w:tcW w:type="dxa" w:w="27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Measurement</w:t>
            </w:r>
          </w:p>
        </w:tc>
        <w:tc>
          <w:tcPr>
            <w:tcW w:type="dxa" w:w="15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Frequency</w:t>
            </w:r>
          </w:p>
        </w:tc>
      </w:tr>
      <w:tr>
        <w:tc>
          <w:tcPr>
            <w:tcW w:type="dxa" w:w="3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Systems compliant with hardening baseline</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 98%</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OpenSCAP / InSpec scan coverage</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Weekly</w:t>
            </w:r>
          </w:p>
        </w:tc>
      </w:tr>
      <w:tr>
        <w:tc>
          <w:tcPr>
            <w:tcW w:type="dxa" w:w="3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Mean Time to Patch — Critical (MTTP-C)</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 24 hours</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Vuln scanner close timestamp</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Continuous</w:t>
            </w:r>
          </w:p>
        </w:tc>
      </w:tr>
      <w:tr>
        <w:tc>
          <w:tcPr>
            <w:tcW w:type="dxa" w:w="3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Mean Time to Patch — High (MTTP-H)</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 7 days</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Vuln scanner close timestamp</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Continuous</w:t>
            </w:r>
          </w:p>
        </w:tc>
      </w:tr>
      <w:tr>
        <w:tc>
          <w:tcPr>
            <w:tcW w:type="dxa" w:w="3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Endpoint EDR coverage</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100%</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EDR console fleet inventory</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Daily</w:t>
            </w:r>
          </w:p>
        </w:tc>
      </w:tr>
      <w:tr>
        <w:tc>
          <w:tcPr>
            <w:tcW w:type="dxa" w:w="3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Centralised logging coverage</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100%</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SIEM asset vs CMDB delta</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Daily</w:t>
            </w:r>
          </w:p>
        </w:tc>
      </w:tr>
      <w:tr>
        <w:tc>
          <w:tcPr>
            <w:tcW w:type="dxa" w:w="3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Privileged standing accounts</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Trend ↓ 20% QoQ</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PAM platform report</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Quarterly</w:t>
            </w:r>
          </w:p>
        </w:tc>
      </w:tr>
      <w:tr>
        <w:tc>
          <w:tcPr>
            <w:tcW w:type="dxa" w:w="3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Drift auto-remediation rate</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 85%</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IaC pipeline remediation events</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Weekly</w:t>
            </w:r>
          </w:p>
        </w:tc>
      </w:tr>
      <w:tr>
        <w:tc>
          <w:tcPr>
            <w:tcW w:type="dxa" w:w="3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Vulnerability exposure window</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 30 days median</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Vuln age histogram</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Monthly</w:t>
            </w:r>
          </w:p>
        </w:tc>
      </w:tr>
      <w:tr>
        <w:tc>
          <w:tcPr>
            <w:tcW w:type="dxa" w:w="3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JIT access ratio (priv sessions)</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 70% of sessions</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PAM session logs</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Monthly</w:t>
            </w:r>
          </w:p>
        </w:tc>
      </w:tr>
      <w:tr>
        <w:tc>
          <w:tcPr>
            <w:tcW w:type="dxa" w:w="3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Audit log immutability coverage</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100% of in-scope systems</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SIEM ingestion vs source delta</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Daily</w:t>
            </w:r>
          </w:p>
        </w:tc>
      </w:tr>
      <w:tr>
        <w:tc>
          <w:tcPr>
            <w:tcW w:type="dxa" w:w="3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Mean Time to Detect — Critical OS events [NEW]</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 1 hour</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Purple team / SIEM detection timestamp</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Quarterly exercise</w:t>
            </w:r>
          </w:p>
        </w:tc>
      </w:tr>
      <w:tr>
        <w:tc>
          <w:tcPr>
            <w:tcW w:type="dxa" w:w="3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Mean Time to Contain (MTTC) [NEW]</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 4 hours for P1/P2</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IR ticket timestamps</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Per incident</w:t>
            </w:r>
          </w:p>
        </w:tc>
      </w:tr>
      <w:tr>
        <w:tc>
          <w:tcPr>
            <w:tcW w:type="dxa" w:w="3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SBOM coverage [NEW]</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100% of golden images</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Artefact registry SBOM presence</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Weekly</w:t>
            </w:r>
          </w:p>
        </w:tc>
      </w:tr>
      <w:tr>
        <w:tc>
          <w:tcPr>
            <w:tcW w:type="dxa" w:w="3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Build provenance compliance [NEW]</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100% SLSA L2 for Tier 0/1 images</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Build pipeline attestation check</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Per build</w:t>
            </w:r>
          </w:p>
        </w:tc>
      </w:tr>
      <w:tr>
        <w:tc>
          <w:tcPr>
            <w:tcW w:type="dxa" w:w="3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EoL OS instances [NEW]</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Trend to zero</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CMDB EoL tag count</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Monthly</w:t>
            </w:r>
          </w:p>
        </w:tc>
      </w:tr>
      <w:tr>
        <w:tc>
          <w:tcPr>
            <w:tcW w:type="dxa" w:w="36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control health [NEW]</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100% agents operational</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EDR + auditd + log shipper heartbeat</w:t>
            </w:r>
          </w:p>
        </w:tc>
        <w:tc>
          <w:tcPr>
            <w:tcW w:type="dxa" w:w="15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Real-time</w:t>
            </w:r>
          </w:p>
        </w:tc>
      </w:tr>
      <w:tr>
        <w:tc>
          <w:tcPr>
            <w:tcW w:type="dxa" w:w="36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PAM platform availability [NEW]</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 99.9% uptime</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Monitoring platform</w:t>
            </w:r>
          </w:p>
        </w:tc>
        <w:tc>
          <w:tcPr>
            <w:tcW w:type="dxa" w:w="15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Real-time</w:t>
            </w:r>
          </w:p>
        </w:tc>
      </w:tr>
    </w:tbl>
    <w:p>
      <w:pPr>
        <w:pStyle w:val="Heading1"/>
        <w:spacing w:before="400" w:after="160"/>
      </w:pPr>
      <w:r>
        <w:rPr>
          <w:rFonts w:ascii="Calibri" w:cs="Calibri" w:eastAsia="Calibri" w:hAnsi="Calibri"/>
          <w:b/>
          <w:bCs/>
          <w:color w:val="0D1B2A"/>
          <w:sz w:val="36"/>
          <w:szCs w:val="36"/>
        </w:rPr>
        <w:t xml:space="preserve">9. Derived Standards Catalogue</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Version 3.0 adds 22 new derived standards. The full catalogue now contains 41 documents.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900"/>
        <w:gridCol w:w="2760"/>
      </w:tblGrid>
      <w:tr>
        <w:trPr>
          <w:tblHeader/>
        </w:trPr>
        <w:tc>
          <w:tcPr>
            <w:tcW w:type="dxa" w:w="30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Standard / Document</w:t>
            </w:r>
          </w:p>
        </w:tc>
        <w:tc>
          <w:tcPr>
            <w:tcW w:type="dxa" w:w="17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Source Domain(s)</w:t>
            </w:r>
          </w:p>
        </w:tc>
        <w:tc>
          <w:tcPr>
            <w:tcW w:type="dxa" w:w="19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Owner</w:t>
            </w:r>
          </w:p>
        </w:tc>
        <w:tc>
          <w:tcPr>
            <w:tcW w:type="dxa" w:w="27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Regulatory Mapping</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Secure Build Standard (Packer Pipelines)</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D2</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CIS Control 4, NIST CM-6</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OS Hardening Baseline — Unix/Linux</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D2</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Linux Platform Team</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CIS Benchmark L1/L2, DISA STIG</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OS Hardening Baseline — Windows Server</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D2</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Windows Platform Team</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CIS Benchmark, DISA STIG</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Unix ↔ Active Directory Integration Std.</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Identity Engineering</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IA-2, ISO A.9.2</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Privileged Access Management Policy</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D1</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IAM / Security Ops</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PCI DSS 7, NIST AC-6</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JIT Access Standard</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IAM Engineering</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AC-17, ISO A.9.4</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Encryption Standard</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D3</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Security Architecture</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FIPS 140-3, NIST SP 800-57</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TLS Configuration Baseline</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D3</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SP 800-52, PCI DSS 4.2.1</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Secrets Management Policy</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D3</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DevSecOps</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CIS Control 13, NIST IA-5</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Logging &amp; Monitoring Standard</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D4</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Ops / SOC</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AU-2, PCI DSS 10, SOX</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Audit Policy Baseline</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D4</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Security Ops</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AU-9, ISO A.12.4</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EDR Onboarding &amp; Coverage Standard</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D5</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Ops</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CIS Control 10, NIST SI-3</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Application Allowlisting Ruleset</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D5</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Security Engineering</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CIS Control 2, NIST CM-7</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Vulnerability Management Lifecycle</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D6</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Vulnerability Management</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RA-5, PCI DSS 6.3</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Patch Management SLA Policy</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D6</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Vulnerability Management</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CIS Control 7, NIST SI-2</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Host Firewall Baseline</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D7</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Platform / NetSec</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SC-7, CIS Control 12</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Secure Remote Access Policy</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D7</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Security Architecture</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AC-17, CIS Control 12</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Compliance Control Mapping</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D8</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GRC / Compliance</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All frameworks</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Exception Governance Process</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D8</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GRC / Security Risk</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ISO A.5.31, NIST RA-3</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Secure Admin Workstation Specification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 D2</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Architecture</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AC-19, CIS Control 6</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Machine Identity &amp; Workload Credential Std.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D1, D3</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IAM / DevSecOps</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IA-8, SP 800-207</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Hypervisor Hardening Baseline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D2</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CIS VMware, DISA Hyper-V STIG</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Physical Security Procedures — OS Systems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D2</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Platform / Facilities</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ISO A.7.2, NIST PE-3</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Data Classification &amp; OS-Layer Handling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D3</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Architecture</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ISO A.5.12, NIST SC-28</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Volatile Data &amp; Memory Protection Baseline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D3</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SC-4, SC-28</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Cryptographic Algorithm Inventory &amp; PQC Plan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D3</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Architecture</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SP 800-131A, FIPS 203/204</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Privacy Impact Assessment Template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D3, D4</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GRC / DPO</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GDPR Art.32, ISO 27701</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Detection Rule Lifecycle Standard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D4</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SOC / Detection Eng.</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AU-12, MITRE ATT&amp;CK</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SOAR Playbook Framework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D4, D11</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SOC</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IR-4, SP 800-61</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Control Resilience Standard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D5</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Engineering</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SI-7, CP-2</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EoL OS &amp; Security Debt Register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D6, D8</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Vulnerability Mgmt</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RA-3, CIS Control 7</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Third-Party Agent Onboarding Standard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D8, D9</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GRC / Platform Eng.</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SR-6, ISO A.5.19</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SBOM Generation Standard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D9</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DevSecOps / Platform</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SP 800-161, SLSA v1.0</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Package Signing &amp; Repository Integrity Std.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D9</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SR-4, CIS Control 2</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Build Provenance &amp; SLSA Standard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D9</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DevSecOps</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SLSA v1.0, NIST SP 800-161</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Software Composition Analysis Standard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D9</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DevSecOps</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SR-11, CIS Control 2</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Container Supply Chain Security Standard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D9</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Platform / DevSecOps</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SP 800-190, SLSA</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Infrastructure HA Standard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D10</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ISO 22301, NIST CP-2</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Break-Glass Procedure Manual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D10</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Platform / IAM</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CP-10, IR-9</w:t>
            </w:r>
          </w:p>
        </w:tc>
      </w:tr>
      <w:tr>
        <w:tc>
          <w:tcPr>
            <w:tcW w:type="dxa" w:w="30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OS-Layer IR Playbook Library [NEW]</w:t>
            </w:r>
          </w:p>
        </w:tc>
        <w:tc>
          <w:tcPr>
            <w:tcW w:type="dxa" w:w="17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D11</w:t>
            </w:r>
          </w:p>
        </w:tc>
        <w:tc>
          <w:tcPr>
            <w:tcW w:type="dxa" w:w="1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SOC</w:t>
            </w:r>
          </w:p>
        </w:tc>
        <w:tc>
          <w:tcPr>
            <w:tcW w:type="dxa" w:w="2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NIST SP 800-61, SANS IR</w:t>
            </w:r>
          </w:p>
        </w:tc>
      </w:tr>
      <w:tr>
        <w:tc>
          <w:tcPr>
            <w:tcW w:type="dxa" w:w="30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Forensic Evidence Collection Standard [NEW]</w:t>
            </w:r>
          </w:p>
        </w:tc>
        <w:tc>
          <w:tcPr>
            <w:tcW w:type="dxa" w:w="17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D11</w:t>
            </w:r>
          </w:p>
        </w:tc>
        <w:tc>
          <w:tcPr>
            <w:tcW w:type="dxa" w:w="1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SOC / Legal</w:t>
            </w:r>
          </w:p>
        </w:tc>
        <w:tc>
          <w:tcPr>
            <w:tcW w:type="dxa" w:w="2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NIST SP 800-86, ISO 27037</w:t>
            </w:r>
          </w:p>
        </w:tc>
      </w:tr>
    </w:tbl>
    <w:p>
      <w:pPr>
        <w:pStyle w:val="Heading1"/>
        <w:spacing w:before="400" w:after="160"/>
      </w:pPr>
      <w:r>
        <w:rPr>
          <w:rFonts w:ascii="Calibri" w:cs="Calibri" w:eastAsia="Calibri" w:hAnsi="Calibri"/>
          <w:b/>
          <w:bCs/>
          <w:color w:val="0D1B2A"/>
          <w:sz w:val="36"/>
          <w:szCs w:val="36"/>
        </w:rPr>
        <w:t xml:space="preserve">10. Implementation Roadmap</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Version 3.0 adds a Phase 0 for immediate gap closure of the three Critical findings, and extends Phase 4 with supply chain maturity and PQC transition milestones.</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Phase 0 — Critical Gap Closure (Months 0–3) [NEW v3.0]</w:t>
      </w:r>
    </w:p>
    <w:p>
      <w:pPr>
        <w:spacing w:before="60" w:after="80"/>
      </w:pPr>
      <w:r>
        <w:rPr>
          <w:rFonts w:ascii="Calibri" w:cs="Calibri" w:eastAsia="Calibri" w:hAnsi="Calibri"/>
          <w:color w:val="1A2233"/>
          <w:sz w:val="22"/>
          <w:szCs w:val="22"/>
        </w:rPr>
        <w:t xml:space="preserve">Objective: Close the three Critical gaps identified in the v2.0 assessment before any new capability investment.</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Publish D9 (Supply Chain), D10 (Resilience), D11 (Incident Response) domain standards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Establish SBOM generation for all Tier 0/1 golden images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Document and test break-glass procedures for IdP and PAM platform failures</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Draft OS-layer IR playbooks for ransomware, lateral movement, and supply chain compromise</w:t>
      </w:r>
    </w:p>
    <w:p>
      <w:pPr>
        <w:pStyle w:val="ListParagraph"/>
        <w:numPr>
          <w:ilvl w:val="0"/>
          <w:numId w:val="2"/>
        </w:numPr>
        <w:spacing w:before="40" w:after="40"/>
      </w:pPr>
      <w:r>
        <w:rPr>
          <w:rFonts w:ascii="Calibri" w:cs="Calibri" w:eastAsia="Calibri" w:hAnsi="Calibri"/>
          <w:b w:val="false"/>
          <w:bCs w:val="false"/>
          <w:color w:val="1A2233"/>
          <w:sz w:val="22"/>
          <w:szCs w:val="22"/>
        </w:rPr>
        <w:t xml:space="preserve">Identify and register all EoL OS instances in CMDB with risk acceptance or migration plan</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Phase 1 — Baseline Establishment (Months 0–6)</w:t>
      </w:r>
    </w:p>
    <w:p>
      <w:pPr>
        <w:spacing w:before="60" w:after="80"/>
      </w:pPr>
      <w:r>
        <w:rPr>
          <w:rFonts w:ascii="Calibri" w:cs="Calibri" w:eastAsia="Calibri" w:hAnsi="Calibri"/>
          <w:color w:val="1A2233"/>
          <w:sz w:val="22"/>
          <w:szCs w:val="22"/>
        </w:rPr>
        <w:t xml:space="preserve">All Phase 1 items from v2.0 plus: SAW/PAW deployment for Tier 0 administrators. Hypervisor hardening baseline. Third-party agent inventory completion. Data classification taxonomy applied to OS-layer data.</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Phase 2 — Visibility and Detection (Months 4–12)</w:t>
      </w:r>
    </w:p>
    <w:p>
      <w:pPr>
        <w:spacing w:before="60" w:after="80"/>
      </w:pPr>
      <w:r>
        <w:rPr>
          <w:rFonts w:ascii="Calibri" w:cs="Calibri" w:eastAsia="Calibri" w:hAnsi="Calibri"/>
          <w:color w:val="1A2233"/>
          <w:sz w:val="22"/>
          <w:szCs w:val="22"/>
        </w:rPr>
        <w:t xml:space="preserve">All Phase 2 items from v2.0 plus: Detection-as-code repository established. MITRE ATT&amp;CK coverage mapping. SOAR playbooks for top 5 OS-layer alert types. SCA pipeline integration in image builds. Machine identity migration (short-lived certs replacing static service account keys).</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Phase 3 — Automation and Enforcement (Months 9–18)</w:t>
      </w:r>
    </w:p>
    <w:p>
      <w:pPr>
        <w:spacing w:before="60" w:after="80"/>
      </w:pPr>
      <w:r>
        <w:rPr>
          <w:rFonts w:ascii="Calibri" w:cs="Calibri" w:eastAsia="Calibri" w:hAnsi="Calibri"/>
          <w:color w:val="1A2233"/>
          <w:sz w:val="22"/>
          <w:szCs w:val="22"/>
        </w:rPr>
        <w:t xml:space="preserve">All Phase 3 items from v2.0 plus: SLSA Level 2 for all Tier 0/1 builds. Full SBOM coverage and vulnerability correlation. PAM platform HA and quarterly failover testing operational. Security control self-healing agents deployed. EoL OS reduction programme active.</w:t>
      </w:r>
    </w:p>
    <w:p>
      <w:pPr>
        <w:spacing w:before="80" w:after="0"/>
      </w:pPr>
      <w:r>
        <w:t xml:space="preserve"/>
      </w:r>
    </w:p>
    <w:p>
      <w:pPr>
        <w:pStyle w:val="Heading3"/>
        <w:spacing w:before="200" w:after="80"/>
      </w:pPr>
      <w:r>
        <w:rPr>
          <w:rFonts w:ascii="Calibri" w:cs="Calibri" w:eastAsia="Calibri" w:hAnsi="Calibri"/>
          <w:b/>
          <w:bCs/>
          <w:color w:val="1E5F94"/>
          <w:sz w:val="24"/>
          <w:szCs w:val="24"/>
        </w:rPr>
        <w:t xml:space="preserve">Phase 4 — Optimisation and Zero Trust (Months 15–24)</w:t>
      </w:r>
    </w:p>
    <w:p>
      <w:pPr>
        <w:spacing w:before="60" w:after="80"/>
      </w:pPr>
      <w:r>
        <w:rPr>
          <w:rFonts w:ascii="Calibri" w:cs="Calibri" w:eastAsia="Calibri" w:hAnsi="Calibri"/>
          <w:color w:val="1A2233"/>
          <w:sz w:val="22"/>
          <w:szCs w:val="22"/>
        </w:rPr>
        <w:t xml:space="preserve">All Phase 4 items from v2.0 plus: SLSA Level 3 for Tier 0 images. Cryptographic algorithm inventory complete with PQC transition plan published. Hybrid PQC implemented for Restricted data channels. Annual BCDR exercise with IR teams. MTTD ≤ 1 hour validated via purple team. Physical security correlation with logical access operational.</w:t>
      </w:r>
    </w:p>
    <w:p>
      <w:pPr>
        <w:pStyle w:val="Heading1"/>
        <w:spacing w:before="400" w:after="160"/>
      </w:pPr>
      <w:r>
        <w:rPr>
          <w:rFonts w:ascii="Calibri" w:cs="Calibri" w:eastAsia="Calibri" w:hAnsi="Calibri"/>
          <w:b/>
          <w:bCs/>
          <w:color w:val="0D1B2A"/>
          <w:sz w:val="36"/>
          <w:szCs w:val="36"/>
        </w:rPr>
        <w:t xml:space="preserve">Appendix A — Glossary</w:t>
      </w:r>
    </w:p>
    <w:p>
      <w:pPr>
        <w:pBdr>
          <w:bottom w:val="single" w:color="1E5F94" w:sz="8" w:space="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75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ABAC</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Attribute-Based Access Control — access decisions based on attributes of subject, object, and environment</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auditd</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Linux Audit Daemon — kernel-level audit subsystem recording security-relevant system events</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BCDR</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Business Continuity and Disaster Recovery — organisational capability to maintain operations during and recover from adverse events</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CIS Benchmark</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Centre for Internet Security Benchmark — prescriptive hardening guidance for specific OS versions</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CMDB</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Configuration Management Database — authoritative inventory of IT assets and their attributes</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CycloneDX</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OWASP standard for Software Bill of Materials — machine-readable component inventory format</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Drift</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Divergence between declared (desired) state of a system and its actual running state</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EDR</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Endpoint Detection and Response — agent-based platform providing real-time threat detection and response</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FDE</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Full Disk Encryption — encryption of an entire storage volume to protect data at rest</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FIM</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File Integrity Monitoring — detection of unauthorised modifications to critical system files</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gMSA</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Group Managed Service Account — Windows service account with automatic AD-managed password rotation</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Golden Image</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 hardened, signed OS image serving as the authoritative baseline for system deployment</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HSM</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Hardware Security Module — tamper-resistant hardware for cryptographic key generation and storage</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IAA</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Identity, Authentication &amp; Authorisation — the triad of controls governing who can access what</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Immutable Infrastructure</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Operational model where systems are never modified in place; replaced from known-good image</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JIT Access</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Just-In-Time Access — privileged access granted for a specific, time-bounded purpose, auto-revoked</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KEV</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Known Exploited Vulnerabilities — CISA catalogue of CVEs with confirmed exploitation in the wild</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KMS</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Key Management System — centralised platform for cryptographic key lifecycle management</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LAPS</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Local Administrator Password Solution — Microsoft tool for unique local admin password management</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MAC</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Mandatory Access Control — OS-enforced policy restricting what resources a process can access</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ML-DSA</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Module-Lattice Digital Signature Algorithm (FIPS 204) — NIST-approved post-quantum signature scheme</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ML-KEM</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Module-Lattice Key Encapsulation Mechanism (FIPS 203) — NIST-approved post-quantum KEM</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mTLS</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Mutual TLS — both parties in a TLS connection present and verify certificates</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PAM</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Privileged Access Management — platform for managing, monitoring, and auditing privileged credentials</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PAW</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Privileged Access Workstation — dedicated hardened device for administrative tasks only</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Policy-as-Code</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policy in machine-readable, version-controlled, continuously tested form</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PQC</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Post-Quantum Cryptography — cryptographic algorithms resistant to quantum computer attacks</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RBAC</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Role-Based Access Control — access decisions based on assigned roles</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RPO</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Recovery Point Objective — maximum acceptable data loss period in the event of a disruption</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RTO</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Recovery Time Objective — maximum acceptable time to restore a service after disruption</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SAW</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Secure Admin Workstation — dedicated device for administrative access with no general-purpose use</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SBOM</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Software Bill of Materials — machine-readable inventory of all software components and dependencies</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SIEM</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Security Information and Event Management — centralised log aggregation, correlation, and alerting</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SLSA</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Supply-chain Levels for Software Artefacts — framework for software supply chain integrity</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SOAR</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Security Orchestration, Automation and Response — platform for automated security response workflows</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SPIFFE</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Secure Production Identity Framework For Everyone — workload identity standard</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SPDX</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Software Package Data Exchange — Linux Foundation standard for SBOM format</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SSSD</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System Security Services Daemon — Linux daemon for identity and authentication provider access</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TPM</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Trusted Platform Module — hardware for cryptographic functions and secure key storage</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UEFI Secure Boot</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Firmware mechanism verifying boot software is signed by trusted authority before execution</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VBS</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Virtualisation-Based Security — Windows hypervisor-based isolation for sensitive processes</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WDAC</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Windows Defender Application Control — Windows application execution control mechanism</w:t>
            </w:r>
          </w:p>
        </w:tc>
      </w:tr>
      <w:tr>
        <w:tc>
          <w:tcPr>
            <w:tcW w:type="dxa" w:w="1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XDR</w:t>
            </w:r>
          </w:p>
        </w:tc>
        <w:tc>
          <w:tcPr>
            <w:tcW w:type="dxa" w:w="7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Extended Detection and Response — EDR with cross-domain telemetry correlation</w:t>
            </w:r>
          </w:p>
        </w:tc>
      </w:tr>
      <w:tr>
        <w:tc>
          <w:tcPr>
            <w:tcW w:type="dxa" w:w="1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Zero Trust</w:t>
            </w:r>
          </w:p>
        </w:tc>
        <w:tc>
          <w:tcPr>
            <w:tcW w:type="dxa" w:w="7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model requiring continuous verification of every access request regardless of network location</w:t>
            </w:r>
          </w:p>
        </w:tc>
      </w:tr>
    </w:tbl>
    <w:p>
      <w:pPr>
        <w:pStyle w:val="Heading1"/>
        <w:spacing w:before="400" w:after="160"/>
      </w:pPr>
      <w:r>
        <w:rPr>
          <w:rFonts w:ascii="Calibri" w:cs="Calibri" w:eastAsia="Calibri" w:hAnsi="Calibri"/>
          <w:b/>
          <w:bCs/>
          <w:color w:val="0D1B2A"/>
          <w:sz w:val="36"/>
          <w:szCs w:val="36"/>
        </w:rPr>
        <w:t xml:space="preserve">Appendix C — Physical Security Controls Reference [NEW v3.0]</w:t>
      </w:r>
    </w:p>
    <w:p>
      <w:pPr>
        <w:pBdr>
          <w:bottom w:val="single" w:color="1E5F94" w:sz="8" w:space="1"/>
        </w:pBdr>
        <w:spacing w:before="40" w:after="40"/>
      </w:pPr>
      <w:r>
        <w:t xml:space="preserve"/>
      </w:r>
    </w:p>
    <w:p>
      <w:pPr>
        <w:spacing w:before="60" w:after="80"/>
      </w:pPr>
      <w:r>
        <w:rPr>
          <w:rFonts w:ascii="Calibri" w:cs="Calibri" w:eastAsia="Calibri" w:hAnsi="Calibri"/>
          <w:color w:val="1A2233"/>
          <w:sz w:val="22"/>
          <w:szCs w:val="22"/>
        </w:rPr>
        <w:t xml:space="preserve">This appendix addresses GAP-15. Physical security controls at the OS layer intersection are governed by the Physical Security Policy. This appendix defines the specific OS-layer obligations that platform and security teams must satisfy.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Physical Control</w:t>
            </w:r>
          </w:p>
        </w:tc>
        <w:tc>
          <w:tcPr>
            <w:tcW w:type="dxa" w:w="47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OS-Layer Requirement</w:t>
            </w:r>
          </w:p>
        </w:tc>
        <w:tc>
          <w:tcPr>
            <w:tcW w:type="dxa" w:w="22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Owner</w:t>
            </w:r>
          </w:p>
        </w:tc>
      </w:tr>
      <w:tr>
        <w:tc>
          <w:tcPr>
            <w:tcW w:type="dxa" w:w="2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Console / KVM access</w:t>
            </w:r>
          </w:p>
        </w:tc>
        <w:tc>
          <w:tcPr>
            <w:tcW w:type="dxa" w:w="4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PAM session checkout required. No unattended console access to Tier 0/1. Console inactivity timeout: 5 minutes.</w:t>
            </w:r>
          </w:p>
        </w:tc>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r>
      <w:tr>
        <w:tc>
          <w:tcPr>
            <w:tcW w:type="dxa" w:w="2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BIOS/UEFI access</w:t>
            </w:r>
          </w:p>
        </w:tc>
        <w:tc>
          <w:tcPr>
            <w:tcW w:type="dxa" w:w="4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BIOS/UEFI password set. TPM PCR binds boot state. Physical access to BIOS menu requires asset owner approval.</w:t>
            </w:r>
          </w:p>
        </w:tc>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r>
      <w:tr>
        <w:tc>
          <w:tcPr>
            <w:tcW w:type="dxa" w:w="2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Storage media removal</w:t>
            </w:r>
          </w:p>
        </w:tc>
        <w:tc>
          <w:tcPr>
            <w:tcW w:type="dxa" w:w="4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Documented chain of custody. FDE verified before media leaves controlled environment. DoD 5220.22-M or NIST 800-88 purge on decommission.</w:t>
            </w:r>
          </w:p>
        </w:tc>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r>
      <w:tr>
        <w:tc>
          <w:tcPr>
            <w:tcW w:type="dxa" w:w="2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Physical DC access</w:t>
            </w:r>
          </w:p>
        </w:tc>
        <w:tc>
          <w:tcPr>
            <w:tcW w:type="dxa" w:w="4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Data centre physical access logs correlated with PAM logical access records. Discrepancy &gt; 15 minutes triggers investigation.</w:t>
            </w:r>
          </w:p>
        </w:tc>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SOC / Facilities</w:t>
            </w:r>
          </w:p>
        </w:tc>
      </w:tr>
      <w:tr>
        <w:tc>
          <w:tcPr>
            <w:tcW w:type="dxa" w:w="24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Cold-boot attack mitigation</w:t>
            </w:r>
          </w:p>
        </w:tc>
        <w:tc>
          <w:tcPr>
            <w:tcW w:type="dxa" w:w="47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Memory scrambling on power-off where hardware supports. Hibernate disabled on Tier 0/1. FDE keys TPM-sealed, not memory-resident post-boot.</w:t>
            </w:r>
          </w:p>
        </w:tc>
        <w:tc>
          <w:tcPr>
            <w:tcW w:type="dxa" w:w="2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r>
      <w:tr>
        <w:tc>
          <w:tcPr>
            <w:tcW w:type="dxa" w:w="24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OOB management interfaces</w:t>
            </w:r>
          </w:p>
        </w:tc>
        <w:tc>
          <w:tcPr>
            <w:tcW w:type="dxa" w:w="47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iDRAC, iLO, IPMI on isolated management VLAN. Credentials in PAM vault. Firmware updated only via authenticated vendor channel.</w:t>
            </w:r>
          </w:p>
        </w:tc>
        <w:tc>
          <w:tcPr>
            <w:tcW w:type="dxa" w:w="2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Platform Engineering</w:t>
            </w:r>
          </w:p>
        </w:tc>
      </w:tr>
    </w:tbl>
    <w:p>
      <w:pPr>
        <w:pStyle w:val="Heading1"/>
        <w:spacing w:before="400" w:after="160"/>
      </w:pPr>
      <w:r>
        <w:rPr>
          <w:rFonts w:ascii="Calibri" w:cs="Calibri" w:eastAsia="Calibri" w:hAnsi="Calibri"/>
          <w:b/>
          <w:bCs/>
          <w:color w:val="0D1B2A"/>
          <w:sz w:val="36"/>
          <w:szCs w:val="36"/>
        </w:rPr>
        <w:t xml:space="preserve">Appendix D — Document Control</w:t>
      </w:r>
    </w:p>
    <w:p>
      <w:pPr>
        <w:pBdr>
          <w:bottom w:val="single" w:color="1E5F94" w:sz="8" w:space="1"/>
        </w:pBd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Attribute</w:t>
            </w:r>
          </w:p>
        </w:tc>
        <w:tc>
          <w:tcPr>
            <w:tcW w:type="dxa" w:w="65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Document Title</w:t>
            </w:r>
          </w:p>
        </w:tc>
        <w:tc>
          <w:tcPr>
            <w:tcW w:type="dxa" w:w="6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OS Platform Security Architecture Framework</w:t>
            </w:r>
          </w:p>
        </w:tc>
      </w:tr>
      <w:tr>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Document ID</w:t>
            </w:r>
          </w:p>
        </w:tc>
        <w:tc>
          <w:tcPr>
            <w:tcW w:type="dxa" w:w="6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SA-FWK-OS-001</w:t>
            </w:r>
          </w:p>
        </w:tc>
      </w:tr>
      <w:tr>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Version</w:t>
            </w:r>
          </w:p>
        </w:tc>
        <w:tc>
          <w:tcPr>
            <w:tcW w:type="dxa" w:w="6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3.0</w:t>
            </w:r>
          </w:p>
        </w:tc>
      </w:tr>
      <w:tr>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Status</w:t>
            </w:r>
          </w:p>
        </w:tc>
        <w:tc>
          <w:tcPr>
            <w:tcW w:type="dxa" w:w="6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Approved for Release</w:t>
            </w:r>
          </w:p>
        </w:tc>
      </w:tr>
      <w:tr>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Classification</w:t>
            </w:r>
          </w:p>
        </w:tc>
        <w:tc>
          <w:tcPr>
            <w:tcW w:type="dxa" w:w="6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Confidential — Internal Use Only</w:t>
            </w:r>
          </w:p>
        </w:tc>
      </w:tr>
      <w:tr>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Author</w:t>
            </w:r>
          </w:p>
        </w:tc>
        <w:tc>
          <w:tcPr>
            <w:tcW w:type="dxa" w:w="6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Architecture Office — Enterprise Platform Security</w:t>
            </w:r>
          </w:p>
        </w:tc>
      </w:tr>
      <w:tr>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Reviewers</w:t>
            </w:r>
          </w:p>
        </w:tc>
        <w:tc>
          <w:tcPr>
            <w:tcW w:type="dxa" w:w="6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CISO Office, Platform Engineering, GRC, Identity Engineering, SOC, Business Continuity, Legal/Privacy, TPRM</w:t>
            </w:r>
          </w:p>
        </w:tc>
      </w:tr>
      <w:tr>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Approver</w:t>
            </w:r>
          </w:p>
        </w:tc>
        <w:tc>
          <w:tcPr>
            <w:tcW w:type="dxa" w:w="6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Chief Information Security Officer</w:t>
            </w:r>
          </w:p>
        </w:tc>
      </w:tr>
      <w:tr>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Effective Date</w:t>
            </w:r>
          </w:p>
        </w:tc>
        <w:tc>
          <w:tcPr>
            <w:tcW w:type="dxa" w:w="6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2026</w:t>
            </w:r>
          </w:p>
        </w:tc>
      </w:tr>
      <w:tr>
        <w:tc>
          <w:tcPr>
            <w:tcW w:type="dxa" w:w="28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Next Review Date</w:t>
            </w:r>
          </w:p>
        </w:tc>
        <w:tc>
          <w:tcPr>
            <w:tcW w:type="dxa" w:w="65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2027 (Annual Review)</w:t>
            </w:r>
          </w:p>
        </w:tc>
      </w:tr>
      <w:tr>
        <w:tc>
          <w:tcPr>
            <w:tcW w:type="dxa" w:w="28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Replaces</w:t>
            </w:r>
          </w:p>
        </w:tc>
        <w:tc>
          <w:tcPr>
            <w:tcW w:type="dxa" w:w="65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SA-FWK-OS-001 v2.0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300"/>
        <w:gridCol w:w="5160"/>
      </w:tblGrid>
      <w:tr>
        <w:trPr>
          <w:tblHeader/>
        </w:trPr>
        <w:tc>
          <w:tcPr>
            <w:tcW w:type="dxa" w:w="9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Version</w:t>
            </w:r>
          </w:p>
        </w:tc>
        <w:tc>
          <w:tcPr>
            <w:tcW w:type="dxa" w:w="12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Date</w:t>
            </w:r>
          </w:p>
        </w:tc>
        <w:tc>
          <w:tcPr>
            <w:tcW w:type="dxa" w:w="230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Author</w:t>
            </w:r>
          </w:p>
        </w:tc>
        <w:tc>
          <w:tcPr>
            <w:tcW w:type="dxa" w:w="5160"/>
            <w:tcBorders>
              <w:top w:val="single" w:color="1E5F94" w:sz="1"/>
              <w:left w:val="single" w:color="1E5F94" w:sz="1"/>
              <w:bottom w:val="single" w:color="1E5F94" w:sz="1"/>
              <w:right w:val="single" w:color="1E5F94"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Changes</w:t>
            </w:r>
          </w:p>
        </w:tc>
      </w:tr>
      <w:tr>
        <w:tc>
          <w:tcPr>
            <w:tcW w:type="dxa" w:w="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1.0</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2025</w:t>
            </w:r>
          </w:p>
        </w:tc>
        <w:tc>
          <w:tcPr>
            <w:tcW w:type="dxa" w:w="23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Security Architecture</w:t>
            </w:r>
          </w:p>
        </w:tc>
        <w:tc>
          <w:tcPr>
            <w:tcW w:type="dxa" w:w="51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Initial release — 5 domains, baseline controls</w:t>
            </w:r>
          </w:p>
        </w:tc>
      </w:tr>
      <w:tr>
        <w:tc>
          <w:tcPr>
            <w:tcW w:type="dxa" w:w="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1.1</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2025 Q3</w:t>
            </w:r>
          </w:p>
        </w:tc>
        <w:tc>
          <w:tcPr>
            <w:tcW w:type="dxa" w:w="23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Architecture</w:t>
            </w:r>
          </w:p>
        </w:tc>
        <w:tc>
          <w:tcPr>
            <w:tcW w:type="dxa" w:w="51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Added D6 vulnerability management, KPI additions</w:t>
            </w:r>
          </w:p>
        </w:tc>
      </w:tr>
      <w:tr>
        <w:tc>
          <w:tcPr>
            <w:tcW w:type="dxa" w:w="9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2.0</w:t>
            </w:r>
          </w:p>
        </w:tc>
        <w:tc>
          <w:tcPr>
            <w:tcW w:type="dxa" w:w="12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2026</w:t>
            </w:r>
          </w:p>
        </w:tc>
        <w:tc>
          <w:tcPr>
            <w:tcW w:type="dxa" w:w="230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Security Architecture</w:t>
            </w:r>
          </w:p>
        </w:tc>
        <w:tc>
          <w:tcPr>
            <w:tcW w:type="dxa" w:w="5160"/>
            <w:tcBorders>
              <w:top w:val="single" w:color="D0D6E0" w:sz="1"/>
              <w:left w:val="single" w:color="D0D6E0" w:sz="1"/>
              <w:bottom w:val="single" w:color="D0D6E0" w:sz="1"/>
              <w:right w:val="single" w:color="D0D6E0" w:sz="1"/>
            </w:tcBorders>
            <w:shd w:fill="FFFFFF" w:val="clear"/>
            <w:tcMar>
              <w:top w:type="dxa" w:w="80"/>
              <w:left w:type="dxa" w:w="120"/>
              <w:bottom w:type="dxa" w:w="80"/>
              <w:right w:type="dxa" w:w="120"/>
            </w:tcMar>
          </w:tcPr>
          <w:p>
            <w:r>
              <w:rPr>
                <w:rFonts w:ascii="Calibri" w:cs="Calibri" w:eastAsia="Calibri" w:hAnsi="Calibri"/>
                <w:color w:val="1A2233"/>
                <w:sz w:val="20"/>
                <w:szCs w:val="20"/>
              </w:rPr>
              <w:t xml:space="preserve">Major revision: 8 domains, threat model, MITRE mapping, derived standards, Phase 3/4 roadmap</w:t>
            </w:r>
          </w:p>
        </w:tc>
      </w:tr>
      <w:tr>
        <w:tc>
          <w:tcPr>
            <w:tcW w:type="dxa" w:w="9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3.0</w:t>
            </w:r>
          </w:p>
        </w:tc>
        <w:tc>
          <w:tcPr>
            <w:tcW w:type="dxa" w:w="12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2026</w:t>
            </w:r>
          </w:p>
        </w:tc>
        <w:tc>
          <w:tcPr>
            <w:tcW w:type="dxa" w:w="230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Security Architecture</w:t>
            </w:r>
          </w:p>
        </w:tc>
        <w:tc>
          <w:tcPr>
            <w:tcW w:type="dxa" w:w="5160"/>
            <w:tcBorders>
              <w:top w:val="single" w:color="D0D6E0" w:sz="1"/>
              <w:left w:val="single" w:color="D0D6E0" w:sz="1"/>
              <w:bottom w:val="single" w:color="D0D6E0" w:sz="1"/>
              <w:right w:val="single" w:color="D0D6E0" w:sz="1"/>
            </w:tcBorders>
            <w:shd w:fill="EDF1F7" w:val="clear"/>
            <w:tcMar>
              <w:top w:type="dxa" w:w="80"/>
              <w:left w:type="dxa" w:w="120"/>
              <w:bottom w:type="dxa" w:w="80"/>
              <w:right w:type="dxa" w:w="120"/>
            </w:tcMar>
          </w:tcPr>
          <w:p>
            <w:r>
              <w:rPr>
                <w:rFonts w:ascii="Calibri" w:cs="Calibri" w:eastAsia="Calibri" w:hAnsi="Calibri"/>
                <w:color w:val="1A2233"/>
                <w:sz w:val="20"/>
                <w:szCs w:val="20"/>
              </w:rPr>
              <w:t xml:space="preserve">15-gap remediation: D9 Supply Chain, D10 Resilience, D11 Incident Response. +3 domains, +18 controls, +22 derived standards. PQC, SAW/PAW, data classification, hypervisor hardening, detection engineering, physical security, EoL OS policy, vendor risk, machine identity, privacy controls.</w:t>
            </w:r>
          </w:p>
        </w:tc>
      </w:tr>
    </w:tbl>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80"/>
      <w:gridCol w:w="3240"/>
    </w:tblGrid>
    <w:tr>
      <w:tc>
        <w:tcPr>
          <w:tcW w:type="dxa" w:w="6480"/>
          <w:tcBorders>
            <w:top w:val="single" w:color="D0D6E0" w:sz="4"/>
            <w:left w:val="nil"/>
            <w:bottom w:val="nil"/>
            <w:right w:val="nil"/>
          </w:tcBorders>
          <w:tcMar>
            <w:top w:type="dxa" w:w="80"/>
          </w:tcMar>
        </w:tcPr>
        <w:p>
          <w:r>
            <w:rPr>
              <w:rFonts w:ascii="Calibri" w:cs="Calibri" w:eastAsia="Calibri" w:hAnsi="Calibri"/>
              <w:color w:val="6B7A99"/>
              <w:sz w:val="16"/>
              <w:szCs w:val="16"/>
            </w:rPr>
            <w:t xml:space="preserve">© 2026 Security Architecture Office. Internal Use Only.</w:t>
          </w:r>
        </w:p>
      </w:tc>
      <w:tc>
        <w:tcPr>
          <w:tcW w:type="dxa" w:w="3240"/>
          <w:tcBorders>
            <w:top w:val="single" w:color="D0D6E0" w:sz="4"/>
            <w:left w:val="nil"/>
            <w:bottom w:val="nil"/>
            <w:right w:val="nil"/>
          </w:tcBorders>
          <w:tcMar>
            <w:top w:type="dxa" w:w="80"/>
          </w:tcMar>
        </w:tcPr>
        <w:p>
          <w:pPr>
            <w:jc w:val="right"/>
          </w:pPr>
          <w:r>
            <w:rPr>
              <w:rFonts w:ascii="Calibri" w:cs="Calibri" w:eastAsia="Calibri" w:hAnsi="Calibri"/>
              <w:color w:val="6B7A99"/>
              <w:sz w:val="16"/>
              <w:szCs w:val="16"/>
            </w:rPr>
            <w:t xml:space="preserve">Page </w:t>
          </w:r>
          <w:r>
            <w:pgNum/>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il"/>
            <w:left w:val="nil"/>
            <w:bottom w:val="single" w:color="1E5F94" w:sz="6"/>
            <w:right w:val="nil"/>
          </w:tcBorders>
          <w:tcMar>
            <w:bottom w:type="dxa" w:w="80"/>
          </w:tcMar>
        </w:tcPr>
        <w:p>
          <w:r>
            <w:rPr>
              <w:rFonts w:ascii="Calibri" w:cs="Calibri" w:eastAsia="Calibri" w:hAnsi="Calibri"/>
              <w:color w:val="6B7A99"/>
              <w:sz w:val="18"/>
              <w:szCs w:val="18"/>
            </w:rPr>
            <w:t xml:space="preserve">OS Platform Security Architecture Framework v3.0</w:t>
          </w:r>
        </w:p>
      </w:tc>
      <w:tc>
        <w:tcPr>
          <w:tcW w:type="dxa" w:w="2520"/>
          <w:tcBorders>
            <w:top w:val="nil"/>
            <w:left w:val="nil"/>
            <w:bottom w:val="single" w:color="1E5F94" w:sz="6"/>
            <w:right w:val="nil"/>
          </w:tcBorders>
          <w:tcMar>
            <w:bottom w:type="dxa" w:w="80"/>
          </w:tcMar>
        </w:tcPr>
        <w:p>
          <w:pPr>
            <w:jc w:val="right"/>
          </w:pPr>
          <w:r>
            <w:rPr>
              <w:rFonts w:ascii="Calibri" w:cs="Calibri" w:eastAsia="Calibri" w:hAnsi="Calibri"/>
              <w:color w:val="6B7A99"/>
              <w:sz w:val="18"/>
              <w:szCs w:val="18"/>
            </w:rPr>
            <w:t xml:space="preserve">CONFIDENTIAL  |  v3.0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600" w:hanging="300"/>
      </w:pPr>
      <w:rPr>
        <w:color w:val="1E5F94"/>
        <w:sz w:val="20"/>
        <w:szCs w:val="20"/>
      </w:rPr>
    </w:lvl>
    <w:lvl w:ilvl="1" w15:tentative="1">
      <w:start w:val="1"/>
      <w:numFmt w:val="bullet"/>
      <w:lvlText w:val="◦"/>
      <w:lvlJc w:val="left"/>
      <w:pPr>
        <w:spacing w:before="20" w:after="20"/>
        <w:ind w:left="900" w:hanging="300"/>
      </w:pPr>
      <w:rPr>
        <w:color w:val="6B7A99"/>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0D1B2A"/>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1B3A6B"/>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E5F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Platform Security Architecture Framework v3.0</dc:title>
  <dc:creator>Security Architecture Office</dc:creator>
  <cp:lastModifiedBy>Un-named</cp:lastModifiedBy>
  <cp:revision>1</cp:revision>
  <dcterms:created xsi:type="dcterms:W3CDTF">2026-04-07T12:58:28.295Z</dcterms:created>
  <dcterms:modified xsi:type="dcterms:W3CDTF">2026-04-07T12:58:28.296Z</dcterms:modified>
</cp:coreProperties>
</file>

<file path=docProps/custom.xml><?xml version="1.0" encoding="utf-8"?>
<Properties xmlns="http://schemas.openxmlformats.org/officeDocument/2006/custom-properties" xmlns:vt="http://schemas.openxmlformats.org/officeDocument/2006/docPropsVTypes"/>
</file>