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A1AB3">
      <w:pPr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inline distT="0" distB="0" distL="114300" distR="114300">
            <wp:extent cx="4983480" cy="2677160"/>
            <wp:effectExtent l="0" t="0" r="7620" b="2540"/>
            <wp:docPr id="1" name="图片 1" descr="作业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一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7429">
      <w:pPr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F22AEB0">
      <w:pPr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1、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LLM Function Call是大模型原生能力</w:t>
      </w: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，并不执行代码，只是“建议”该调用哪个函数以及传什么参数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；LangChain负责注册工具、执行工具，并统一不同模型的调用接口</w:t>
      </w: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。</w:t>
      </w:r>
    </w:p>
    <w:p w14:paraId="472ED4AA">
      <w:pPr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2、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LangChain工具调用的性能主要取决于LLM推理时间</w:t>
      </w: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、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Tool执行时间</w:t>
      </w: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、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Agent 推理轮数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7800E4"/>
    <w:rsid w:val="0C493935"/>
    <w:rsid w:val="18806931"/>
    <w:rsid w:val="7978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2026-07-29T14:44:00Z</dcterms:created>
  <dc:creator>K</dc:creator>
  <cp:lastModifiedBy>K</cp:lastModifiedBy>
  <dcterms:modified xsi:type="dcterms:W3CDTF">2026-07-29T16:11:50Z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31B6A8D1356E4DACA78003DA798CF24F_11</vt:lpwstr>
  </property>
  <property fmtid="{D5CDD505-2E9C-101B-9397-08002B2CF9AE}" pid="4" name="KSOTemplateDocerSaveRecord">
    <vt:lpwstr>eyJoZGlkIjoiYjg4MWFmMjYwM2VjYmZmMjlhZTNiYzc5M2M5NDAxNTIiLCJ1c2VySWQiOiI0MjQ1MTc4MTMifQ==</vt:lpwstr>
  </property>
</Properties>
</file>