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ChatBI 数据智能体功能设计文档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项目名称：ChatBI / Data Agent 数据智能体项目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文档类型：功能设计文档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文档版本：V1.0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编制日期：2026 年 10 月</w:t>
      </w:r>
    </w:p>
    <w:p>
      <w:pPr>
        <w:spacing w:after="120"/>
        <w:jc w:val="center"/>
      </w:pPr>
      <w:r>
        <w:rPr>
          <w:rFonts w:ascii="Times New Roman" w:hAnsi="Times New Roman" w:eastAsia="楷体"/>
          <w:color w:val="000000"/>
          <w:sz w:val="24"/>
        </w:rPr>
        <w:t>文档密级：内部资料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 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 编写目的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 适用范围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 术语与参考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 用户角色与典型场景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 角色定义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 典型用户故事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3  功能架构总览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3.1  功能模块划分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3.2  模块关系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4  功能详细设计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4.1  F1 对话查询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4.2  F2 数据分析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4.3  F3 报告生成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4.4  F4 数据源与指标管理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4.5  F5 权限与安全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4.6  F6 运营与评测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5  关键业务流程设计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5.1  查询主流程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5.2  澄清与多轮流程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5.3  异动归因流程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5.4  报告生成流程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6  非功能需求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7  界面与交互说明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7.1  对话页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7.2  结果区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7.3  管理后台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8  附录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8.1  功能优先级与版本规划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8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</w:pPr>
      <w:bookmarkStart w:id="1" w:name="_LarkToc00001"/>
      <w:r>
        <w:rPr>
          <w:b/>
          <w:color w:val="000000"/>
        </w:rPr>
        <w:t>1  引言</w:t>
      </w:r>
      <w:bookmarkEnd w:id="1"/>
    </w:p>
    <w:p>
      <w:pPr>
        <w:pStyle w:val="Heading2"/>
        <w:keepNext/>
      </w:pPr>
      <w:bookmarkStart w:id="2" w:name="_LarkToc00002"/>
      <w:r>
        <w:rPr>
          <w:b/>
          <w:color w:val="000000"/>
        </w:rPr>
        <w:t>1.1  编写目的</w:t>
      </w:r>
      <w:bookmarkEnd w:id="2"/>
    </w:p>
    <w:p>
      <w:pPr>
        <w:ind w:firstLineChars="200" w:firstLine="480"/>
      </w:pPr>
      <w:r>
        <w:rPr>
          <w:color w:val="000000"/>
        </w:rPr>
        <w:t>本文档依据《ChatBI 数据智能体项目设计文档》，定义 ChatBI 数据智能体的功能范围、功能规则与关键业务流程，作为产品、研发、测试与数据团队的设计依据与验收基线。</w:t>
      </w:r>
    </w:p>
    <w:p>
      <w:pPr>
        <w:pStyle w:val="Heading2"/>
        <w:keepNext/>
      </w:pPr>
      <w:bookmarkStart w:id="3" w:name="_LarkToc00003"/>
      <w:r>
        <w:rPr>
          <w:b/>
          <w:color w:val="000000"/>
        </w:rPr>
        <w:t>1.2  适用范围</w:t>
      </w:r>
      <w:bookmarkEnd w:id="3"/>
    </w:p>
    <w:p>
      <w:pPr>
        <w:ind w:firstLineChars="200" w:firstLine="480"/>
      </w:pPr>
      <w:r>
        <w:rPr>
          <w:color w:val="000000"/>
        </w:rPr>
        <w:t>本文档适用于 ChatBI 数据智能体项目的功能设计与评审，覆盖对话查询、数据分析、报告生成、数据源与指标管理、权限与安全、运营与评测六类能力域。</w:t>
      </w:r>
    </w:p>
    <w:p>
      <w:pPr>
        <w:pStyle w:val="Heading2"/>
        <w:keepNext/>
      </w:pPr>
      <w:bookmarkStart w:id="4" w:name="_LarkToc00004"/>
      <w:r>
        <w:rPr>
          <w:b/>
          <w:color w:val="000000"/>
        </w:rPr>
        <w:t>1.3  术语与参考</w:t>
      </w:r>
      <w:bookmarkEnd w:id="4"/>
    </w:p>
    <w:p>
      <w:pPr>
        <w:pStyle w:val="ListBullet"/>
        <w:spacing w:line="360" w:lineRule="auto"/>
      </w:pPr>
      <w:r>
        <w:t>参考《ChatBI 数据智能体项目设计文档》《ChatBI 数据智能体技术设计文档》；</w:t>
      </w:r>
    </w:p>
    <w:p>
      <w:pPr>
        <w:pStyle w:val="ListBullet"/>
        <w:spacing w:line="360" w:lineRule="auto"/>
      </w:pPr>
      <w:r>
        <w:t>术语定义以项目设计文档 1.4 节为准，本文不再重复。</w:t>
      </w:r>
    </w:p>
    <w:p>
      <w:pPr>
        <w:pStyle w:val="Heading1"/>
        <w:keepNext/>
      </w:pPr>
      <w:bookmarkStart w:id="5" w:name="_LarkToc00005"/>
      <w:r>
        <w:rPr>
          <w:b/>
          <w:color w:val="000000"/>
        </w:rPr>
        <w:t>2  用户角色与典型场景</w:t>
      </w:r>
      <w:bookmarkEnd w:id="5"/>
    </w:p>
    <w:p>
      <w:pPr>
        <w:pStyle w:val="Heading2"/>
        <w:keepNext/>
      </w:pPr>
      <w:bookmarkStart w:id="6" w:name="_LarkToc00006"/>
      <w:r>
        <w:rPr>
          <w:b/>
          <w:color w:val="000000"/>
        </w:rPr>
        <w:t>2.1  角色定义</w:t>
      </w:r>
      <w:bookmarkEnd w:id="6"/>
    </w:p>
    <w:p>
      <w:pPr>
        <w:pStyle w:val="Caption"/>
        <w:keepNext/>
        <w:spacing w:before="120" w:after="80"/>
      </w:pPr>
      <w:r>
        <w:t>表1 用户角色与诉求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587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核心诉求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使用频率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业务运营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快速取数、看懂指标波动原因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高频（每日）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数据分析师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多维度分析、报告自动化产出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中高频（每周）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管理层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关键指标速览、定期订阅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中频（每日/每周）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数据管理员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数据源接入、指标口径治理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低频（按需）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系统管理员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权限配置、审计与运维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低频（按需）</w:t>
            </w:r>
          </w:p>
        </w:tc>
      </w:tr>
    </w:tbl>
    <w:p>
      <w:pPr>
        <w:pStyle w:val="Heading2"/>
        <w:keepNext/>
      </w:pPr>
      <w:bookmarkStart w:id="7" w:name="_LarkToc00007"/>
      <w:r>
        <w:rPr>
          <w:b/>
          <w:color w:val="000000"/>
        </w:rPr>
        <w:t>2.2  典型用户故事</w:t>
      </w:r>
      <w:bookmarkEnd w:id="7"/>
    </w:p>
    <w:p>
      <w:pPr>
        <w:pStyle w:val="ListBullet"/>
        <w:spacing w:line="360" w:lineRule="auto"/>
      </w:pPr>
      <w:r>
        <w:t>运营小张：输入“昨天华东区 GMV 为什么下降”，系统定位异动维度并给出归因结论与证据数据；</w:t>
      </w:r>
    </w:p>
    <w:p>
      <w:pPr>
        <w:pStyle w:val="ListBullet"/>
        <w:spacing w:line="360" w:lineRule="auto"/>
      </w:pPr>
      <w:r>
        <w:t>分析师小李：输入“对比本季度各渠道转化率，生成周报”，系统完成多表聚合并生成可导出的周报；</w:t>
      </w:r>
    </w:p>
    <w:p>
      <w:pPr>
        <w:pStyle w:val="ListBullet"/>
        <w:spacing w:line="360" w:lineRule="auto"/>
      </w:pPr>
      <w:r>
        <w:t>管理层王总：订阅“每日核心经营指标”，系统按设定时间推送指标摘要；</w:t>
      </w:r>
    </w:p>
    <w:p>
      <w:pPr>
        <w:pStyle w:val="ListBullet"/>
        <w:spacing w:line="360" w:lineRule="auto"/>
      </w:pPr>
      <w:r>
        <w:t>数据管理员赵工：在管理后台接入新的数据源、注册指标口径并配置访问权限。</w:t>
      </w:r>
    </w:p>
    <w:p>
      <w:pPr>
        <w:pStyle w:val="Heading1"/>
        <w:keepNext/>
      </w:pPr>
      <w:bookmarkStart w:id="8" w:name="_LarkToc00008"/>
      <w:r>
        <w:rPr>
          <w:b/>
          <w:color w:val="000000"/>
        </w:rPr>
        <w:t>3  功能架构总览</w:t>
      </w:r>
      <w:bookmarkEnd w:id="8"/>
    </w:p>
    <w:p>
      <w:pPr>
        <w:pStyle w:val="Heading2"/>
        <w:keepNext/>
      </w:pPr>
      <w:bookmarkStart w:id="9" w:name="_LarkToc00009"/>
      <w:r>
        <w:rPr>
          <w:b/>
          <w:color w:val="000000"/>
        </w:rPr>
        <w:t>3.1  功能模块划分</w:t>
      </w:r>
      <w:bookmarkEnd w:id="9"/>
    </w:p>
    <w:p>
      <w:pPr>
        <w:pStyle w:val="Caption"/>
        <w:keepNext/>
        <w:spacing w:before="120" w:after="80"/>
      </w:pPr>
      <w:r>
        <w:t>表2 功能模块清单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模块编号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模块名称</w:t>
            </w:r>
          </w:p>
        </w:tc>
        <w:tc>
          <w:tcPr>
            <w:tcW w:type="dxa" w:w="4876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一级功能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对话查询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自然语言查询、多轮澄清、查询建议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数据分析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异动检测与归因、多维对比、趋势洞察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报告生成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模板化周期报告、自由问答报告、导出订阅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数据源与指标管理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数据源接入、指标字典、元数据管理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权限与安全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认证授权、数据权限、审计日志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F6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运营与评测</w:t>
            </w:r>
          </w:p>
        </w:tc>
        <w:tc>
          <w:tcPr>
            <w:tcW w:type="dxa" w:w="487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用户反馈、评测看板、历史收藏</w:t>
            </w:r>
          </w:p>
        </w:tc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</w:tr>
    </w:tbl>
    <w:p>
      <w:pPr>
        <w:pStyle w:val="Heading2"/>
        <w:keepNext/>
      </w:pPr>
      <w:bookmarkStart w:id="10" w:name="_LarkToc00010"/>
      <w:r>
        <w:rPr>
          <w:b/>
          <w:color w:val="000000"/>
        </w:rPr>
        <w:t>3.2  模块关系</w:t>
      </w:r>
      <w:bookmarkEnd w:id="10"/>
    </w:p>
    <w:p>
      <w:pPr>
        <w:ind w:firstLineChars="200" w:firstLine="480"/>
      </w:pPr>
      <w:r>
        <w:rPr>
          <w:color w:val="000000"/>
        </w:rPr>
        <w:t>F1 是用户主入口，依赖 F4 提供的指标与元数据完成取数，依赖 F5 完成权限校验；F2 在 F1 的查询结果之上进行多维分析与归因；F3 调用 F1、F2 的结果组装报告；F6 采集全链路反馈与指标，驱动质量优化。</w:t>
      </w:r>
    </w:p>
    <w:p>
      <w:pPr>
        <w:pStyle w:val="Heading1"/>
        <w:keepNext/>
      </w:pPr>
      <w:bookmarkStart w:id="11" w:name="_LarkToc00011"/>
      <w:r>
        <w:rPr>
          <w:b/>
          <w:color w:val="000000"/>
        </w:rPr>
        <w:t>4  功能详细设计</w:t>
      </w:r>
      <w:bookmarkEnd w:id="11"/>
    </w:p>
    <w:p>
      <w:pPr>
        <w:pStyle w:val="Heading2"/>
        <w:keepNext/>
      </w:pPr>
      <w:bookmarkStart w:id="12" w:name="_LarkToc00012"/>
      <w:r>
        <w:rPr>
          <w:b/>
          <w:color w:val="000000"/>
        </w:rPr>
        <w:t>4.1  F1 对话查询</w:t>
      </w:r>
      <w:bookmarkEnd w:id="12"/>
    </w:p>
    <w:p>
      <w:pPr>
        <w:pStyle w:val="Heading3"/>
        <w:keepNext/>
      </w:pPr>
      <w:r>
        <w:rPr>
          <w:b/>
          <w:color w:val="000000"/>
        </w:rPr>
        <w:t>4.1.1  自然语言查询</w:t>
      </w:r>
    </w:p>
    <w:p>
      <w:pPr>
        <w:ind w:firstLineChars="200" w:firstLine="480"/>
      </w:pPr>
      <w:r>
        <w:rPr>
          <w:color w:val="000000"/>
        </w:rPr>
        <w:t>用户以自然语言提出问题，系统完成意图识别、语义解析、权限校验与查询执行，返回表格、图表及结论。支持指代消解（如“按这个口径再看上周”）。</w:t>
      </w:r>
    </w:p>
    <w:p>
      <w:pPr>
        <w:pStyle w:val="Caption"/>
        <w:keepNext/>
        <w:spacing w:before="120" w:after="80"/>
      </w:pPr>
      <w:r>
        <w:t>表3 F1 功能点说明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规则要点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自然语言查询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问题文本、会话上下文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结果表、图表、结论、生成 SQL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支持时间/维度/指标组合，口径以指标字典为准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指代消解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含“它/这/上周/按此口径”等表述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解析后的完整查询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基于上下文窗口消解，无法消解时澄清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查询建议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当前上下文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推荐问题列表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基于热门问题与用户历史生成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结果导出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查询结果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CSV/Excel 文件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受数据权限约束，导出留痕</w:t>
            </w:r>
          </w:p>
        </w:tc>
      </w:tr>
    </w:tbl>
    <w:p>
      <w:pPr>
        <w:pStyle w:val="Heading3"/>
        <w:keepNext/>
      </w:pPr>
      <w:r>
        <w:rPr>
          <w:b/>
          <w:color w:val="000000"/>
        </w:rPr>
        <w:t>4.1.2  多轮对话与澄清</w:t>
      </w:r>
    </w:p>
    <w:p>
      <w:pPr>
        <w:ind w:firstLineChars="200" w:firstLine="480"/>
      </w:pPr>
      <w:r>
        <w:rPr>
          <w:color w:val="000000"/>
        </w:rPr>
        <w:t>当问题存在歧义（指标未指定、时间范围缺失、存在多个同名指标）时，系统发起澄清追问，用户补充后继续执行。上下文采用窗口 + 摘要策略：保留最近对话轮次，超窗部分压缩为摘要，控制 Token 成本并保持语义连续。</w:t>
      </w:r>
    </w:p>
    <w:p>
      <w:pPr>
        <w:pStyle w:val="Heading3"/>
        <w:keepNext/>
      </w:pPr>
      <w:r>
        <w:rPr>
          <w:b/>
          <w:color w:val="000000"/>
        </w:rPr>
        <w:t>4.1.3  查询建议与热问</w:t>
      </w:r>
    </w:p>
    <w:p>
      <w:pPr>
        <w:ind w:firstLineChars="200" w:firstLine="480"/>
      </w:pPr>
      <w:r>
        <w:rPr>
          <w:color w:val="000000"/>
        </w:rPr>
        <w:t>提供常用指标入口、热门问题榜与用户个人历史问题，降低表达成本，引导用户使用规范口径提问。</w:t>
      </w:r>
    </w:p>
    <w:p>
      <w:pPr>
        <w:pStyle w:val="Heading2"/>
        <w:keepNext/>
      </w:pPr>
      <w:bookmarkStart w:id="13" w:name="_LarkToc00013"/>
      <w:r>
        <w:rPr>
          <w:b/>
          <w:color w:val="000000"/>
        </w:rPr>
        <w:t>4.2  F2 数据分析</w:t>
      </w:r>
      <w:bookmarkEnd w:id="13"/>
    </w:p>
    <w:p>
      <w:pPr>
        <w:pStyle w:val="Heading3"/>
        <w:keepNext/>
      </w:pPr>
      <w:r>
        <w:rPr>
          <w:b/>
          <w:color w:val="000000"/>
        </w:rPr>
        <w:t>4.2.1  指标异动检测与归因</w:t>
      </w:r>
    </w:p>
    <w:p>
      <w:pPr>
        <w:ind w:firstLineChars="200" w:firstLine="480"/>
      </w:pPr>
      <w:r>
        <w:rPr>
          <w:color w:val="000000"/>
        </w:rPr>
        <w:t>对指定指标按时间维度检测异常波动（环比/同比、阈值规则、统计规则），检测到异动后按维度下钻（地区、渠道、商品、客户等），定位主要贡献维度并生成归因结论。</w:t>
      </w:r>
    </w:p>
    <w:p>
      <w:pPr>
        <w:pStyle w:val="Caption"/>
        <w:keepNext/>
        <w:spacing w:before="120" w:after="80"/>
      </w:pPr>
      <w:r>
        <w:t>表4 F2 功能点说明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功能点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规则要点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异动检测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指标、时间范围、对比基准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异动点与幅度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阈值规则（如波动超过 10%）与统计规则（如 Z-score）可配置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维度下钻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异动指标、维度候选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维度贡献排序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按贡献度降序，支持多级下钻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归因结论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下钻结果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自然语言归因结论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结论附证据数据与 SQL，支持用户纠正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多维对比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指标、分组维度、时间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对比图表与说明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支持同环比、分组 TopN、占比变化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趋势洞察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指标、时间范围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趋势描述与拐点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识别趋势方向、拐点与季节性提示</w:t>
            </w:r>
          </w:p>
        </w:tc>
      </w:tr>
    </w:tbl>
    <w:p>
      <w:pPr>
        <w:pStyle w:val="Heading2"/>
        <w:keepNext/>
      </w:pPr>
      <w:bookmarkStart w:id="14" w:name="_LarkToc00014"/>
      <w:r>
        <w:rPr>
          <w:b/>
          <w:color w:val="000000"/>
        </w:rPr>
        <w:t>4.3  F3 报告生成</w:t>
      </w:r>
      <w:bookmarkEnd w:id="14"/>
    </w:p>
    <w:p>
      <w:pPr>
        <w:pStyle w:val="Heading3"/>
        <w:keepNext/>
      </w:pPr>
      <w:r>
        <w:rPr>
          <w:b/>
          <w:color w:val="000000"/>
        </w:rPr>
        <w:t>4.3.1  模板化周期报告</w:t>
      </w:r>
    </w:p>
    <w:p>
      <w:pPr>
        <w:ind w:firstLineChars="200" w:firstLine="480"/>
      </w:pPr>
      <w:r>
        <w:rPr>
          <w:color w:val="000000"/>
        </w:rPr>
        <w:t>支持配置周报/月报模板（章节结构、指标与图表、口径说明），按周期自动取数、生成图表并组装报告，经审批后自动发送或由用户手动导出。</w:t>
      </w:r>
    </w:p>
    <w:p>
      <w:pPr>
        <w:pStyle w:val="Heading3"/>
        <w:keepNext/>
      </w:pPr>
      <w:r>
        <w:rPr>
          <w:b/>
          <w:color w:val="000000"/>
        </w:rPr>
        <w:t>4.3.2  自由问答生成报告</w:t>
      </w:r>
    </w:p>
    <w:p>
      <w:pPr>
        <w:ind w:firstLineChars="200" w:firstLine="480"/>
      </w:pPr>
      <w:r>
        <w:rPr>
          <w:color w:val="000000"/>
        </w:rPr>
        <w:t>用户通过多轮问答逐步构建报告：先描述报告主题与结构，系统规划章节，逐节取数生成内容，用户可增删章节、调整结论。</w:t>
      </w:r>
    </w:p>
    <w:p>
      <w:pPr>
        <w:pStyle w:val="Heading3"/>
        <w:keepNext/>
      </w:pPr>
      <w:r>
        <w:rPr>
          <w:b/>
          <w:color w:val="000000"/>
        </w:rPr>
        <w:t>4.3.3  报告导出与分享</w:t>
      </w:r>
    </w:p>
    <w:p>
      <w:pPr>
        <w:ind w:firstLineChars="200" w:firstLine="480"/>
      </w:pPr>
      <w:r>
        <w:rPr>
          <w:color w:val="000000"/>
        </w:rPr>
        <w:t>支持导出为 Word/PDF 文档，或生成在线链接分享；支持定时发送至邮件或 IM 群。导出与发送均受权限与审计约束。</w:t>
      </w:r>
    </w:p>
    <w:p>
      <w:pPr>
        <w:pStyle w:val="Heading2"/>
        <w:keepNext/>
      </w:pPr>
      <w:bookmarkStart w:id="15" w:name="_LarkToc00015"/>
      <w:r>
        <w:rPr>
          <w:b/>
          <w:color w:val="000000"/>
        </w:rPr>
        <w:t>4.4  F4 数据源与指标管理</w:t>
      </w:r>
      <w:bookmarkEnd w:id="15"/>
    </w:p>
    <w:p>
      <w:pPr>
        <w:pStyle w:val="Heading3"/>
        <w:keepNext/>
      </w:pPr>
      <w:r>
        <w:rPr>
          <w:b/>
          <w:color w:val="000000"/>
        </w:rPr>
        <w:t>4.4.1  数据源接入</w:t>
      </w:r>
    </w:p>
    <w:p>
      <w:pPr>
        <w:ind w:firstLineChars="200" w:firstLine="480"/>
      </w:pPr>
      <w:r>
        <w:rPr>
          <w:color w:val="000000"/>
        </w:rPr>
        <w:t>支持数据库（MySQL、PostgreSQL、ClickHouse 等）、Excel/CSV 文件、REST API 与文档四类数据源。接入流程：配置连接 → 连通性测试 → Schema 同步 → 字段注释补充 → 权限绑定。</w:t>
      </w:r>
    </w:p>
    <w:p>
      <w:pPr>
        <w:pStyle w:val="Heading3"/>
        <w:keepNext/>
      </w:pPr>
      <w:r>
        <w:rPr>
          <w:b/>
          <w:color w:val="000000"/>
        </w:rPr>
        <w:t>4.4.2  指标字典与口径管理</w:t>
      </w:r>
    </w:p>
    <w:p>
      <w:pPr>
        <w:ind w:firstLineChars="200" w:firstLine="480"/>
      </w:pPr>
      <w:r>
        <w:rPr>
          <w:color w:val="000000"/>
        </w:rPr>
        <w:t>指标统一注册管理，字段包括指标编码、名称、口径说明、计算公式、维度、关联表字段、聚合方式与负责人。指标状态流转：草稿 → 审核 → 发布 → 下线，发布后口径变更需重新审核并通知订阅方。</w:t>
      </w:r>
    </w:p>
    <w:p>
      <w:pPr>
        <w:pStyle w:val="Heading3"/>
        <w:keepNext/>
      </w:pPr>
      <w:r>
        <w:rPr>
          <w:b/>
          <w:color w:val="000000"/>
        </w:rPr>
        <w:t>4.4.3  元数据管理</w:t>
      </w:r>
    </w:p>
    <w:p>
      <w:pPr>
        <w:ind w:firstLineChars="200" w:firstLine="480"/>
      </w:pPr>
      <w:r>
        <w:rPr>
          <w:color w:val="000000"/>
        </w:rPr>
        <w:t>支持表结构定时同步、字段中文注释维护、Schema 版本记录；元数据缺失时支持从知识库或管理员处补充说明，提升 NL2SQL 准确性。</w:t>
      </w:r>
    </w:p>
    <w:p>
      <w:pPr>
        <w:pStyle w:val="Heading2"/>
        <w:keepNext/>
      </w:pPr>
      <w:bookmarkStart w:id="16" w:name="_LarkToc00016"/>
      <w:r>
        <w:rPr>
          <w:b/>
          <w:color w:val="000000"/>
        </w:rPr>
        <w:t>4.5  F5 权限与安全</w:t>
      </w:r>
      <w:bookmarkEnd w:id="16"/>
    </w:p>
    <w:p>
      <w:pPr>
        <w:pStyle w:val="Heading3"/>
        <w:keepNext/>
      </w:pPr>
      <w:r>
        <w:rPr>
          <w:b/>
          <w:color w:val="000000"/>
        </w:rPr>
        <w:t>4.5.1  认证与授权</w:t>
      </w:r>
    </w:p>
    <w:p>
      <w:pPr>
        <w:ind w:firstLineChars="200" w:firstLine="480"/>
      </w:pPr>
      <w:r>
        <w:rPr>
          <w:color w:val="000000"/>
        </w:rPr>
        <w:t>对接企业 SSO 完成认证；基于 RBAC 配置角色与功能权限，支持按角色控制可访问的数据源、指标与功能模块。</w:t>
      </w:r>
    </w:p>
    <w:p>
      <w:pPr>
        <w:pStyle w:val="Heading3"/>
        <w:keepNext/>
      </w:pPr>
      <w:r>
        <w:rPr>
          <w:b/>
          <w:color w:val="000000"/>
        </w:rPr>
        <w:t>4.5.2  数据权限</w:t>
      </w:r>
    </w:p>
    <w:p>
      <w:pPr>
        <w:ind w:firstLineChars="200" w:firstLine="480"/>
      </w:pPr>
      <w:r>
        <w:rPr>
          <w:color w:val="000000"/>
        </w:rPr>
        <w:t>支持行级权限（按区域、部门、客户等维度过滤）与列级权限（敏感字段不可见）；支持字段级脱敏（手机号、身份证等掩码展示）。权限在查询执行前注入，用户不可绕过。</w:t>
      </w:r>
    </w:p>
    <w:p>
      <w:pPr>
        <w:pStyle w:val="Heading3"/>
        <w:keepNext/>
      </w:pPr>
      <w:r>
        <w:rPr>
          <w:b/>
          <w:color w:val="000000"/>
        </w:rPr>
        <w:t>4.5.3  审计日志</w:t>
      </w:r>
    </w:p>
    <w:p>
      <w:pPr>
        <w:ind w:firstLineChars="200" w:firstLine="480"/>
      </w:pPr>
      <w:r>
        <w:rPr>
          <w:color w:val="000000"/>
        </w:rPr>
        <w:t>记录用户的提问、生成 SQL、执行时间、结果行数、导出与发送动作，支持按用户、时间、数据源检索，满足合规审计要求。</w:t>
      </w:r>
    </w:p>
    <w:p>
      <w:pPr>
        <w:pStyle w:val="Heading2"/>
        <w:keepNext/>
      </w:pPr>
      <w:bookmarkStart w:id="17" w:name="_LarkToc00017"/>
      <w:r>
        <w:rPr>
          <w:b/>
          <w:color w:val="000000"/>
        </w:rPr>
        <w:t>4.6  F6 运营与评测</w:t>
      </w:r>
      <w:bookmarkEnd w:id="17"/>
    </w:p>
    <w:p>
      <w:pPr>
        <w:pStyle w:val="Heading3"/>
        <w:keepNext/>
      </w:pPr>
      <w:r>
        <w:rPr>
          <w:b/>
          <w:color w:val="000000"/>
        </w:rPr>
        <w:t>4.6.1  用户反馈</w:t>
      </w:r>
    </w:p>
    <w:p>
      <w:pPr>
        <w:ind w:firstLineChars="200" w:firstLine="480"/>
      </w:pPr>
      <w:r>
        <w:rPr>
          <w:color w:val="000000"/>
        </w:rPr>
        <w:t>支持对每次回答点赞/点踩，并选择原因标签（结果错误、口径不对、速度慢、表述不清等）；支持用户直接纠正结论，纠正内容进入优化样本库。</w:t>
      </w:r>
    </w:p>
    <w:p>
      <w:pPr>
        <w:pStyle w:val="Heading3"/>
        <w:keepNext/>
      </w:pPr>
      <w:r>
        <w:rPr>
          <w:b/>
          <w:color w:val="000000"/>
        </w:rPr>
        <w:t>4.6.2  评测看板</w:t>
      </w:r>
    </w:p>
    <w:p>
      <w:pPr>
        <w:ind w:firstLineChars="200" w:firstLine="480"/>
      </w:pPr>
      <w:r>
        <w:rPr>
          <w:color w:val="000000"/>
        </w:rPr>
        <w:t>面向运营与数据团队展示 SQL 执行通过率、结果准确率、用户满意度、平均响应耗时与单次成本，支持按数据源、指标、时间段下钻。</w:t>
      </w:r>
    </w:p>
    <w:p>
      <w:pPr>
        <w:pStyle w:val="Heading3"/>
        <w:keepNext/>
      </w:pPr>
      <w:r>
        <w:rPr>
          <w:b/>
          <w:color w:val="000000"/>
        </w:rPr>
        <w:t>4.6.3  历史与收藏</w:t>
      </w:r>
    </w:p>
    <w:p>
      <w:pPr>
        <w:ind w:firstLineChars="200" w:firstLine="480"/>
      </w:pPr>
      <w:r>
        <w:rPr>
          <w:color w:val="000000"/>
        </w:rPr>
        <w:t>保存会话历史，支持继续追问、收藏常用问题与报告订阅管理；历史数据可用于评测集扩充与个性化推荐。</w:t>
      </w:r>
    </w:p>
    <w:p>
      <w:pPr>
        <w:pStyle w:val="Heading1"/>
        <w:keepNext/>
      </w:pPr>
      <w:bookmarkStart w:id="18" w:name="_LarkToc00018"/>
      <w:r>
        <w:rPr>
          <w:b/>
          <w:color w:val="000000"/>
        </w:rPr>
        <w:t>5  关键业务流程设计</w:t>
      </w:r>
      <w:bookmarkEnd w:id="18"/>
    </w:p>
    <w:p>
      <w:pPr>
        <w:pStyle w:val="Heading2"/>
        <w:keepNext/>
      </w:pPr>
      <w:bookmarkStart w:id="19" w:name="_LarkToc00019"/>
      <w:r>
        <w:rPr>
          <w:b/>
          <w:color w:val="000000"/>
        </w:rPr>
        <w:t>5.1  查询主流程</w:t>
      </w:r>
      <w:bookmarkEnd w:id="19"/>
    </w:p>
    <w:p>
      <w:pPr>
        <w:ind w:firstLineChars="200" w:firstLine="480"/>
      </w:pPr>
      <w:r>
        <w:rPr>
          <w:color w:val="000000"/>
        </w:rPr>
        <w:t>查询主流程如图 1 所示：用户提问后，系统依次完成意图识别与权限校验、信息充分性判断（不充分则澄清追问）、语义解析（NL2SQL 或取数规划）、SQL 安全校验、执行查询、结果质量校验（异常则自纠正或兜底），最终以表格/图表/结论形式展示并收集反馈。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5252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25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</w:pPr>
      <w:r>
        <w:t>图1 对话查询主流程</w:t>
      </w:r>
    </w:p>
    <w:p>
      <w:pPr>
        <w:pStyle w:val="Heading2"/>
        <w:keepNext/>
      </w:pPr>
      <w:bookmarkStart w:id="20" w:name="_LarkToc00020"/>
      <w:r>
        <w:rPr>
          <w:b/>
          <w:color w:val="000000"/>
        </w:rPr>
        <w:t>5.2  澄清与多轮流程</w:t>
      </w:r>
      <w:bookmarkEnd w:id="20"/>
    </w:p>
    <w:p>
      <w:pPr>
        <w:ind w:firstLineChars="200" w:firstLine="480"/>
      </w:pPr>
      <w:r>
        <w:rPr>
          <w:color w:val="000000"/>
        </w:rPr>
        <w:t>澄清触发条件：指标无法唯一确定、时间范围缺失或冲突、涉及未授权数据、问题超出能力范围。澄清话术需给出可选范围（如列出候选指标），用户选择或补充后合并上下文重新解析。</w:t>
      </w:r>
    </w:p>
    <w:p>
      <w:pPr>
        <w:pStyle w:val="Heading2"/>
        <w:keepNext/>
      </w:pPr>
      <w:bookmarkStart w:id="21" w:name="_LarkToc00021"/>
      <w:r>
        <w:rPr>
          <w:b/>
          <w:color w:val="000000"/>
        </w:rPr>
        <w:t>5.3  异动归因流程</w:t>
      </w:r>
      <w:bookmarkEnd w:id="21"/>
    </w:p>
    <w:p>
      <w:pPr>
        <w:ind w:firstLineChars="200" w:firstLine="480"/>
      </w:pPr>
      <w:r>
        <w:rPr>
          <w:color w:val="000000"/>
        </w:rPr>
        <w:t>异动归因流程：选择指标与时间范围 → 异动检测 → 若异动，按候选维度逐级下钻 → 计算各维度贡献度 → 生成归因结论（含证据数据）→ 用户确认或纠正。归因结论与证据绑定，避免无依据推断。</w:t>
      </w:r>
    </w:p>
    <w:p>
      <w:pPr>
        <w:pStyle w:val="Heading2"/>
        <w:keepNext/>
      </w:pPr>
      <w:bookmarkStart w:id="22" w:name="_LarkToc00022"/>
      <w:r>
        <w:rPr>
          <w:b/>
          <w:color w:val="000000"/>
        </w:rPr>
        <w:t>5.4  报告生成流程</w:t>
      </w:r>
      <w:bookmarkEnd w:id="22"/>
    </w:p>
    <w:p>
      <w:pPr>
        <w:ind w:firstLineChars="200" w:firstLine="480"/>
      </w:pPr>
      <w:r>
        <w:rPr>
          <w:color w:val="000000"/>
        </w:rPr>
        <w:t>报告生成流程：选择模板或描述报告需求 → 规划章节结构 → 逐节自动取数与配图 → 生成文字说明 → 用户审核修订 → 导出/定时发送。审核通过前不对外发送。</w:t>
      </w:r>
    </w:p>
    <w:p>
      <w:pPr>
        <w:pStyle w:val="Heading1"/>
        <w:keepNext/>
      </w:pPr>
      <w:bookmarkStart w:id="23" w:name="_LarkToc00023"/>
      <w:r>
        <w:rPr>
          <w:b/>
          <w:color w:val="000000"/>
        </w:rPr>
        <w:t>6  非功能需求</w:t>
      </w:r>
      <w:bookmarkEnd w:id="23"/>
    </w:p>
    <w:p>
      <w:pPr>
        <w:pStyle w:val="Caption"/>
        <w:keepNext/>
        <w:spacing w:before="120" w:after="80"/>
      </w:pPr>
      <w:r>
        <w:t>表5 非功能需求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需求描述</w:t>
            </w:r>
          </w:p>
        </w:tc>
        <w:tc>
          <w:tcPr>
            <w:tcW w:type="dxa" w:w="3515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指标要求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性能</w:t>
            </w:r>
          </w:p>
        </w:tc>
        <w:tc>
          <w:tcPr>
            <w:tcW w:type="dxa" w:w="419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端到端首答时延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简单查询 P95 不超过 8 秒；复杂查询转异步，不超过 30 秒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并发</w:t>
            </w:r>
          </w:p>
        </w:tc>
        <w:tc>
          <w:tcPr>
            <w:tcW w:type="dxa" w:w="419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在线用户与并发查询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支持 200 并发会话、50 并发查询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可用性</w:t>
            </w:r>
          </w:p>
        </w:tc>
        <w:tc>
          <w:tcPr>
            <w:tcW w:type="dxa" w:w="419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核心服务可用性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不低于 99.5%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兼容性</w:t>
            </w:r>
          </w:p>
        </w:tc>
        <w:tc>
          <w:tcPr>
            <w:tcW w:type="dxa" w:w="419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浏览器与终端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主流桌面浏览器（Chrome/Edge）及移动端 H5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安全合规</w:t>
            </w:r>
          </w:p>
        </w:tc>
        <w:tc>
          <w:tcPr>
            <w:tcW w:type="dxa" w:w="419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权限、审计、脱敏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全链路审计、敏感字段脱敏、最小权限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可观测</w:t>
            </w:r>
          </w:p>
        </w:tc>
        <w:tc>
          <w:tcPr>
            <w:tcW w:type="dxa" w:w="419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日志与指标</w:t>
            </w:r>
          </w:p>
        </w:tc>
        <w:tc>
          <w:tcPr>
            <w:tcW w:type="dxa" w:w="3515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全链路 trace、核心指标监控告警</w:t>
            </w:r>
          </w:p>
        </w:tc>
      </w:tr>
    </w:tbl>
    <w:p>
      <w:pPr>
        <w:pStyle w:val="Heading1"/>
        <w:keepNext/>
      </w:pPr>
      <w:bookmarkStart w:id="24" w:name="_LarkToc00024"/>
      <w:r>
        <w:rPr>
          <w:b/>
          <w:color w:val="000000"/>
        </w:rPr>
        <w:t>7  界面与交互说明</w:t>
      </w:r>
      <w:bookmarkEnd w:id="24"/>
    </w:p>
    <w:p>
      <w:pPr>
        <w:pStyle w:val="Heading2"/>
        <w:keepNext/>
      </w:pPr>
      <w:bookmarkStart w:id="25" w:name="_LarkToc00025"/>
      <w:r>
        <w:rPr>
          <w:b/>
          <w:color w:val="000000"/>
        </w:rPr>
        <w:t>7.1  对话页</w:t>
      </w:r>
      <w:bookmarkEnd w:id="25"/>
    </w:p>
    <w:p>
      <w:pPr>
        <w:ind w:firstLineChars="200" w:firstLine="480"/>
      </w:pPr>
      <w:r>
        <w:rPr>
          <w:color w:val="000000"/>
        </w:rPr>
        <w:t>顶部为会话标题与上下文切换；中部为消息流（用户问题、系统回答）；输入区支持自然语言输入、问题建议与历史问题选择；支持开启/关闭“展示 SQL 与数据来源”。</w:t>
      </w:r>
    </w:p>
    <w:p>
      <w:pPr>
        <w:pStyle w:val="Heading2"/>
        <w:keepNext/>
      </w:pPr>
      <w:bookmarkStart w:id="26" w:name="_LarkToc00026"/>
      <w:r>
        <w:rPr>
          <w:b/>
          <w:color w:val="000000"/>
        </w:rPr>
        <w:t>7.2  结果区</w:t>
      </w:r>
      <w:bookmarkEnd w:id="26"/>
    </w:p>
    <w:p>
      <w:pPr>
        <w:ind w:firstLineChars="200" w:firstLine="480"/>
      </w:pPr>
      <w:r>
        <w:rPr>
          <w:color w:val="000000"/>
        </w:rPr>
        <w:t>查询结果以表格为主，支持图表类型切换（柱状、折线、饼图、透视表）；展示数据行数与口径说明；提供“查看 SQL”“导出”“点赞/点踩”“继续追问”操作。</w:t>
      </w:r>
    </w:p>
    <w:p>
      <w:pPr>
        <w:pStyle w:val="Heading2"/>
        <w:keepNext/>
      </w:pPr>
      <w:bookmarkStart w:id="27" w:name="_LarkToc00027"/>
      <w:r>
        <w:rPr>
          <w:b/>
          <w:color w:val="000000"/>
        </w:rPr>
        <w:t>7.3  管理后台</w:t>
      </w:r>
      <w:bookmarkEnd w:id="27"/>
    </w:p>
    <w:p>
      <w:pPr>
        <w:ind w:firstLineChars="200" w:firstLine="480"/>
      </w:pPr>
      <w:r>
        <w:rPr>
          <w:color w:val="000000"/>
        </w:rPr>
        <w:t>管理后台包含：数据源管理（连接配置、同步状态）、指标管理（注册、审核、口径维护）、权限管理（角色、行/列权限、脱敏规则）、评测看板（质量指标）、审计查询（操作日志）。</w:t>
      </w:r>
    </w:p>
    <w:p>
      <w:pPr>
        <w:pStyle w:val="Heading1"/>
        <w:keepNext/>
      </w:pPr>
      <w:bookmarkStart w:id="28" w:name="_LarkToc00028"/>
      <w:r>
        <w:rPr>
          <w:b/>
          <w:color w:val="000000"/>
        </w:rPr>
        <w:t>8  附录</w:t>
      </w:r>
      <w:bookmarkEnd w:id="28"/>
    </w:p>
    <w:p>
      <w:pPr>
        <w:pStyle w:val="Heading2"/>
        <w:keepNext/>
      </w:pPr>
      <w:bookmarkStart w:id="29" w:name="_LarkToc00029"/>
      <w:r>
        <w:rPr>
          <w:b/>
          <w:color w:val="000000"/>
        </w:rPr>
        <w:t>8.1  功能优先级与版本规划</w:t>
      </w:r>
      <w:bookmarkEnd w:id="29"/>
    </w:p>
    <w:p>
      <w:pPr>
        <w:pStyle w:val="Caption"/>
        <w:keepNext/>
        <w:spacing w:before="120" w:after="80"/>
      </w:pPr>
      <w:r>
        <w:t>表6 功能版本规划</w:t>
      </w:r>
    </w:p>
    <w:tbl>
      <w:tblPr>
        <w:tblStyle w:val="TableGrid"/>
        <w:tblW w:type="auto" w:w="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5896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功能项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21"/>
              </w:rPr>
              <w:t>建议版本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P0</w:t>
            </w:r>
          </w:p>
        </w:tc>
        <w:tc>
          <w:tcPr>
            <w:tcW w:type="dxa" w:w="589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自然语言查询、多轮澄清、结果展示、基础权限、指标字典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MVP（M2）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589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异动归因、多维对比、多源接入、RAG 知识库、评测体系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增强（M3）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P1</w:t>
            </w:r>
          </w:p>
        </w:tc>
        <w:tc>
          <w:tcPr>
            <w:tcW w:type="dxa" w:w="589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报告生成、订阅推送、运营看板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生产化（M4）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P2</w:t>
            </w:r>
          </w:p>
        </w:tc>
        <w:tc>
          <w:tcPr>
            <w:tcW w:type="dxa" w:w="5896"/>
            <w:vAlign w:val="center"/>
          </w:tcPr>
          <w:p>
            <w:pPr>
              <w:pStyle w:val="TableText"/>
              <w:spacing w:line="240" w:lineRule="auto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个性化推荐、模型微调、高级分析能力</w:t>
            </w:r>
          </w:p>
        </w:tc>
        <w:tc>
          <w:tcPr>
            <w:tcW w:type="dxa" w:w="1814"/>
            <w:vAlign w:val="center"/>
          </w:tcPr>
          <w:p>
            <w:pPr>
              <w:pStyle w:val="TableText"/>
              <w:spacing w:line="240" w:lineRule="auto"/>
              <w:ind w:firstLine="0"/>
              <w:jc w:val="center"/>
            </w:pPr>
            <w:r>
              <w:rPr>
                <w:b w:val="0"/>
                <w:color w:val="000000"/>
                <w:sz w:val="21"/>
              </w:rPr>
              <w:t>持续运营（M5）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4f18e21e0bf07703246eca1396677e57b7813f134e9831cbff770223989db1ff:5733b21ddde24c38591ad7287d682f7e9e6d5ceead82f0819309a2237a31237f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basedOn w:val="Normal"/>
    <w:pPr>
      <w:spacing w:line="240" w:lineRule="auto" w:before="0" w:after="0"/>
      <w:ind w:firstLine="0"/>
    </w:pPr>
    <w:rPr>
      <w:rFonts w:ascii="Times New Roman" w:hAnsi="Times New Roman" w:eastAsia="宋体"/>
      <w:b w:val="0"/>
      <w:color w:val="000000"/>
      <w:sz w:val="21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