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ChatBI 数据智能体项目设计文档</w:t>
      </w:r>
    </w:p>
    <w:p>
      <w:pPr>
        <w:spacing w:after="120"/>
        <w:jc w:val="center"/>
      </w:pPr>
      <w:r>
        <w:rPr>
          <w:rFonts w:ascii="Times New Roman" w:hAnsi="Times New Roman" w:eastAsia="楷体"/>
          <w:color w:val="000000"/>
          <w:sz w:val="24"/>
        </w:rPr>
        <w:t>项目名称：ChatBI / Data Agent 数据智能体项目</w:t>
      </w:r>
    </w:p>
    <w:p>
      <w:pPr>
        <w:spacing w:after="120"/>
        <w:jc w:val="center"/>
      </w:pPr>
      <w:r>
        <w:rPr>
          <w:rFonts w:ascii="Times New Roman" w:hAnsi="Times New Roman" w:eastAsia="楷体"/>
          <w:color w:val="000000"/>
          <w:sz w:val="24"/>
        </w:rPr>
        <w:t>文档类型：项目设计文档</w:t>
      </w:r>
    </w:p>
    <w:p>
      <w:pPr>
        <w:spacing w:after="120"/>
        <w:jc w:val="center"/>
      </w:pPr>
      <w:r>
        <w:rPr>
          <w:rFonts w:ascii="Times New Roman" w:hAnsi="Times New Roman" w:eastAsia="楷体"/>
          <w:color w:val="000000"/>
          <w:sz w:val="24"/>
        </w:rPr>
        <w:t>文档版本：V1.0</w:t>
      </w:r>
    </w:p>
    <w:p>
      <w:pPr>
        <w:spacing w:after="120"/>
        <w:jc w:val="center"/>
      </w:pPr>
      <w:r>
        <w:rPr>
          <w:rFonts w:ascii="Times New Roman" w:hAnsi="Times New Roman" w:eastAsia="楷体"/>
          <w:color w:val="000000"/>
          <w:sz w:val="24"/>
        </w:rPr>
        <w:t>编制日期：2026 年 10 月</w:t>
      </w:r>
    </w:p>
    <w:p>
      <w:pPr>
        <w:spacing w:after="120"/>
        <w:jc w:val="center"/>
      </w:pPr>
      <w:r>
        <w:rPr>
          <w:rFonts w:ascii="Times New Roman" w:hAnsi="Times New Roman" w:eastAsia="楷体"/>
          <w:color w:val="000000"/>
          <w:sz w:val="24"/>
        </w:rPr>
        <w:t>文档密级：内部资料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spacing w:after="24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  录</w:t>
      </w:r>
    </w:p>
    <w:p>
      <w:pPr>
        <w:pStyle w:val="TOC1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1  项目概述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2" w:history="1">
        <w:r>
          <w:t>1.1  项目背景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3" w:history="1">
        <w:r>
          <w:t>1.2  项目定位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4" w:history="1">
        <w:r>
          <w:t>1.3  项目目标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5" w:history="1">
        <w:r>
          <w:t>1.4  术语定义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6" w:history="1">
        <w:r>
          <w:t>2  需求与范围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7" w:history="1">
        <w:r>
          <w:t>2.1  用户角色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8" w:history="1">
        <w:r>
          <w:t>2.2  核心能力范围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9" w:history="1">
        <w:r>
          <w:t>2.3  项目边界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0" w:history="1">
        <w:r>
          <w:t>2.4  关键非功能需求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1" w:history="1">
        <w:r>
          <w:t>3  同类方案与趋势参考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2" w:history="1">
        <w:r>
          <w:t>3.1  产品形态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3" w:history="1">
        <w:r>
          <w:t>3.2  技术趋势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4" w:history="1">
        <w:r>
          <w:t>4  总体方案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5" w:history="1">
        <w:r>
          <w:t>4.1  设计原则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6" w:history="1">
        <w:r>
          <w:t>4.2  总体架构概览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7" w:history="1">
        <w:r>
          <w:t>4.3  关键技术路径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8" w:history="1">
        <w:r>
          <w:t>4.4  与现有系统集成</w:t>
        </w:r>
        <w:r>
          <w:tab/>
        </w:r>
        <w:r>
          <w:fldChar w:fldCharType="begin"/>
        </w:r>
        <w:r>
          <w:instrText xml:space="preserve"> PAGEREF _LarkToc00018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9" w:history="1">
        <w:r>
          <w:t>5  里程碑规划</w:t>
        </w:r>
        <w:r>
          <w:tab/>
        </w:r>
        <w:r>
          <w:fldChar w:fldCharType="begin"/>
        </w:r>
        <w:r>
          <w:instrText xml:space="preserve"> PAGEREF _LarkToc00019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0" w:history="1">
        <w:r>
          <w:t>5.1  阶段划分</w:t>
        </w:r>
        <w:r>
          <w:tab/>
        </w:r>
        <w:r>
          <w:fldChar w:fldCharType="begin"/>
        </w:r>
        <w:r>
          <w:instrText xml:space="preserve"> PAGEREF _LarkToc00020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1" w:history="1">
        <w:r>
          <w:t>5.2  资源与依赖</w:t>
        </w:r>
        <w:r>
          <w:tab/>
        </w:r>
        <w:r>
          <w:fldChar w:fldCharType="begin"/>
        </w:r>
        <w:r>
          <w:instrText xml:space="preserve"> PAGEREF _LarkToc00021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2" w:history="1">
        <w:r>
          <w:t>6  风险与对策</w:t>
        </w:r>
        <w:r>
          <w:tab/>
        </w:r>
        <w:r>
          <w:fldChar w:fldCharType="begin"/>
        </w:r>
        <w:r>
          <w:instrText xml:space="preserve"> PAGEREF _LarkToc00022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3" w:history="1">
        <w:r>
          <w:t>7  项目组织与协作</w:t>
        </w:r>
        <w:r>
          <w:tab/>
        </w:r>
        <w:r>
          <w:fldChar w:fldCharType="begin"/>
        </w:r>
        <w:r>
          <w:instrText xml:space="preserve"> PAGEREF _LarkToc00023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4" w:history="1">
        <w:r>
          <w:t>7.1  角色分工</w:t>
        </w:r>
        <w:r>
          <w:tab/>
        </w:r>
        <w:r>
          <w:fldChar w:fldCharType="begin"/>
        </w:r>
        <w:r>
          <w:instrText xml:space="preserve"> PAGEREF _LarkToc00024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5" w:history="1">
        <w:r>
          <w:t>7.2  协作流程</w:t>
        </w:r>
        <w:r>
          <w:tab/>
        </w:r>
        <w:r>
          <w:fldChar w:fldCharType="begin"/>
        </w:r>
        <w:r>
          <w:instrText xml:space="preserve"> PAGEREF _LarkToc00025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6" w:history="1">
        <w:r>
          <w:t>8  附录</w:t>
        </w:r>
        <w:r>
          <w:tab/>
        </w:r>
        <w:r>
          <w:fldChar w:fldCharType="begin"/>
        </w:r>
        <w:r>
          <w:instrText xml:space="preserve"> PAGEREF _LarkToc00026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7" w:history="1">
        <w:r>
          <w:t>8.1  假设与待确认事项</w:t>
        </w:r>
        <w:r>
          <w:tab/>
        </w:r>
        <w:r>
          <w:fldChar w:fldCharType="begin"/>
        </w:r>
        <w:r>
          <w:instrText xml:space="preserve"> PAGEREF _LarkToc00027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8" w:history="1">
        <w:r>
          <w:t>8.2  版本记录</w:t>
        </w:r>
        <w:r>
          <w:tab/>
        </w:r>
        <w:r>
          <w:fldChar w:fldCharType="begin"/>
        </w:r>
        <w:r>
          <w:instrText xml:space="preserve"> PAGEREF _LarkToc00028 \h </w:instrText>
        </w:r>
        <w:r>
          <w:fldChar w:fldCharType="separate"/>
        </w:r>
        <w:r>
          <w:t>8</w:t>
        </w:r>
        <w:r>
          <w:fldChar w:fldCharType="end"/>
        </w:r>
      </w:hyperlink>
      <w:r>
        <w:fldChar w:fldCharType="end"/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  <w:keepNext/>
      </w:pPr>
      <w:bookmarkStart w:id="1" w:name="_LarkToc00001"/>
      <w:r>
        <w:rPr>
          <w:b/>
          <w:color w:val="000000"/>
        </w:rPr>
        <w:t>1  项目概述</w:t>
      </w:r>
      <w:bookmarkEnd w:id="1"/>
    </w:p>
    <w:p>
      <w:pPr>
        <w:pStyle w:val="Heading2"/>
        <w:keepNext/>
      </w:pPr>
      <w:bookmarkStart w:id="2" w:name="_LarkToc00002"/>
      <w:r>
        <w:rPr>
          <w:b/>
          <w:color w:val="000000"/>
        </w:rPr>
        <w:t>1.1  项目背景</w:t>
      </w:r>
      <w:bookmarkEnd w:id="2"/>
    </w:p>
    <w:p>
      <w:pPr>
        <w:ind w:firstLineChars="200" w:firstLine="480"/>
      </w:pPr>
      <w:r>
        <w:rPr>
          <w:color w:val="000000"/>
        </w:rPr>
        <w:t>在企业数据分析实践中，业务人员获取数据普遍依赖数据团队排期，存在取数门槛高、报表口径不统一、分析结论滞后、临时分析需求大量积压等问题。与此同时，大语言模型（LLM）与智能体（Agent）技术逐步成熟，使“用自然语言直接与数据对话”成为可行的产品形态。本项目正是在这一背景下，面向企业构建 ChatBI（自然语言数据分析）能力，并以数据智能体（Data Agent）的形态落地。</w:t>
      </w:r>
    </w:p>
    <w:p>
      <w:pPr>
        <w:ind w:firstLineChars="200" w:firstLine="480"/>
      </w:pPr>
      <w:r>
        <w:rPr>
          <w:color w:val="000000"/>
        </w:rPr>
        <w:t>具体痛点包括：</w:t>
      </w:r>
    </w:p>
    <w:p>
      <w:pPr>
        <w:pStyle w:val="ListBullet"/>
        <w:spacing w:line="360" w:lineRule="auto"/>
      </w:pPr>
      <w:r>
        <w:t>数据获取门槛高：业务人员不具备 SQL 能力，取数需要提需求、排队、等待排期；</w:t>
      </w:r>
    </w:p>
    <w:p>
      <w:pPr>
        <w:pStyle w:val="ListBullet"/>
        <w:spacing w:line="360" w:lineRule="auto"/>
      </w:pPr>
      <w:r>
        <w:t>口径不一致：同一指标在不同报表中的统计口径不同，结论难以对齐；</w:t>
      </w:r>
    </w:p>
    <w:p>
      <w:pPr>
        <w:pStyle w:val="ListBullet"/>
        <w:spacing w:line="360" w:lineRule="auto"/>
      </w:pPr>
      <w:r>
        <w:t>分析响应慢：临时分析需求无法当天响应，错过经营决策窗口；</w:t>
      </w:r>
    </w:p>
    <w:p>
      <w:pPr>
        <w:pStyle w:val="ListBullet"/>
        <w:spacing w:line="360" w:lineRule="auto"/>
      </w:pPr>
      <w:r>
        <w:t>知识沉淀少：历史分析思路、优秀取数逻辑散落在个人，未形成团队资产；</w:t>
      </w:r>
    </w:p>
    <w:p>
      <w:pPr>
        <w:pStyle w:val="ListBullet"/>
        <w:spacing w:line="360" w:lineRule="auto"/>
      </w:pPr>
      <w:r>
        <w:t>技术条件成熟：大模型在代码生成、工具调用、多轮对话方面已具备工程化落地条件。</w:t>
      </w:r>
    </w:p>
    <w:p>
      <w:pPr>
        <w:pStyle w:val="Heading2"/>
        <w:keepNext/>
      </w:pPr>
      <w:bookmarkStart w:id="3" w:name="_LarkToc00003"/>
      <w:r>
        <w:rPr>
          <w:b/>
          <w:color w:val="000000"/>
        </w:rPr>
        <w:t>1.2  项目定位</w:t>
      </w:r>
      <w:bookmarkEnd w:id="3"/>
    </w:p>
    <w:p>
      <w:pPr>
        <w:ind w:firstLineChars="200" w:firstLine="480"/>
      </w:pPr>
      <w:r>
        <w:rPr>
          <w:color w:val="000000"/>
        </w:rPr>
        <w:t>本项目定位为面向企业业务人员的自然语言数据分析平台，以 Data Agent 形态实现“理解意图—规划取数—执行查询—校验结果—生成结论”的完整闭环，覆盖数据查询、数据分析、报告生成三类核心诉求，并具备多源数据接入、权限管控与效果评测能力。</w:t>
      </w:r>
    </w:p>
    <w:p>
      <w:pPr>
        <w:pStyle w:val="Heading2"/>
        <w:keepNext/>
      </w:pPr>
      <w:bookmarkStart w:id="4" w:name="_LarkToc00004"/>
      <w:r>
        <w:rPr>
          <w:b/>
          <w:color w:val="000000"/>
        </w:rPr>
        <w:t>1.3  项目目标</w:t>
      </w:r>
      <w:bookmarkEnd w:id="4"/>
    </w:p>
    <w:p>
      <w:pPr>
        <w:pStyle w:val="Caption"/>
        <w:keepNext/>
        <w:spacing w:before="120" w:after="80"/>
      </w:pPr>
      <w:r>
        <w:t>表1 项目目标</w:t>
      </w:r>
    </w:p>
    <w:tbl>
      <w:tblPr>
        <w:tblStyle w:val="TableGrid"/>
        <w:tblW w:type="auto" w:w="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247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目标维度</w:t>
            </w:r>
          </w:p>
        </w:tc>
        <w:tc>
          <w:tcPr>
            <w:tcW w:type="dxa" w:w="4876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目标说明</w:t>
            </w:r>
          </w:p>
        </w:tc>
        <w:tc>
          <w:tcPr>
            <w:tcW w:type="dxa" w:w="2948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衡量指标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业务目标</w:t>
            </w:r>
          </w:p>
        </w:tc>
        <w:tc>
          <w:tcPr>
            <w:tcW w:type="dxa" w:w="4876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业务人员可自助完成常见数据查询与分析，降低对数据团队的依赖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自助取数覆盖率、平均取数时效（目标：常见问题当天闭环）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技术目标</w:t>
            </w:r>
          </w:p>
        </w:tc>
        <w:tc>
          <w:tcPr>
            <w:tcW w:type="dxa" w:w="4876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高准确的 NL2SQL 与稳定可靠的执行链路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SQL 执行通过率不低于 95%、端到端首答 P95 不超过 8 秒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治理目标</w:t>
            </w:r>
          </w:p>
        </w:tc>
        <w:tc>
          <w:tcPr>
            <w:tcW w:type="dxa" w:w="4876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指标口径统一、权限可控、操作可审计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指标口径统一率 100%、全链路审计覆盖率 100%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运营目标</w:t>
            </w:r>
          </w:p>
        </w:tc>
        <w:tc>
          <w:tcPr>
            <w:tcW w:type="dxa" w:w="4876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建立评测闭环与反馈机制，持续提升问答质量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用户满意度、月度问题解决率持续提升</w:t>
            </w:r>
          </w:p>
        </w:tc>
      </w:tr>
    </w:tbl>
    <w:p>
      <w:pPr>
        <w:pStyle w:val="Heading2"/>
        <w:keepNext/>
      </w:pPr>
      <w:bookmarkStart w:id="5" w:name="_LarkToc00005"/>
      <w:r>
        <w:rPr>
          <w:b/>
          <w:color w:val="000000"/>
        </w:rPr>
        <w:t>1.4  术语定义</w:t>
      </w:r>
      <w:bookmarkEnd w:id="5"/>
    </w:p>
    <w:p>
      <w:pPr>
        <w:pStyle w:val="Caption"/>
        <w:keepNext/>
        <w:spacing w:before="120" w:after="80"/>
      </w:pPr>
      <w:r>
        <w:t>表2 术语定义</w:t>
      </w:r>
    </w:p>
    <w:tbl>
      <w:tblPr>
        <w:tblStyle w:val="TableGrid"/>
        <w:tblW w:type="auto" w:w="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术语</w:t>
            </w:r>
          </w:p>
        </w:tc>
        <w:tc>
          <w:tcPr>
            <w:tcW w:type="dxa" w:w="7030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ChatBI</w:t>
            </w:r>
          </w:p>
        </w:tc>
        <w:tc>
          <w:tcPr>
            <w:tcW w:type="dxa" w:w="7030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基于自然语言对话的数据查询与分析产品形态（Chat + BI）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Data Agent</w:t>
            </w:r>
          </w:p>
        </w:tc>
        <w:tc>
          <w:tcPr>
            <w:tcW w:type="dxa" w:w="7030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具备感知、规划、工具调用、结果验证与自我修正能力的智能体，本项目中指代数据分析智能体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NL2SQL</w:t>
            </w:r>
          </w:p>
        </w:tc>
        <w:tc>
          <w:tcPr>
            <w:tcW w:type="dxa" w:w="7030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将自然语言问题转换为可执行 SQL 查询的技术过程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指标语义层</w:t>
            </w:r>
          </w:p>
        </w:tc>
        <w:tc>
          <w:tcPr>
            <w:tcW w:type="dxa" w:w="7030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对指标名称、口径、维度、计算逻辑进行统一建模的中间层，作为 SQL 生成的地基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RAG</w:t>
            </w:r>
          </w:p>
        </w:tc>
        <w:tc>
          <w:tcPr>
            <w:tcW w:type="dxa" w:w="7030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检索增强生成，通过向量检索召回口径文档、示例问答等知识，增强生成准确性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Schema Linking</w:t>
            </w:r>
          </w:p>
        </w:tc>
        <w:tc>
          <w:tcPr>
            <w:tcW w:type="dxa" w:w="7030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NL2SQL 中的表结构关联，识别问题涉及的库表、字段与指标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行级权限</w:t>
            </w:r>
          </w:p>
        </w:tc>
        <w:tc>
          <w:tcPr>
            <w:tcW w:type="dxa" w:w="7030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按数据行维度控制可见范围（如按区域、部门过滤），通过注入查询条件实现</w:t>
            </w:r>
          </w:p>
        </w:tc>
      </w:tr>
    </w:tbl>
    <w:p>
      <w:pPr>
        <w:pStyle w:val="Heading1"/>
        <w:keepNext/>
      </w:pPr>
      <w:bookmarkStart w:id="6" w:name="_LarkToc00006"/>
      <w:r>
        <w:rPr>
          <w:b/>
          <w:color w:val="000000"/>
        </w:rPr>
        <w:t>2  需求与范围</w:t>
      </w:r>
      <w:bookmarkEnd w:id="6"/>
    </w:p>
    <w:p>
      <w:pPr>
        <w:pStyle w:val="Heading2"/>
        <w:keepNext/>
      </w:pPr>
      <w:bookmarkStart w:id="7" w:name="_LarkToc00007"/>
      <w:r>
        <w:rPr>
          <w:b/>
          <w:color w:val="000000"/>
        </w:rPr>
        <w:t>2.1  用户角色</w:t>
      </w:r>
      <w:bookmarkEnd w:id="7"/>
    </w:p>
    <w:p>
      <w:pPr>
        <w:pStyle w:val="Caption"/>
        <w:keepNext/>
        <w:spacing w:before="120" w:after="80"/>
      </w:pPr>
      <w:r>
        <w:t>表3 用户角色定义</w:t>
      </w:r>
    </w:p>
    <w:tbl>
      <w:tblPr>
        <w:tblStyle w:val="TableGrid"/>
        <w:tblW w:type="auto" w:w="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1361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角色</w:t>
            </w:r>
          </w:p>
        </w:tc>
        <w:tc>
          <w:tcPr>
            <w:tcW w:type="dxa" w:w="2608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职责</w:t>
            </w:r>
          </w:p>
        </w:tc>
        <w:tc>
          <w:tcPr>
            <w:tcW w:type="dxa" w:w="2494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核心诉求</w:t>
            </w:r>
          </w:p>
        </w:tc>
        <w:tc>
          <w:tcPr>
            <w:tcW w:type="dxa" w:w="2608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典型场景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业务运营</w:t>
            </w:r>
          </w:p>
        </w:tc>
        <w:tc>
          <w:tcPr>
            <w:tcW w:type="dxa" w:w="260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日常经营活动的执行与跟踪</w:t>
            </w:r>
          </w:p>
        </w:tc>
        <w:tc>
          <w:tcPr>
            <w:tcW w:type="dxa" w:w="2494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快速取数、看懂波动原因</w:t>
            </w:r>
          </w:p>
        </w:tc>
        <w:tc>
          <w:tcPr>
            <w:tcW w:type="dxa" w:w="260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查询昨日 GMV、定位异动原因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数据分析师</w:t>
            </w:r>
          </w:p>
        </w:tc>
        <w:tc>
          <w:tcPr>
            <w:tcW w:type="dxa" w:w="260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专题分析与报告产出</w:t>
            </w:r>
          </w:p>
        </w:tc>
        <w:tc>
          <w:tcPr>
            <w:tcW w:type="dxa" w:w="2494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多维度分析、报告自动化</w:t>
            </w:r>
          </w:p>
        </w:tc>
        <w:tc>
          <w:tcPr>
            <w:tcW w:type="dxa" w:w="260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渠道对比、生成周报/月报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管理层</w:t>
            </w:r>
          </w:p>
        </w:tc>
        <w:tc>
          <w:tcPr>
            <w:tcW w:type="dxa" w:w="260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经营决策与目标管理</w:t>
            </w:r>
          </w:p>
        </w:tc>
        <w:tc>
          <w:tcPr>
            <w:tcW w:type="dxa" w:w="2494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关键指标速览、订阅推送</w:t>
            </w:r>
          </w:p>
        </w:tc>
        <w:tc>
          <w:tcPr>
            <w:tcW w:type="dxa" w:w="260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核心指标问答、定期订阅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数据管理员</w:t>
            </w:r>
          </w:p>
        </w:tc>
        <w:tc>
          <w:tcPr>
            <w:tcW w:type="dxa" w:w="260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数据源与指标口径治理</w:t>
            </w:r>
          </w:p>
        </w:tc>
        <w:tc>
          <w:tcPr>
            <w:tcW w:type="dxa" w:w="2494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统一口径、保障数据可信</w:t>
            </w:r>
          </w:p>
        </w:tc>
        <w:tc>
          <w:tcPr>
            <w:tcW w:type="dxa" w:w="260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注册指标、接入数据源、配置权限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系统管理员</w:t>
            </w:r>
          </w:p>
        </w:tc>
        <w:tc>
          <w:tcPr>
            <w:tcW w:type="dxa" w:w="260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平台运维与安全</w:t>
            </w:r>
          </w:p>
        </w:tc>
        <w:tc>
          <w:tcPr>
            <w:tcW w:type="dxa" w:w="2494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稳定运行、审计可查</w:t>
            </w:r>
          </w:p>
        </w:tc>
        <w:tc>
          <w:tcPr>
            <w:tcW w:type="dxa" w:w="260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权限配置、日志审计、监控告警</w:t>
            </w:r>
          </w:p>
        </w:tc>
      </w:tr>
    </w:tbl>
    <w:p>
      <w:pPr>
        <w:pStyle w:val="Heading2"/>
        <w:keepNext/>
      </w:pPr>
      <w:bookmarkStart w:id="8" w:name="_LarkToc00008"/>
      <w:r>
        <w:rPr>
          <w:b/>
          <w:color w:val="000000"/>
        </w:rPr>
        <w:t>2.2  核心能力范围</w:t>
      </w:r>
      <w:bookmarkEnd w:id="8"/>
    </w:p>
    <w:p>
      <w:pPr>
        <w:ind w:firstLineChars="200" w:firstLine="480"/>
      </w:pPr>
      <w:r>
        <w:rPr>
          <w:color w:val="000000"/>
        </w:rPr>
        <w:t>说明：在需求确认阶段未限定能力范围，本设计按完整能力集展开，共六类能力域。实施时可依据优先级（P0/P1/P2）分期落地。</w:t>
      </w:r>
    </w:p>
    <w:p>
      <w:pPr>
        <w:pStyle w:val="Caption"/>
        <w:keepNext/>
        <w:spacing w:before="120" w:after="80"/>
      </w:pPr>
      <w:r>
        <w:t>表4 核心能力范围</w:t>
      </w:r>
    </w:p>
    <w:tbl>
      <w:tblPr>
        <w:tblStyle w:val="TableGrid"/>
        <w:tblW w:type="auto" w:w="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814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能力域</w:t>
            </w:r>
          </w:p>
        </w:tc>
        <w:tc>
          <w:tcPr>
            <w:tcW w:type="dxa" w:w="5783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能力说明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优先级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F1 对话查询</w:t>
            </w:r>
          </w:p>
        </w:tc>
        <w:tc>
          <w:tcPr>
            <w:tcW w:type="dxa" w:w="5783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自然语言取数、多轮对话澄清、结果表格/图表展示</w:t>
            </w:r>
          </w:p>
        </w:tc>
        <w:tc>
          <w:tcPr>
            <w:tcW w:type="dxa" w:w="147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P0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F2 数据分析</w:t>
            </w:r>
          </w:p>
        </w:tc>
        <w:tc>
          <w:tcPr>
            <w:tcW w:type="dxa" w:w="5783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指标异动检测与归因、多维对比、趋势洞察</w:t>
            </w:r>
          </w:p>
        </w:tc>
        <w:tc>
          <w:tcPr>
            <w:tcW w:type="dxa" w:w="147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P1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F3 报告生成</w:t>
            </w:r>
          </w:p>
        </w:tc>
        <w:tc>
          <w:tcPr>
            <w:tcW w:type="dxa" w:w="5783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模板化周期报告、自由问答生成报告、导出与订阅</w:t>
            </w:r>
          </w:p>
        </w:tc>
        <w:tc>
          <w:tcPr>
            <w:tcW w:type="dxa" w:w="147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P1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F4 多源接入</w:t>
            </w:r>
          </w:p>
        </w:tc>
        <w:tc>
          <w:tcPr>
            <w:tcW w:type="dxa" w:w="5783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数据库、Excel/CSV、API、文档等多类数据源统一接入</w:t>
            </w:r>
          </w:p>
        </w:tc>
        <w:tc>
          <w:tcPr>
            <w:tcW w:type="dxa" w:w="147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P1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F5 权限安全</w:t>
            </w:r>
          </w:p>
        </w:tc>
        <w:tc>
          <w:tcPr>
            <w:tcW w:type="dxa" w:w="5783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认证授权、行/列级权限、数据脱敏、操作审计</w:t>
            </w:r>
          </w:p>
        </w:tc>
        <w:tc>
          <w:tcPr>
            <w:tcW w:type="dxa" w:w="147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P0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F6 运营评测</w:t>
            </w:r>
          </w:p>
        </w:tc>
        <w:tc>
          <w:tcPr>
            <w:tcW w:type="dxa" w:w="5783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用户反馈、问答质量评测、会话历史与收藏</w:t>
            </w:r>
          </w:p>
        </w:tc>
        <w:tc>
          <w:tcPr>
            <w:tcW w:type="dxa" w:w="147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P1</w:t>
            </w:r>
          </w:p>
        </w:tc>
      </w:tr>
    </w:tbl>
    <w:p>
      <w:pPr>
        <w:pStyle w:val="Heading2"/>
        <w:keepNext/>
      </w:pPr>
      <w:bookmarkStart w:id="9" w:name="_LarkToc00009"/>
      <w:r>
        <w:rPr>
          <w:b/>
          <w:color w:val="000000"/>
        </w:rPr>
        <w:t>2.3  项目边界</w:t>
      </w:r>
      <w:bookmarkEnd w:id="9"/>
    </w:p>
    <w:p>
      <w:pPr>
        <w:ind w:firstLineChars="200" w:firstLine="480"/>
      </w:pPr>
      <w:r>
        <w:rPr>
          <w:color w:val="000000"/>
        </w:rPr>
        <w:t>为聚焦核心价值，明确以下事项不在本项目范围内：</w:t>
      </w:r>
    </w:p>
    <w:p>
      <w:pPr>
        <w:pStyle w:val="ListBullet"/>
        <w:spacing w:line="360" w:lineRule="auto"/>
      </w:pPr>
      <w:r>
        <w:t>不建设数据仓库与 ETL 调度：复用企业现有数仓、数据中台与调度体系；</w:t>
      </w:r>
    </w:p>
    <w:p>
      <w:pPr>
        <w:pStyle w:val="ListBullet"/>
        <w:spacing w:line="360" w:lineRule="auto"/>
      </w:pPr>
      <w:r>
        <w:t>不重建身份与权限体系：对接企业现有 SSO 与 RBAC 体系；</w:t>
      </w:r>
    </w:p>
    <w:p>
      <w:pPr>
        <w:pStyle w:val="ListBullet"/>
        <w:spacing w:line="360" w:lineRule="auto"/>
      </w:pPr>
      <w:r>
        <w:t>不替代现有 BI 报表平台：与报表平台共存，ChatBI 侧重即席问答与解释性分析；</w:t>
      </w:r>
    </w:p>
    <w:p>
      <w:pPr>
        <w:pStyle w:val="ListBullet"/>
        <w:spacing w:line="360" w:lineRule="auto"/>
      </w:pPr>
      <w:r>
        <w:t>不自建大模型训练平台：依赖商用大模型 API 或企业私有化模型服务。</w:t>
      </w:r>
    </w:p>
    <w:p>
      <w:pPr>
        <w:pStyle w:val="Heading2"/>
        <w:keepNext/>
      </w:pPr>
      <w:bookmarkStart w:id="10" w:name="_LarkToc00010"/>
      <w:r>
        <w:rPr>
          <w:b/>
          <w:color w:val="000000"/>
        </w:rPr>
        <w:t>2.4  关键非功能需求</w:t>
      </w:r>
      <w:bookmarkEnd w:id="10"/>
    </w:p>
    <w:p>
      <w:pPr>
        <w:pStyle w:val="Caption"/>
        <w:keepNext/>
        <w:spacing w:before="120" w:after="80"/>
      </w:pPr>
      <w:r>
        <w:t>表5 关键非功能需求概览</w:t>
      </w:r>
    </w:p>
    <w:tbl>
      <w:tblPr>
        <w:tblStyle w:val="TableGrid"/>
        <w:tblW w:type="auto" w:w="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361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4309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关键指标</w:t>
            </w:r>
          </w:p>
        </w:tc>
        <w:tc>
          <w:tcPr>
            <w:tcW w:type="dxa" w:w="3402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目标值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性能</w:t>
            </w:r>
          </w:p>
        </w:tc>
        <w:tc>
          <w:tcPr>
            <w:tcW w:type="dxa" w:w="4309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端到端首答时延（P95）</w:t>
            </w:r>
          </w:p>
        </w:tc>
        <w:tc>
          <w:tcPr>
            <w:tcW w:type="dxa" w:w="3402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不超过 8 秒；复杂查询不超过 30 秒（异步任务）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正确性</w:t>
            </w:r>
          </w:p>
        </w:tc>
        <w:tc>
          <w:tcPr>
            <w:tcW w:type="dxa" w:w="4309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SQL 执行通过率</w:t>
            </w:r>
          </w:p>
        </w:tc>
        <w:tc>
          <w:tcPr>
            <w:tcW w:type="dxa" w:w="3402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不低于 95%；结果准确率以评测集为准持续跟踪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安全</w:t>
            </w:r>
          </w:p>
        </w:tc>
        <w:tc>
          <w:tcPr>
            <w:tcW w:type="dxa" w:w="4309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数据权限与审计</w:t>
            </w:r>
          </w:p>
        </w:tc>
        <w:tc>
          <w:tcPr>
            <w:tcW w:type="dxa" w:w="3402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全链路审计、敏感字段脱敏、最小权限原则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可用性</w:t>
            </w:r>
          </w:p>
        </w:tc>
        <w:tc>
          <w:tcPr>
            <w:tcW w:type="dxa" w:w="4309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服务可用性</w:t>
            </w:r>
          </w:p>
        </w:tc>
        <w:tc>
          <w:tcPr>
            <w:tcW w:type="dxa" w:w="3402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不低于 99.5%（核心服务）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可扩展</w:t>
            </w:r>
          </w:p>
        </w:tc>
        <w:tc>
          <w:tcPr>
            <w:tcW w:type="dxa" w:w="4309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数据源与工具扩展</w:t>
            </w:r>
          </w:p>
        </w:tc>
        <w:tc>
          <w:tcPr>
            <w:tcW w:type="dxa" w:w="3402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新增数据源/工具通过配置与适配器扩展，无需改核心代码</w:t>
            </w:r>
          </w:p>
        </w:tc>
      </w:tr>
    </w:tbl>
    <w:p>
      <w:pPr>
        <w:pStyle w:val="Heading1"/>
        <w:keepNext/>
      </w:pPr>
      <w:bookmarkStart w:id="11" w:name="_LarkToc00011"/>
      <w:r>
        <w:rPr>
          <w:b/>
          <w:color w:val="000000"/>
        </w:rPr>
        <w:t>3  同类方案与趋势参考</w:t>
      </w:r>
      <w:bookmarkEnd w:id="11"/>
    </w:p>
    <w:p>
      <w:pPr>
        <w:pStyle w:val="Heading2"/>
        <w:keepNext/>
      </w:pPr>
      <w:bookmarkStart w:id="12" w:name="_LarkToc00012"/>
      <w:r>
        <w:rPr>
          <w:b/>
          <w:color w:val="000000"/>
        </w:rPr>
        <w:t>3.1  产品形态</w:t>
      </w:r>
      <w:bookmarkEnd w:id="12"/>
    </w:p>
    <w:p>
      <w:pPr>
        <w:ind w:firstLineChars="200" w:firstLine="480"/>
      </w:pPr>
      <w:r>
        <w:rPr>
          <w:color w:val="000000"/>
        </w:rPr>
        <w:t>ChatBI 类产品经历了从“报表问答”到“分析智能体”的演进：早期以关键词匹配和规则模板为主，随后发展为基于大模型的 Text-to-SQL；当前主流形态是 Agent 化——由智能体自主完成意图理解、多步取数、工具调用与结论生成，并引入语义层与知识库增强准确性。</w:t>
      </w:r>
    </w:p>
    <w:p>
      <w:pPr>
        <w:pStyle w:val="Heading2"/>
        <w:keepNext/>
      </w:pPr>
      <w:bookmarkStart w:id="13" w:name="_LarkToc00013"/>
      <w:r>
        <w:rPr>
          <w:b/>
          <w:color w:val="000000"/>
        </w:rPr>
        <w:t>3.2  技术趋势</w:t>
      </w:r>
      <w:bookmarkEnd w:id="13"/>
    </w:p>
    <w:p>
      <w:pPr>
        <w:pStyle w:val="ListBullet"/>
        <w:spacing w:line="360" w:lineRule="auto"/>
      </w:pPr>
      <w:r>
        <w:t>Text-to-SQL 评测体系逐步成熟，执行准确率成为行业通用度量；</w:t>
      </w:r>
    </w:p>
    <w:p>
      <w:pPr>
        <w:pStyle w:val="ListBullet"/>
        <w:spacing w:line="360" w:lineRule="auto"/>
      </w:pPr>
      <w:r>
        <w:t>Agent 化编排（规划、工具调用、自纠正）成为标准架构；</w:t>
      </w:r>
    </w:p>
    <w:p>
      <w:pPr>
        <w:pStyle w:val="ListBullet"/>
        <w:spacing w:line="360" w:lineRule="auto"/>
      </w:pPr>
      <w:r>
        <w:t>指标语义层（Semantic Layer）成为保障口径一致的关键组件；</w:t>
      </w:r>
    </w:p>
    <w:p>
      <w:pPr>
        <w:pStyle w:val="ListBullet"/>
        <w:spacing w:line="360" w:lineRule="auto"/>
      </w:pPr>
      <w:r>
        <w:t>RAG 知识增强与模型微调共同提升领域准确性；</w:t>
      </w:r>
    </w:p>
    <w:p>
      <w:pPr>
        <w:pStyle w:val="ListBullet"/>
        <w:spacing w:line="360" w:lineRule="auto"/>
      </w:pPr>
      <w:r>
        <w:t>评测、可观测与反馈闭环成为生产级系统的必备能力。</w:t>
      </w:r>
    </w:p>
    <w:p>
      <w:pPr>
        <w:pStyle w:val="Heading1"/>
        <w:keepNext/>
      </w:pPr>
      <w:bookmarkStart w:id="14" w:name="_LarkToc00014"/>
      <w:r>
        <w:rPr>
          <w:b/>
          <w:color w:val="000000"/>
        </w:rPr>
        <w:t>4  总体方案</w:t>
      </w:r>
      <w:bookmarkEnd w:id="14"/>
    </w:p>
    <w:p>
      <w:pPr>
        <w:pStyle w:val="Heading2"/>
        <w:keepNext/>
      </w:pPr>
      <w:bookmarkStart w:id="15" w:name="_LarkToc00015"/>
      <w:r>
        <w:rPr>
          <w:b/>
          <w:color w:val="000000"/>
        </w:rPr>
        <w:t>4.1  设计原则</w:t>
      </w:r>
      <w:bookmarkEnd w:id="15"/>
    </w:p>
    <w:p>
      <w:pPr>
        <w:numPr>
          <w:ilvl w:val="0"/>
          <w:numId w:val="10"/>
        </w:numPr>
        <w:spacing w:line="360" w:lineRule="auto"/>
      </w:pPr>
      <w:r>
        <w:t>准确性优先：SQL 可生成、可执行、可回读校验，低置信场景主动兜底；</w:t>
      </w:r>
    </w:p>
    <w:p>
      <w:pPr>
        <w:numPr>
          <w:ilvl w:val="0"/>
          <w:numId w:val="10"/>
        </w:numPr>
        <w:spacing w:line="360" w:lineRule="auto"/>
      </w:pPr>
      <w:r>
        <w:t>可解释：向用户展示生成的 SQL、数据来源与推理依据，建立信任；</w:t>
      </w:r>
    </w:p>
    <w:p>
      <w:pPr>
        <w:numPr>
          <w:ilvl w:val="0"/>
          <w:numId w:val="10"/>
        </w:numPr>
        <w:spacing w:line="360" w:lineRule="auto"/>
      </w:pPr>
      <w:r>
        <w:t>可治理：指标口径统一管理，权限最小化，全链路审计；</w:t>
      </w:r>
    </w:p>
    <w:p>
      <w:pPr>
        <w:numPr>
          <w:ilvl w:val="0"/>
          <w:numId w:val="10"/>
        </w:numPr>
        <w:spacing w:line="360" w:lineRule="auto"/>
      </w:pPr>
      <w:r>
        <w:t>可扩展：数据源与工具按适配器模式扩展，Agent 工具可插拔；</w:t>
      </w:r>
    </w:p>
    <w:p>
      <w:pPr>
        <w:numPr>
          <w:ilvl w:val="0"/>
          <w:numId w:val="10"/>
        </w:numPr>
        <w:spacing w:line="360" w:lineRule="auto"/>
      </w:pPr>
      <w:r>
        <w:t>安全合规：只读执行、防注入、脱敏与审计贯穿全链路。</w:t>
      </w:r>
    </w:p>
    <w:p>
      <w:pPr>
        <w:pStyle w:val="Heading2"/>
        <w:keepNext/>
      </w:pPr>
      <w:bookmarkStart w:id="16" w:name="_LarkToc00016"/>
      <w:r>
        <w:rPr>
          <w:b/>
          <w:color w:val="000000"/>
        </w:rPr>
        <w:t>4.2  总体架构概览</w:t>
      </w:r>
      <w:bookmarkEnd w:id="16"/>
    </w:p>
    <w:p>
      <w:pPr>
        <w:ind w:firstLineChars="200" w:firstLine="480"/>
      </w:pPr>
      <w:r>
        <w:rPr>
          <w:color w:val="000000"/>
        </w:rPr>
        <w:t>系统采用四层架构：交互层（对话界面、API 网关、身份认证）、智能层（Agent 编排、NL2SQL 引擎、RAG 知识检索、LLM 网关）、能力层（查询执行引擎、指标语义层、权限引擎、可视化与报表）、数据层（业务库、数仓、向量库、文件与接口源）。评测与可观测横跨各层，采集耗时、成功率与用户反馈。详细架构与技术选型见《技术设计文档》。</w:t>
      </w:r>
    </w:p>
    <w:p>
      <w:pPr>
        <w:pStyle w:val="Heading2"/>
        <w:keepNext/>
      </w:pPr>
      <w:bookmarkStart w:id="17" w:name="_LarkToc00017"/>
      <w:r>
        <w:rPr>
          <w:b/>
          <w:color w:val="000000"/>
        </w:rPr>
        <w:t>4.3  关键技术路径</w:t>
      </w:r>
      <w:bookmarkEnd w:id="17"/>
    </w:p>
    <w:p>
      <w:pPr>
        <w:ind w:firstLineChars="200" w:firstLine="480"/>
      </w:pPr>
      <w:r>
        <w:rPr>
          <w:color w:val="000000"/>
        </w:rPr>
        <w:t>以 Agent 编排为核心，组合以下关键技术：Agent 状态机负责意图识别、澄清与工具调度；NL2SQL 引擎负责将问题转换为可校验的 SQL；指标语义层与 RAG 知识库共同约束口径与取数准确性；执行引擎保障安全可控的查询执行；评测闭环驱动持续优化。</w:t>
      </w:r>
    </w:p>
    <w:p>
      <w:pPr>
        <w:pStyle w:val="Heading2"/>
        <w:keepNext/>
      </w:pPr>
      <w:bookmarkStart w:id="18" w:name="_LarkToc00018"/>
      <w:r>
        <w:rPr>
          <w:b/>
          <w:color w:val="000000"/>
        </w:rPr>
        <w:t>4.4  与现有系统集成</w:t>
      </w:r>
      <w:bookmarkEnd w:id="18"/>
    </w:p>
    <w:p>
      <w:pPr>
        <w:pStyle w:val="Caption"/>
        <w:keepNext/>
        <w:spacing w:before="120" w:after="80"/>
      </w:pPr>
      <w:r>
        <w:t>表6 系统集成点</w:t>
      </w:r>
    </w:p>
    <w:tbl>
      <w:tblPr>
        <w:tblStyle w:val="TableGrid"/>
        <w:tblW w:type="auto" w:w="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814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外部系统</w:t>
            </w:r>
          </w:p>
        </w:tc>
        <w:tc>
          <w:tcPr>
            <w:tcW w:type="dxa" w:w="3628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集成方式</w:t>
            </w:r>
          </w:p>
        </w:tc>
        <w:tc>
          <w:tcPr>
            <w:tcW w:type="dxa" w:w="3628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企业 SSO</w:t>
            </w:r>
          </w:p>
        </w:tc>
        <w:tc>
          <w:tcPr>
            <w:tcW w:type="dxa" w:w="362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OIDC/SAML 单点登录</w:t>
            </w:r>
          </w:p>
        </w:tc>
        <w:tc>
          <w:tcPr>
            <w:tcW w:type="dxa" w:w="362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用户认证与账号打通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数仓/业务库</w:t>
            </w:r>
          </w:p>
        </w:tc>
        <w:tc>
          <w:tcPr>
            <w:tcW w:type="dxa" w:w="362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JDBC 只读连接</w:t>
            </w:r>
          </w:p>
        </w:tc>
        <w:tc>
          <w:tcPr>
            <w:tcW w:type="dxa" w:w="362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数据查询与取数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消息/IM 平台</w:t>
            </w:r>
          </w:p>
        </w:tc>
        <w:tc>
          <w:tcPr>
            <w:tcW w:type="dxa" w:w="362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Webhook/消息推送</w:t>
            </w:r>
          </w:p>
        </w:tc>
        <w:tc>
          <w:tcPr>
            <w:tcW w:type="dxa" w:w="362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报告订阅与结果推送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邮件系统</w:t>
            </w:r>
          </w:p>
        </w:tc>
        <w:tc>
          <w:tcPr>
            <w:tcW w:type="dxa" w:w="362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SMTP 接口</w:t>
            </w:r>
          </w:p>
        </w:tc>
        <w:tc>
          <w:tcPr>
            <w:tcW w:type="dxa" w:w="362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周期报告发送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监控平台</w:t>
            </w:r>
          </w:p>
        </w:tc>
        <w:tc>
          <w:tcPr>
            <w:tcW w:type="dxa" w:w="362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OpenTelemetry/Prometheus</w:t>
            </w:r>
          </w:p>
        </w:tc>
        <w:tc>
          <w:tcPr>
            <w:tcW w:type="dxa" w:w="362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链路追踪与告警</w:t>
            </w:r>
          </w:p>
        </w:tc>
      </w:tr>
    </w:tbl>
    <w:p>
      <w:pPr>
        <w:pStyle w:val="Heading1"/>
        <w:keepNext/>
      </w:pPr>
      <w:bookmarkStart w:id="19" w:name="_LarkToc00019"/>
      <w:r>
        <w:rPr>
          <w:b/>
          <w:color w:val="000000"/>
        </w:rPr>
        <w:t>5  里程碑规划</w:t>
      </w:r>
      <w:bookmarkEnd w:id="19"/>
    </w:p>
    <w:p>
      <w:pPr>
        <w:pStyle w:val="Heading2"/>
        <w:keepNext/>
      </w:pPr>
      <w:bookmarkStart w:id="20" w:name="_LarkToc00020"/>
      <w:r>
        <w:rPr>
          <w:b/>
          <w:color w:val="000000"/>
        </w:rPr>
        <w:t>5.1  阶段划分</w:t>
      </w:r>
      <w:bookmarkEnd w:id="20"/>
    </w:p>
    <w:p>
      <w:pPr>
        <w:ind w:firstLineChars="200" w:firstLine="480"/>
      </w:pPr>
      <w:r>
        <w:rPr>
          <w:color w:val="000000"/>
        </w:rPr>
        <w:t>项目以立项为第 1 个月起算，划分为五个阶段，整体节奏如图 1 所示。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624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esto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62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</w:pPr>
      <w:r>
        <w:t>图1 项目里程碑规划</w:t>
      </w:r>
    </w:p>
    <w:p>
      <w:pPr>
        <w:pStyle w:val="Caption"/>
        <w:keepNext/>
        <w:spacing w:before="120" w:after="80"/>
      </w:pPr>
      <w:r>
        <w:t>表7 里程碑与验收标准</w:t>
      </w:r>
    </w:p>
    <w:tbl>
      <w:tblPr>
        <w:tblStyle w:val="TableGrid"/>
        <w:tblW w:type="auto" w:w="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1474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周期</w:t>
            </w:r>
          </w:p>
        </w:tc>
        <w:tc>
          <w:tcPr>
            <w:tcW w:type="dxa" w:w="3175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关键交付物</w:t>
            </w:r>
          </w:p>
        </w:tc>
        <w:tc>
          <w:tcPr>
            <w:tcW w:type="dxa" w:w="3288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验收标准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M1 可行性验证与立项</w:t>
            </w:r>
          </w:p>
        </w:tc>
        <w:tc>
          <w:tcPr>
            <w:tcW w:type="dxa" w:w="113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第 1–2 月</w:t>
            </w:r>
          </w:p>
        </w:tc>
        <w:tc>
          <w:tcPr>
            <w:tcW w:type="dxa" w:w="317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需求调研报告、NL2SQL POC、指标字典试点方案</w:t>
            </w:r>
          </w:p>
        </w:tc>
        <w:tc>
          <w:tcPr>
            <w:tcW w:type="dxa" w:w="328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POC 在真实数据上 SQL 执行通过率不低于 90%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M2 MVP 上线</w:t>
            </w:r>
          </w:p>
        </w:tc>
        <w:tc>
          <w:tcPr>
            <w:tcW w:type="dxa" w:w="113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第 3–6 月</w:t>
            </w:r>
          </w:p>
        </w:tc>
        <w:tc>
          <w:tcPr>
            <w:tcW w:type="dxa" w:w="317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对话取数、图表展示、基础权限、管理后台</w:t>
            </w:r>
          </w:p>
        </w:tc>
        <w:tc>
          <w:tcPr>
            <w:tcW w:type="dxa" w:w="328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MVP 可用，核心场景可用率达标，权限审计闭环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M3 能力增强</w:t>
            </w:r>
          </w:p>
        </w:tc>
        <w:tc>
          <w:tcPr>
            <w:tcW w:type="dxa" w:w="113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第 6–9 月</w:t>
            </w:r>
          </w:p>
        </w:tc>
        <w:tc>
          <w:tcPr>
            <w:tcW w:type="dxa" w:w="317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多源接入、异动归因、RAG 知识库、评测体系</w:t>
            </w:r>
          </w:p>
        </w:tc>
        <w:tc>
          <w:tcPr>
            <w:tcW w:type="dxa" w:w="328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评测集执行通过率不低于 95%，多源统一查询可用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M4 生产化与规模化</w:t>
            </w:r>
          </w:p>
        </w:tc>
        <w:tc>
          <w:tcPr>
            <w:tcW w:type="dxa" w:w="113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第 9–12 月</w:t>
            </w:r>
          </w:p>
        </w:tc>
        <w:tc>
          <w:tcPr>
            <w:tcW w:type="dxa" w:w="317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报告生成、高可用部署、监控告警、容量规划</w:t>
            </w:r>
          </w:p>
        </w:tc>
        <w:tc>
          <w:tcPr>
            <w:tcW w:type="dxa" w:w="328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服务可用性 99.5%，性能 P95 达标，完成压测与容灾演练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M5 持续运营与优化</w:t>
            </w:r>
          </w:p>
        </w:tc>
        <w:tc>
          <w:tcPr>
            <w:tcW w:type="dxa" w:w="113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第 12 月起</w:t>
            </w:r>
          </w:p>
        </w:tc>
        <w:tc>
          <w:tcPr>
            <w:tcW w:type="dxa" w:w="317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模型微调、口径治理、效果运营、版本迭代</w:t>
            </w:r>
          </w:p>
        </w:tc>
        <w:tc>
          <w:tcPr>
            <w:tcW w:type="dxa" w:w="328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满意度与解决率持续提升，建立月度运营机制</w:t>
            </w:r>
          </w:p>
        </w:tc>
      </w:tr>
    </w:tbl>
    <w:p>
      <w:pPr>
        <w:pStyle w:val="Heading2"/>
        <w:keepNext/>
      </w:pPr>
      <w:bookmarkStart w:id="21" w:name="_LarkToc00021"/>
      <w:r>
        <w:rPr>
          <w:b/>
          <w:color w:val="000000"/>
        </w:rPr>
        <w:t>5.2  资源与依赖</w:t>
      </w:r>
      <w:bookmarkEnd w:id="21"/>
    </w:p>
    <w:p>
      <w:pPr>
        <w:pStyle w:val="ListBullet"/>
        <w:spacing w:line="360" w:lineRule="auto"/>
      </w:pPr>
      <w:r>
        <w:t>人力资源：产品经理、后端开发、算法工程、数据工程师、测试、项目经理；</w:t>
      </w:r>
    </w:p>
    <w:p>
      <w:pPr>
        <w:pStyle w:val="ListBullet"/>
        <w:spacing w:line="360" w:lineRule="auto"/>
      </w:pPr>
      <w:r>
        <w:t>外部依赖：大模型服务（商用 API 或私有化部署）、数仓访问权限、SSO 集成授权；</w:t>
      </w:r>
    </w:p>
    <w:p>
      <w:pPr>
        <w:pStyle w:val="ListBullet"/>
        <w:spacing w:line="360" w:lineRule="auto"/>
      </w:pPr>
      <w:r>
        <w:t>数据依赖：核心业务表清单、指标口径文档、历史优质查询样例。</w:t>
      </w:r>
    </w:p>
    <w:p>
      <w:pPr>
        <w:pStyle w:val="Heading1"/>
        <w:keepNext/>
      </w:pPr>
      <w:bookmarkStart w:id="22" w:name="_LarkToc00022"/>
      <w:r>
        <w:rPr>
          <w:b/>
          <w:color w:val="000000"/>
        </w:rPr>
        <w:t>6  风险与对策</w:t>
      </w:r>
      <w:bookmarkEnd w:id="22"/>
    </w:p>
    <w:p>
      <w:pPr>
        <w:pStyle w:val="Caption"/>
        <w:keepNext/>
        <w:spacing w:before="120" w:after="80"/>
      </w:pPr>
      <w:r>
        <w:t>表8 风险清单与应对措施</w:t>
      </w:r>
    </w:p>
    <w:tbl>
      <w:tblPr>
        <w:tblStyle w:val="TableGrid"/>
        <w:tblW w:type="auto" w:w="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1701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风险</w:t>
            </w:r>
          </w:p>
        </w:tc>
        <w:tc>
          <w:tcPr>
            <w:tcW w:type="dxa" w:w="2041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影响</w:t>
            </w:r>
          </w:p>
        </w:tc>
        <w:tc>
          <w:tcPr>
            <w:tcW w:type="dxa" w:w="907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等级</w:t>
            </w:r>
          </w:p>
        </w:tc>
        <w:tc>
          <w:tcPr>
            <w:tcW w:type="dxa" w:w="4422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应对措施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SQL 生成准确率不足</w:t>
            </w:r>
          </w:p>
        </w:tc>
        <w:tc>
          <w:tcPr>
            <w:tcW w:type="dxa" w:w="2041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用户信任下降</w:t>
            </w:r>
          </w:p>
        </w:tc>
        <w:tc>
          <w:tcPr>
            <w:tcW w:type="dxa" w:w="90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高</w:t>
            </w:r>
          </w:p>
        </w:tc>
        <w:tc>
          <w:tcPr>
            <w:tcW w:type="dxa" w:w="4422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Schema 剪枝、Few-shot 与 RAG 增强、自纠正循环、低置信兜底、评测闭环持续优化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SQL 注入与越权</w:t>
            </w:r>
          </w:p>
        </w:tc>
        <w:tc>
          <w:tcPr>
            <w:tcW w:type="dxa" w:w="2041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数据安全风险</w:t>
            </w:r>
          </w:p>
        </w:tc>
        <w:tc>
          <w:tcPr>
            <w:tcW w:type="dxa" w:w="90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高</w:t>
            </w:r>
          </w:p>
        </w:tc>
        <w:tc>
          <w:tcPr>
            <w:tcW w:type="dxa" w:w="4422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只读账号、函数/对象白名单、行级权限注入、参数化执行、审计留痕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指标口径不一致</w:t>
            </w:r>
          </w:p>
        </w:tc>
        <w:tc>
          <w:tcPr>
            <w:tcW w:type="dxa" w:w="2041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结论错误</w:t>
            </w:r>
          </w:p>
        </w:tc>
        <w:tc>
          <w:tcPr>
            <w:tcW w:type="dxa" w:w="90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高</w:t>
            </w:r>
          </w:p>
        </w:tc>
        <w:tc>
          <w:tcPr>
            <w:tcW w:type="dxa" w:w="4422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指标语义层统一建模、口径文档入知识库、发布审核流程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模型幻觉</w:t>
            </w:r>
          </w:p>
        </w:tc>
        <w:tc>
          <w:tcPr>
            <w:tcW w:type="dxa" w:w="2041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输出不可信结论</w:t>
            </w:r>
          </w:p>
        </w:tc>
        <w:tc>
          <w:tcPr>
            <w:tcW w:type="dxa" w:w="90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中</w:t>
            </w:r>
          </w:p>
        </w:tc>
        <w:tc>
          <w:tcPr>
            <w:tcW w:type="dxa" w:w="4422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所有结论附数据来源与 SQL 展示、空结果与低置信主动声明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成本失控</w:t>
            </w:r>
          </w:p>
        </w:tc>
        <w:tc>
          <w:tcPr>
            <w:tcW w:type="dxa" w:w="2041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运营成本超预算</w:t>
            </w:r>
          </w:p>
        </w:tc>
        <w:tc>
          <w:tcPr>
            <w:tcW w:type="dxa" w:w="90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中</w:t>
            </w:r>
          </w:p>
        </w:tc>
        <w:tc>
          <w:tcPr>
            <w:tcW w:type="dxa" w:w="4422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Token 用量监控、缓存与结果复用、模型分级路由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性能瓶颈</w:t>
            </w:r>
          </w:p>
        </w:tc>
        <w:tc>
          <w:tcPr>
            <w:tcW w:type="dxa" w:w="2041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体验下降</w:t>
            </w:r>
          </w:p>
        </w:tc>
        <w:tc>
          <w:tcPr>
            <w:tcW w:type="dxa" w:w="90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中</w:t>
            </w:r>
          </w:p>
        </w:tc>
        <w:tc>
          <w:tcPr>
            <w:tcW w:type="dxa" w:w="4422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查询超时/限流、慢查询异步化、缓存热点、容量规划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合规风险</w:t>
            </w:r>
          </w:p>
        </w:tc>
        <w:tc>
          <w:tcPr>
            <w:tcW w:type="dxa" w:w="2041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数据出境/敏感数据泄露</w:t>
            </w:r>
          </w:p>
        </w:tc>
        <w:tc>
          <w:tcPr>
            <w:tcW w:type="dxa" w:w="90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中</w:t>
            </w:r>
          </w:p>
        </w:tc>
        <w:tc>
          <w:tcPr>
            <w:tcW w:type="dxa" w:w="4422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私有化部署选项、脱敏策略、数据驻留与审计合规评审</w:t>
            </w:r>
          </w:p>
        </w:tc>
      </w:tr>
    </w:tbl>
    <w:p>
      <w:pPr>
        <w:pStyle w:val="Heading1"/>
        <w:keepNext/>
      </w:pPr>
      <w:bookmarkStart w:id="23" w:name="_LarkToc00023"/>
      <w:r>
        <w:rPr>
          <w:b/>
          <w:color w:val="000000"/>
        </w:rPr>
        <w:t>7  项目组织与协作</w:t>
      </w:r>
      <w:bookmarkEnd w:id="23"/>
    </w:p>
    <w:p>
      <w:pPr>
        <w:pStyle w:val="Heading2"/>
        <w:keepNext/>
      </w:pPr>
      <w:bookmarkStart w:id="24" w:name="_LarkToc00024"/>
      <w:r>
        <w:rPr>
          <w:b/>
          <w:color w:val="000000"/>
        </w:rPr>
        <w:t>7.1  角色分工</w:t>
      </w:r>
      <w:bookmarkEnd w:id="24"/>
    </w:p>
    <w:p>
      <w:pPr>
        <w:pStyle w:val="Caption"/>
        <w:keepNext/>
        <w:spacing w:before="120" w:after="80"/>
      </w:pPr>
      <w:r>
        <w:t>表9 项目角色分工</w:t>
      </w:r>
    </w:p>
    <w:tbl>
      <w:tblPr>
        <w:tblStyle w:val="TableGrid"/>
        <w:tblW w:type="auto" w:w="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角色</w:t>
            </w:r>
          </w:p>
        </w:tc>
        <w:tc>
          <w:tcPr>
            <w:tcW w:type="dxa" w:w="7030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主要职责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产品经理</w:t>
            </w:r>
          </w:p>
        </w:tc>
        <w:tc>
          <w:tcPr>
            <w:tcW w:type="dxa" w:w="7030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需求分析、功能设计、优先级管理、效果运营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后端开发</w:t>
            </w:r>
          </w:p>
        </w:tc>
        <w:tc>
          <w:tcPr>
            <w:tcW w:type="dxa" w:w="7030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Agent 编排、NL2SQL、执行引擎、API 与数据模型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算法工程</w:t>
            </w:r>
          </w:p>
        </w:tc>
        <w:tc>
          <w:tcPr>
            <w:tcW w:type="dxa" w:w="7030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Prompt 工程、评测集构建、模型选型与调优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数据工程师</w:t>
            </w:r>
          </w:p>
        </w:tc>
        <w:tc>
          <w:tcPr>
            <w:tcW w:type="dxa" w:w="7030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数据源接入、指标字典、口径治理、元数据管理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测试工程师</w:t>
            </w:r>
          </w:p>
        </w:tc>
        <w:tc>
          <w:tcPr>
            <w:tcW w:type="dxa" w:w="7030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功能测试、评测回归、性能与安全测试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项目经理</w:t>
            </w:r>
          </w:p>
        </w:tc>
        <w:tc>
          <w:tcPr>
            <w:tcW w:type="dxa" w:w="7030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计划管理、风险跟踪、干系人协调</w:t>
            </w:r>
          </w:p>
        </w:tc>
      </w:tr>
    </w:tbl>
    <w:p>
      <w:pPr>
        <w:pStyle w:val="Heading2"/>
        <w:keepNext/>
      </w:pPr>
      <w:bookmarkStart w:id="25" w:name="_LarkToc00025"/>
      <w:r>
        <w:rPr>
          <w:b/>
          <w:color w:val="000000"/>
        </w:rPr>
        <w:t>7.2  协作流程</w:t>
      </w:r>
      <w:bookmarkEnd w:id="25"/>
    </w:p>
    <w:p>
      <w:pPr>
        <w:ind w:firstLineChars="200" w:firstLine="480"/>
      </w:pPr>
      <w:r>
        <w:rPr>
          <w:color w:val="000000"/>
        </w:rPr>
        <w:t>采用双周迭代：需求评审→技术设计→开发实现→评测回归→发布复盘。每次涉及模型、Prompt 或口径变更，必须执行评测回归后方可发布。</w:t>
      </w:r>
    </w:p>
    <w:p>
      <w:pPr>
        <w:pStyle w:val="Heading1"/>
        <w:keepNext/>
      </w:pPr>
      <w:bookmarkStart w:id="26" w:name="_LarkToc00026"/>
      <w:r>
        <w:rPr>
          <w:b/>
          <w:color w:val="000000"/>
        </w:rPr>
        <w:t>8  附录</w:t>
      </w:r>
      <w:bookmarkEnd w:id="26"/>
    </w:p>
    <w:p>
      <w:pPr>
        <w:pStyle w:val="Heading2"/>
        <w:keepNext/>
      </w:pPr>
      <w:bookmarkStart w:id="27" w:name="_LarkToc00027"/>
      <w:r>
        <w:rPr>
          <w:b/>
          <w:color w:val="000000"/>
        </w:rPr>
        <w:t>8.1  假设与待确认事项</w:t>
      </w:r>
      <w:bookmarkEnd w:id="27"/>
    </w:p>
    <w:p>
      <w:pPr>
        <w:pStyle w:val="Caption"/>
        <w:keepNext/>
        <w:spacing w:before="120" w:after="80"/>
      </w:pPr>
      <w:r>
        <w:t>表10 假设与待确认事项</w:t>
      </w:r>
    </w:p>
    <w:tbl>
      <w:tblPr>
        <w:tblStyle w:val="TableGrid"/>
        <w:tblW w:type="auto" w:w="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907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编号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事项</w:t>
            </w:r>
          </w:p>
        </w:tc>
        <w:tc>
          <w:tcPr>
            <w:tcW w:type="dxa" w:w="3742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当前假设</w:t>
            </w:r>
          </w:p>
        </w:tc>
        <w:tc>
          <w:tcPr>
            <w:tcW w:type="dxa" w:w="1587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状态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A1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核心能力范围</w:t>
            </w:r>
          </w:p>
        </w:tc>
        <w:tc>
          <w:tcPr>
            <w:tcW w:type="dxa" w:w="3742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按完整能力集设计（查询/分析/报告/多源）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待确认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A2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部署环境</w:t>
            </w:r>
          </w:p>
        </w:tc>
        <w:tc>
          <w:tcPr>
            <w:tcW w:type="dxa" w:w="3742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企业私有化部署（可选公有云）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待确认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A3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数据源清单</w:t>
            </w:r>
          </w:p>
        </w:tc>
        <w:tc>
          <w:tcPr>
            <w:tcW w:type="dxa" w:w="3742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以 MySQL/ClickHouse 为主要数据源，其余待盘点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待确认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A4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大模型选型</w:t>
            </w:r>
          </w:p>
        </w:tc>
        <w:tc>
          <w:tcPr>
            <w:tcW w:type="dxa" w:w="3742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商用 API 或私有化模型（GLM/Qwen 等）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待确认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A5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评测基线</w:t>
            </w:r>
          </w:p>
        </w:tc>
        <w:tc>
          <w:tcPr>
            <w:tcW w:type="dxa" w:w="3742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以评测集执行通过率 95% 为基线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待确认</w:t>
            </w:r>
          </w:p>
        </w:tc>
      </w:tr>
    </w:tbl>
    <w:p>
      <w:pPr>
        <w:pStyle w:val="Heading2"/>
        <w:keepNext/>
      </w:pPr>
      <w:bookmarkStart w:id="28" w:name="_LarkToc00028"/>
      <w:r>
        <w:rPr>
          <w:b/>
          <w:color w:val="000000"/>
        </w:rPr>
        <w:t>8.2  版本记录</w:t>
      </w:r>
      <w:bookmarkEnd w:id="28"/>
    </w:p>
    <w:p>
      <w:pPr>
        <w:pStyle w:val="Caption"/>
        <w:keepNext/>
        <w:spacing w:before="120" w:after="80"/>
      </w:pPr>
      <w:r>
        <w:t>表11 版本记录</w:t>
      </w:r>
    </w:p>
    <w:tbl>
      <w:tblPr>
        <w:tblStyle w:val="TableGrid"/>
        <w:tblW w:type="auto" w:w="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1247"/>
            <w:shd w:val="clear" w:color="auto" w:fill="D9D9D9"/>
            <w:vAlign w:val="center"/>
          </w:tcPr>
          <w:p>
            <w:pPr>
              <w:pStyle w:val="TableText"/>
              <w:keepNext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版本</w:t>
            </w:r>
          </w:p>
        </w:tc>
        <w:tc>
          <w:tcPr>
            <w:tcW w:type="dxa" w:w="1928"/>
            <w:shd w:val="clear" w:color="auto" w:fill="D9D9D9"/>
            <w:vAlign w:val="center"/>
          </w:tcPr>
          <w:p>
            <w:pPr>
              <w:pStyle w:val="TableText"/>
              <w:keepNext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日期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pStyle w:val="TableText"/>
              <w:keepNext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pStyle w:val="TableText"/>
              <w:keepNext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编制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V1.0</w:t>
            </w:r>
          </w:p>
        </w:tc>
        <w:tc>
          <w:tcPr>
            <w:tcW w:type="dxa" w:w="1928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2026 年 10 月</w:t>
            </w:r>
          </w:p>
        </w:tc>
        <w:tc>
          <w:tcPr>
            <w:tcW w:type="dxa" w:w="453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初稿：完成项目设计（范围、方案、里程碑、风险）</w:t>
            </w:r>
          </w:p>
        </w:tc>
        <w:tc>
          <w:tcPr>
            <w:tcW w:type="dxa" w:w="136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（待填写）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edc1a1963e3aa3cb06aecbf280c2c2b5298fee9c28fdec381185e8f835e65baf:0182bb796bf02eac12611abf0af418660277e376b2125350919529983857464a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ind w:firstLine="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firstLine="0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ind w:firstLin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basedOn w:val="Normal"/>
    <w:pPr>
      <w:spacing w:line="240" w:lineRule="auto" w:before="0" w:after="0"/>
      <w:ind w:firstLine="0"/>
    </w:pPr>
    <w:rPr>
      <w:rFonts w:ascii="Times New Roman" w:hAnsi="Times New Roman" w:eastAsia="宋体"/>
      <w:b w:val="0"/>
      <w:color w:val="000000"/>
      <w:sz w:val="21"/>
    </w:r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