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3D4F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文档说明</w:t>
      </w:r>
    </w:p>
    <w:p w14:paraId="370CEAA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本文档定义用户可见功能的行为规格：触发、输入、处理规则、输出、异常、验收用例。所有功能必须落在 PRJ 第 5 章 In Scope 内。</w:t>
      </w:r>
    </w:p>
    <w:p w14:paraId="7CA0975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功能地图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3693"/>
        <w:gridCol w:w="1360"/>
        <w:gridCol w:w="1140"/>
      </w:tblGrid>
      <w:tr w14:paraId="57905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CE7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9C5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E37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对应用例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8F6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797B4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C24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64A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指标问数与口径展示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CCC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25C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850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377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CF9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多轮澄清与上下文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B1B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75E1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BEEE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7C9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400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趋势与同环比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FA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B1F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1C3A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180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DBE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维度下钻与明细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B2A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U03/U05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F75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3ACB1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C32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90F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轻量归因分析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592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U04/U06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B15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07961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FEB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4BE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图表推荐与报告生成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1BA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ABA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48C97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8CE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701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权限、拒答与边界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DD8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U08/U10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2A0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7B63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CDE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AC9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反馈与纠错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025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D25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E1C5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42D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16A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评测与 badcase 管理（管理端）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99A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B3C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</w:tr>
    </w:tbl>
    <w:p w14:paraId="17D5E01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通用行为规则</w:t>
      </w:r>
    </w:p>
    <w:p w14:paraId="7A1395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79836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每次回答必须附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：口径、时间范围、过滤条件、数据更新时间；SQL/工具链可展开；</w:t>
      </w:r>
    </w:p>
    <w:p w14:paraId="67DD7D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9F04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9FBB41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歧义优先澄清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，一次只问一个最关键问题；</w:t>
      </w:r>
    </w:p>
    <w:p w14:paraId="6409DC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5CD2E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5764D1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无权限默认拒绝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，不返回近似数据；</w:t>
      </w:r>
    </w:p>
    <w:p w14:paraId="143B08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9799D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C2EE8D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数据不足明确说明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，不编造；</w:t>
      </w:r>
    </w:p>
    <w:p w14:paraId="19EC14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B2CAE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8CDC65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所有回答带 trace_id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，可追溯；</w:t>
      </w:r>
    </w:p>
    <w:p w14:paraId="7E80A6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7DE5D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BCFB3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错误必须结构化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，使用统一错误码（见第 8 章）。</w:t>
      </w:r>
    </w:p>
    <w:p w14:paraId="4BA93F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6C9891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FUN-4 指标问数</w:t>
      </w:r>
    </w:p>
    <w:p w14:paraId="0CF8FF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8F700C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：用户提出含指标的问题；</w:t>
      </w:r>
    </w:p>
    <w:p w14:paraId="0A4EF8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A3B5C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511EE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：问题、用户身份、上下文；</w:t>
      </w:r>
    </w:p>
    <w:p w14:paraId="403CC2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10FBC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325CBA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：识别指标→映射语义层→补默认时间/权限范围→查口径→执行→结果校验；</w:t>
      </w:r>
    </w:p>
    <w:p w14:paraId="70941E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24C1F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033B5C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：数值、单位、口径说明、时间范围、过滤条件、数据更新时间、图表（可选）、SQL 展开；</w:t>
      </w:r>
    </w:p>
    <w:p w14:paraId="217BCB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B15DE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12E94F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：指标不存在→提示可选指标；口径多义→转 FUN-5；无数据→说明可用时间范围；</w:t>
      </w:r>
    </w:p>
    <w:p w14:paraId="5CEC20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27924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B25E22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：U01 通过；口径展示完整率 100%。</w:t>
      </w:r>
    </w:p>
    <w:p w14:paraId="5FDE80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50B6A6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FUN-5 多轮澄清</w:t>
      </w:r>
    </w:p>
    <w:p w14:paraId="426EFD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E3A811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：时间缺失、口径多义、实体歧义、对比基准缺失；</w:t>
      </w:r>
    </w:p>
    <w:p w14:paraId="3DFFBB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6C898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E1CCC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：列出歧义→选最关键一个→提问→用户回答写回上下文→重新解析；</w:t>
      </w:r>
    </w:p>
    <w:p w14:paraId="62D299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82DB9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544E05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：单个澄清问题 + 可选答案；</w:t>
      </w:r>
    </w:p>
    <w:p w14:paraId="00D716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DDD87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3B5D29A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：连续澄清不超过 3 轮，超过则给出默认口径并提示；</w:t>
      </w:r>
    </w:p>
    <w:p w14:paraId="64B438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063C3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D29A95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：用户不回答→使用默认口径并标注；回答仍歧义→再澄清一次后兜底；</w:t>
      </w:r>
    </w:p>
    <w:p w14:paraId="7D91F6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E2DE3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8E5D40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：U09 通过；澄清正确率 ≥85%。</w:t>
      </w:r>
    </w:p>
    <w:p w14:paraId="319FD8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D6F2AB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FUN-6 趋势与同环比</w:t>
      </w:r>
    </w:p>
    <w:p w14:paraId="386585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A911BB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：含“趋势/近N个月/同比/环比”；</w:t>
      </w:r>
    </w:p>
    <w:p w14:paraId="133932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6EC5A1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27134CE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：确定时间粒度→补对比基准→查询→校验连续性→选图；</w:t>
      </w:r>
    </w:p>
    <w:p w14:paraId="04F76C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497B6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5B11200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：时间序列、同环比数值、口径、图表（折线/柱状）；</w:t>
      </w:r>
    </w:p>
    <w:p w14:paraId="46C9E9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642D9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3D3E912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：数据缺失→标注缺口；对比基准不可比→提示口径差异；</w:t>
      </w:r>
    </w:p>
    <w:p w14:paraId="78032E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165C7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2507894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：U02 通过；对比口径正确率 ≥90%。</w:t>
      </w:r>
    </w:p>
    <w:p w14:paraId="07D969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1DD39EE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FUN-7 维度下钻与明细</w:t>
      </w:r>
    </w:p>
    <w:p w14:paraId="07D598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26BA3F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：含“按…拆/下钻/列出/明细/TOP N”；</w:t>
      </w:r>
    </w:p>
    <w:p w14:paraId="62BE4A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DA5C4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1FADA58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：确定维度→校验权限→聚合→排序→LIMIT→贡献度计算；</w:t>
      </w:r>
    </w:p>
    <w:p w14:paraId="0FF5F6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5CC976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61ABE2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：维度结果表、贡献度、明细表、下钻建议；</w:t>
      </w:r>
    </w:p>
    <w:p w14:paraId="2EA740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A1E83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0D7154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：明细默认 LIMIT 100，最大 1000；敏感列脱敏；</w:t>
      </w:r>
    </w:p>
    <w:p w14:paraId="12B596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32F49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0EE47C1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：维度不存在→提示可选维度；行数超限→提示收窄条件；</w:t>
      </w:r>
    </w:p>
    <w:p w14:paraId="3F738C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7591A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D97AD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：U03/U05 通过；LIMIT 生效 100%。</w:t>
      </w:r>
    </w:p>
    <w:p w14:paraId="10ADA4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7AE0491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8. FUN-8 轻量归因</w:t>
      </w:r>
    </w:p>
    <w:p w14:paraId="1944A1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408A2F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：含“为什么/原因/下降/上升”；</w:t>
      </w:r>
    </w:p>
    <w:p w14:paraId="6FFFCC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7ABFDD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672FA5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：确认总量与对比基准→按主维度拆解→计算贡献度→定位异常→可选二次下钻→生成结论；</w:t>
      </w:r>
    </w:p>
    <w:p w14:paraId="1A4155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3D7C69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6E85D39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：结论、关键证据、贡献度表、图表、口径、后续建议；</w:t>
      </w:r>
    </w:p>
    <w:p w14:paraId="64479E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14A492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4FCDAD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：结论必须引用具体查询结果；数据不足时明确说明“当前数据只能到某粒度”；</w:t>
      </w:r>
    </w:p>
    <w:p w14:paraId="06825E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5A37C5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4BE8652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：无可比基准→先澄清；拆解无显著差异→说明“未发现显著单一因素”；</w:t>
      </w:r>
    </w:p>
    <w:p w14:paraId="31BA46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03928D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0C4E8EC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：U04/U06 通过；归因用例通过率 ≥80%。</w:t>
      </w:r>
    </w:p>
    <w:p w14:paraId="19054A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254EF2D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9. FUN-9 图表推荐与报告</w:t>
      </w:r>
    </w:p>
    <w:p w14:paraId="7DD1BB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22378C8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图表规则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：趋势折线、对比柱状、占比饼图/堆叠、明细表格、地理地图；禁止误导性图表；</w:t>
      </w:r>
    </w:p>
    <w:p w14:paraId="5F409E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6D49DE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46168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：结论→关键证据→图表→口径与过滤→SQL/工具链附录；</w:t>
      </w:r>
    </w:p>
    <w:p w14:paraId="5997B0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1156F5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DBC105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：Markdown/可导出；每条结论可追溯到查询；</w:t>
      </w:r>
    </w:p>
    <w:p w14:paraId="3DB5F4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9A900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2C790C5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：数据不足→生成“部分结论+数据缺口说明”；</w:t>
      </w:r>
    </w:p>
    <w:p w14:paraId="5B9410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52513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544F69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：U07 通过；报告可追溯率 100%。</w:t>
      </w:r>
    </w:p>
    <w:p w14:paraId="458276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574792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10. FUN-10 权限、拒答与边界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8"/>
        <w:gridCol w:w="4447"/>
        <w:gridCol w:w="3615"/>
      </w:tblGrid>
      <w:tr w14:paraId="59605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6B3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AE5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8DF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文案要点</w:t>
            </w:r>
          </w:p>
        </w:tc>
      </w:tr>
      <w:tr w14:paraId="79CB5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8F9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无指标权限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8FA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拒绝，提示可申请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C4F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不返回数值</w:t>
            </w:r>
          </w:p>
        </w:tc>
      </w:tr>
      <w:tr w14:paraId="5B763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CB2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敏感字段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9DB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脱敏或拒绝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480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说明脱敏原因</w:t>
            </w:r>
          </w:p>
        </w:tc>
      </w:tr>
      <w:tr w14:paraId="18433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779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超范围（预测）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CA7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明确不支持，转人工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00F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给出替代建议</w:t>
            </w:r>
          </w:p>
        </w:tc>
      </w:tr>
      <w:tr w14:paraId="7A812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305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数据延迟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4A1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说明最近可用日期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16A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不返回实时假数据</w:t>
            </w:r>
          </w:p>
        </w:tc>
      </w:tr>
      <w:tr w14:paraId="2FB28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3C8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违规问题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DDF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拒绝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F1F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不解释敏感细节</w:t>
            </w:r>
          </w:p>
        </w:tc>
      </w:tr>
    </w:tbl>
    <w:p w14:paraId="578DDA7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：U08/U10 通过；拒答准确率 ≥95%；越权 0。</w:t>
      </w:r>
    </w:p>
    <w:p w14:paraId="656161B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11. FUN-11 反馈与纠错</w:t>
      </w:r>
    </w:p>
    <w:p w14:paraId="39E9DF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E2502E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用户可对回答点赞/点踩、提交纠正（如“应为不含税口径”）；</w:t>
      </w:r>
    </w:p>
    <w:p w14:paraId="0CA182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B4E55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44ECF6E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反馈写入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feedback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，进入 badcase 池；</w:t>
      </w:r>
    </w:p>
    <w:p w14:paraId="252DE9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089DB9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0824C5A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纠正若涉及口径，提示“已记录，待数据管理员确认”；</w:t>
      </w:r>
    </w:p>
    <w:p w14:paraId="73C184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36A127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3A8FFF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：反馈 100% 落库；badcase 可追踪。</w:t>
      </w:r>
    </w:p>
    <w:p w14:paraId="7F17FD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3B5C62E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12. FUN-12 评测与 badcase 管理（管理端）</w:t>
      </w:r>
    </w:p>
    <w:p w14:paraId="656374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36DC4C5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评测集管理：新增、编辑、导入导出、按域/难度/角色筛选；</w:t>
      </w:r>
    </w:p>
    <w:p w14:paraId="561EDC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4071C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69A1F07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一键跑评测：输出意图/映射/口径/SQL/结果/时延分项报告；</w:t>
      </w:r>
    </w:p>
    <w:p w14:paraId="3C46FF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68544B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36AB3A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badcase 池：自动分类（意图/映射/SQL/权限/口径/时延）、指派、修复、回归；</w:t>
      </w:r>
    </w:p>
    <w:p w14:paraId="2D4F26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1A2A84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211C59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：评测可自动跑分；badcase 周闭环率 ≥80%。</w:t>
      </w:r>
    </w:p>
    <w:p w14:paraId="282D89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23E991B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13. 交互状态与错误码</w:t>
      </w:r>
    </w:p>
    <w:p w14:paraId="4CDCF48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会话状态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待解析 → 澄清中 → 执行中 → 已完成 / 已拒绝 / 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PERMISSION_DENIED / AMBIGUOUS / NO_DATA / OUT_OF_SCOPE / SQL_ERROR / TIMEOUT / COST_EXCEEDED / INTERNAL_ERROR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，每个错误码对应固定文案与建议动作。</w:t>
      </w:r>
    </w:p>
    <w:p w14:paraId="3A29182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14. 功能验收清单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6780"/>
        <w:gridCol w:w="2820"/>
      </w:tblGrid>
      <w:tr w14:paraId="7AE59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342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C9C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验收项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D1A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</w:t>
            </w:r>
          </w:p>
        </w:tc>
      </w:tr>
      <w:tr w14:paraId="2DBDC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6C7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FA-1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C06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 条核心用例全部通过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507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U01~U10</w:t>
            </w:r>
          </w:p>
        </w:tc>
      </w:tr>
      <w:tr w14:paraId="1D349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08C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FA-2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271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口径展示完整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EB4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0D62C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B469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FA-3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A83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澄清正确率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BB0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≥85%</w:t>
            </w:r>
          </w:p>
        </w:tc>
      </w:tr>
      <w:tr w14:paraId="0E78F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4DC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FA-4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B6B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拒答准确率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7D7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≥95%</w:t>
            </w:r>
          </w:p>
        </w:tc>
      </w:tr>
      <w:tr w14:paraId="58B5A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20E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FA-5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323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归因通过率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CCD1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≥80%</w:t>
            </w:r>
          </w:p>
        </w:tc>
      </w:tr>
      <w:tr w14:paraId="6657A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3E7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FA-6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848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报告可追溯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92AB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1646A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56E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FA-7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854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反馈落库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876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325240B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15. 给大模型的执行说明</w:t>
      </w:r>
    </w:p>
    <w:p w14:paraId="01C5C6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6C3ED8D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实现每个功能前，先读对应 FUN 编号与 PRJ 用例；</w:t>
      </w:r>
    </w:p>
    <w:p w14:paraId="0EA198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5B13B1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13A52FB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每个功能必须实现“正常、澄清、异常、拒绝”四类分支；</w:t>
      </w:r>
    </w:p>
    <w:p w14:paraId="4EE730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31B800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40CED9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输出必须包含口径与 trace_id；</w:t>
      </w:r>
    </w:p>
    <w:p w14:paraId="6501E8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70BC28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1436D08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功能验收以第 14 章为准，不通过不得标记完成。</w:t>
      </w:r>
    </w:p>
    <w:p w14:paraId="411540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4585A1D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02EF6"/>
    <w:multiLevelType w:val="multilevel"/>
    <w:tmpl w:val="93902E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7780FF"/>
    <w:multiLevelType w:val="multilevel"/>
    <w:tmpl w:val="99778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992381"/>
    <w:multiLevelType w:val="multilevel"/>
    <w:tmpl w:val="A9992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D5D045"/>
    <w:multiLevelType w:val="multilevel"/>
    <w:tmpl w:val="E4D5D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52F6FF8"/>
    <w:multiLevelType w:val="multilevel"/>
    <w:tmpl w:val="052F6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187CADB"/>
    <w:multiLevelType w:val="multilevel"/>
    <w:tmpl w:val="1187C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95DFB20"/>
    <w:multiLevelType w:val="multilevel"/>
    <w:tmpl w:val="195DF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E87A4F4"/>
    <w:multiLevelType w:val="multilevel"/>
    <w:tmpl w:val="6E87A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F27CBFD"/>
    <w:multiLevelType w:val="multilevel"/>
    <w:tmpl w:val="6F27CB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C34B77E"/>
    <w:multiLevelType w:val="multilevel"/>
    <w:tmpl w:val="7C34B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3"/>
  </w:num>
  <w:num w:numId="5">
    <w:abstractNumId w:val="9"/>
  </w:num>
  <w:num w:numId="6">
    <w:abstractNumId w:val="0"/>
  </w:num>
  <w:num w:numId="7">
    <w:abstractNumId w:val="2"/>
  </w:num>
  <w:num w:numId="8">
    <w:abstractNumId w:val="5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57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2026-10-22T17:38:14Z</dcterms:created>
  <dc:creator>sdw05</dc:creator>
  <cp:lastModifiedBy>sdw</cp:lastModifiedBy>
  <dcterms:modified xsi:type="dcterms:W3CDTF">2026-10-22T17:38:36Z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eyJoZGlkIjoiMDA2MGE4YmQxYWRmMmQzNjI1ZmJmZWY4MzVjZDA5NzkiLCJ1c2VySWQiOiI1NDIzNTk1NTQifQ==</vt:lpwstr>
  </property>
  <property fmtid="{D5CDD505-2E9C-101B-9397-08002B2CF9AE}" pid="4" name="ICV">
    <vt:lpwstr>A893D9E1806449ECA127B2D355DB37F8_12</vt:lpwstr>
  </property>
</Properties>
</file>