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B49C" w14:textId="77777777" w:rsidR="001F59B2" w:rsidRDefault="001F59B2" w:rsidP="00992720">
      <w:pPr>
        <w:spacing w:after="0" w:line="240" w:lineRule="auto"/>
      </w:pPr>
    </w:p>
    <w:p w14:paraId="2C9D8C9E" w14:textId="7B2C1B9E" w:rsidR="00992720" w:rsidRPr="00992720" w:rsidRDefault="00992720" w:rsidP="00992720">
      <w:pPr>
        <w:spacing w:before="60" w:after="100" w:line="240" w:lineRule="auto"/>
        <w:rPr>
          <w:b/>
          <w:bCs/>
          <w:sz w:val="28"/>
          <w:szCs w:val="28"/>
        </w:rPr>
      </w:pPr>
      <w:r w:rsidRPr="00992720">
        <w:rPr>
          <w:b/>
          <w:bCs/>
          <w:color w:val="24338A"/>
          <w:sz w:val="28"/>
          <w:szCs w:val="28"/>
        </w:rPr>
        <w:t xml:space="preserve">Purpose </w:t>
      </w:r>
    </w:p>
    <w:p w14:paraId="6E406B07" w14:textId="19DA0F7B" w:rsidR="00946184" w:rsidRPr="00992720" w:rsidRDefault="00992720" w:rsidP="00992720">
      <w:pPr>
        <w:spacing w:after="0" w:line="240" w:lineRule="auto"/>
        <w:rPr>
          <w:sz w:val="24"/>
          <w:szCs w:val="24"/>
        </w:rPr>
      </w:pPr>
      <w:r w:rsidRPr="00992720">
        <w:rPr>
          <w:sz w:val="24"/>
          <w:szCs w:val="24"/>
        </w:rPr>
        <w:t xml:space="preserve">The purpose of this policy is to guide the use of generative artificial intelligence (GAI) applications, such as ChatGPT, by researchers, staff and students working on projects in the </w:t>
      </w:r>
      <w:r>
        <w:rPr>
          <w:sz w:val="24"/>
          <w:szCs w:val="24"/>
        </w:rPr>
        <w:t>UWA Natural and Technical Language Processing (NLP-TLP</w:t>
      </w:r>
      <w:r w:rsidRPr="00992720">
        <w:rPr>
          <w:sz w:val="24"/>
          <w:szCs w:val="24"/>
        </w:rPr>
        <w:t>)</w:t>
      </w:r>
      <w:r>
        <w:rPr>
          <w:sz w:val="24"/>
          <w:szCs w:val="24"/>
        </w:rPr>
        <w:t xml:space="preserve"> Group</w:t>
      </w:r>
      <w:r w:rsidRPr="00992720">
        <w:rPr>
          <w:sz w:val="24"/>
          <w:szCs w:val="24"/>
        </w:rPr>
        <w:t>. The policy aims to balance the benefits of using GAI with potential risks to confidentiality and intellectual property of industry partners, regulatory compliance, and other relevant concerns.</w:t>
      </w:r>
    </w:p>
    <w:p w14:paraId="2B57DC2B" w14:textId="77777777" w:rsidR="00992720" w:rsidRPr="00992720" w:rsidRDefault="00992720" w:rsidP="00992720">
      <w:pPr>
        <w:spacing w:after="0" w:line="240" w:lineRule="auto"/>
        <w:rPr>
          <w:sz w:val="24"/>
          <w:szCs w:val="24"/>
        </w:rPr>
      </w:pPr>
    </w:p>
    <w:p w14:paraId="53AB2994" w14:textId="3C911BC8" w:rsidR="00992720" w:rsidRPr="00992720" w:rsidRDefault="00992720" w:rsidP="00992720">
      <w:pPr>
        <w:spacing w:before="60" w:after="100" w:line="240" w:lineRule="auto"/>
        <w:rPr>
          <w:b/>
          <w:bCs/>
          <w:color w:val="24338A"/>
          <w:sz w:val="28"/>
          <w:szCs w:val="28"/>
        </w:rPr>
      </w:pPr>
      <w:r w:rsidRPr="00992720">
        <w:rPr>
          <w:b/>
          <w:bCs/>
          <w:color w:val="24338A"/>
          <w:sz w:val="28"/>
          <w:szCs w:val="28"/>
        </w:rPr>
        <w:t>Scope</w:t>
      </w:r>
    </w:p>
    <w:p w14:paraId="546EE588" w14:textId="35DE9CB3" w:rsidR="00992720" w:rsidRPr="00992720" w:rsidRDefault="00992720" w:rsidP="00992720">
      <w:pPr>
        <w:spacing w:after="0" w:line="240" w:lineRule="auto"/>
        <w:rPr>
          <w:sz w:val="24"/>
          <w:szCs w:val="24"/>
        </w:rPr>
      </w:pPr>
      <w:r w:rsidRPr="00992720">
        <w:rPr>
          <w:sz w:val="24"/>
          <w:szCs w:val="24"/>
        </w:rPr>
        <w:t xml:space="preserve">This policy applies to all </w:t>
      </w:r>
      <w:r>
        <w:rPr>
          <w:sz w:val="24"/>
          <w:szCs w:val="24"/>
        </w:rPr>
        <w:t>UWA NLP-TLP</w:t>
      </w:r>
      <w:r w:rsidRPr="00992720">
        <w:rPr>
          <w:sz w:val="24"/>
          <w:szCs w:val="24"/>
        </w:rPr>
        <w:t xml:space="preserve"> researchers, staff and students using GAI for research, writing reports or journal articles, and delivering presentations.</w:t>
      </w:r>
    </w:p>
    <w:p w14:paraId="301D460D" w14:textId="77777777" w:rsidR="00992720" w:rsidRPr="00992720" w:rsidRDefault="00992720" w:rsidP="00992720">
      <w:pPr>
        <w:spacing w:after="0" w:line="240" w:lineRule="auto"/>
        <w:rPr>
          <w:sz w:val="24"/>
          <w:szCs w:val="24"/>
        </w:rPr>
      </w:pPr>
    </w:p>
    <w:p w14:paraId="023879AB" w14:textId="253E0F84" w:rsidR="00992720" w:rsidRPr="00644C22" w:rsidRDefault="00992720" w:rsidP="00644C22">
      <w:pPr>
        <w:spacing w:before="60" w:after="100" w:line="240" w:lineRule="auto"/>
        <w:rPr>
          <w:b/>
          <w:bCs/>
          <w:sz w:val="28"/>
          <w:szCs w:val="28"/>
        </w:rPr>
      </w:pPr>
      <w:r w:rsidRPr="00992720">
        <w:rPr>
          <w:b/>
          <w:bCs/>
          <w:color w:val="24338A"/>
          <w:sz w:val="28"/>
          <w:szCs w:val="28"/>
        </w:rPr>
        <w:t>Policy</w:t>
      </w:r>
    </w:p>
    <w:p w14:paraId="580F8B2C" w14:textId="77777777" w:rsidR="00644C22" w:rsidRPr="00644C22" w:rsidRDefault="00644C22" w:rsidP="00644C22">
      <w:pPr>
        <w:spacing w:after="100" w:line="240" w:lineRule="auto"/>
        <w:rPr>
          <w:color w:val="24338A"/>
          <w:sz w:val="24"/>
          <w:szCs w:val="24"/>
        </w:rPr>
      </w:pPr>
      <w:r w:rsidRPr="00644C22">
        <w:rPr>
          <w:color w:val="24338A"/>
          <w:sz w:val="24"/>
          <w:szCs w:val="24"/>
        </w:rPr>
        <w:t xml:space="preserve">PERMITTED USE AND RISK ASSESSMENT </w:t>
      </w:r>
    </w:p>
    <w:p w14:paraId="264E8668" w14:textId="55D49177" w:rsidR="00644C22" w:rsidRDefault="00644C22" w:rsidP="009927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UWA NLP-TLP</w:t>
      </w:r>
      <w:r w:rsidRPr="00992720">
        <w:rPr>
          <w:sz w:val="24"/>
          <w:szCs w:val="24"/>
        </w:rPr>
        <w:t xml:space="preserve"> </w:t>
      </w:r>
      <w:r w:rsidRPr="00644C22">
        <w:rPr>
          <w:sz w:val="24"/>
          <w:szCs w:val="24"/>
        </w:rPr>
        <w:t xml:space="preserve">researchers should be careful about uploading any information into a GAI. You may use GAI to assist you in your writing and coding if you are not sharing information or data that requires approval to share publicly; see </w:t>
      </w:r>
      <w:r w:rsidR="00C94CC2">
        <w:rPr>
          <w:sz w:val="24"/>
          <w:szCs w:val="24"/>
        </w:rPr>
        <w:t>UWA NLP-TLP</w:t>
      </w:r>
      <w:r w:rsidR="00C94CC2" w:rsidRPr="00992720">
        <w:rPr>
          <w:sz w:val="24"/>
          <w:szCs w:val="24"/>
        </w:rPr>
        <w:t xml:space="preserve"> </w:t>
      </w:r>
      <w:r w:rsidRPr="00644C22">
        <w:rPr>
          <w:sz w:val="24"/>
          <w:szCs w:val="24"/>
        </w:rPr>
        <w:t>Approval to Publish Process. Before using GAI, researchers must assess the associated risks. Roy Hill have advised that ChatGPT is not to be used at Roy Hill.</w:t>
      </w:r>
    </w:p>
    <w:p w14:paraId="2DFF0E31" w14:textId="77777777" w:rsidR="00644C22" w:rsidRDefault="00644C22" w:rsidP="00992720">
      <w:pPr>
        <w:spacing w:after="0" w:line="240" w:lineRule="auto"/>
        <w:rPr>
          <w:sz w:val="24"/>
          <w:szCs w:val="24"/>
        </w:rPr>
      </w:pPr>
    </w:p>
    <w:p w14:paraId="4A3DAB62" w14:textId="77777777" w:rsidR="00644C22" w:rsidRPr="00644C22" w:rsidRDefault="00644C22" w:rsidP="00644C22">
      <w:pPr>
        <w:spacing w:after="100" w:line="240" w:lineRule="auto"/>
        <w:rPr>
          <w:color w:val="24338A"/>
          <w:sz w:val="24"/>
          <w:szCs w:val="24"/>
        </w:rPr>
      </w:pPr>
      <w:r w:rsidRPr="00644C22">
        <w:rPr>
          <w:color w:val="24338A"/>
          <w:sz w:val="24"/>
          <w:szCs w:val="24"/>
        </w:rPr>
        <w:t xml:space="preserve">CONFIDENTIALITY AND PRIVACY </w:t>
      </w:r>
    </w:p>
    <w:p w14:paraId="4D0B93BE" w14:textId="79F86B6A" w:rsidR="00644C22" w:rsidRDefault="00644C22" w:rsidP="00992720">
      <w:pPr>
        <w:spacing w:after="0" w:line="240" w:lineRule="auto"/>
        <w:rPr>
          <w:sz w:val="24"/>
          <w:szCs w:val="24"/>
        </w:rPr>
      </w:pPr>
      <w:r w:rsidRPr="00644C22">
        <w:rPr>
          <w:sz w:val="24"/>
          <w:szCs w:val="24"/>
        </w:rPr>
        <w:t xml:space="preserve">Users must avoid inputting sensitive, confidential, or proprietary information and personal details of researchers, clients, or affiliates into GAI. Users should be aware that data that they provide to a GAI may be used by the GAI for training and could be disclosed to other users. </w:t>
      </w:r>
    </w:p>
    <w:p w14:paraId="51564C54" w14:textId="77777777" w:rsidR="00644C22" w:rsidRDefault="00644C22" w:rsidP="00992720">
      <w:pPr>
        <w:spacing w:after="0" w:line="240" w:lineRule="auto"/>
        <w:rPr>
          <w:sz w:val="24"/>
          <w:szCs w:val="24"/>
        </w:rPr>
      </w:pPr>
    </w:p>
    <w:p w14:paraId="6F2A9F39" w14:textId="77777777" w:rsidR="00644C22" w:rsidRPr="00644C22" w:rsidRDefault="00644C22" w:rsidP="00644C22">
      <w:pPr>
        <w:spacing w:after="100" w:line="240" w:lineRule="auto"/>
        <w:rPr>
          <w:color w:val="24338A"/>
          <w:sz w:val="24"/>
          <w:szCs w:val="24"/>
        </w:rPr>
      </w:pPr>
      <w:r w:rsidRPr="00644C22">
        <w:rPr>
          <w:color w:val="24338A"/>
          <w:sz w:val="24"/>
          <w:szCs w:val="24"/>
        </w:rPr>
        <w:t xml:space="preserve">REGULATORY COMPLIANCE AND CONSUMER PROTECTION </w:t>
      </w:r>
    </w:p>
    <w:p w14:paraId="0179A95D" w14:textId="3AE49B67" w:rsidR="00644C22" w:rsidRDefault="00644C22" w:rsidP="00992720">
      <w:pPr>
        <w:spacing w:after="0" w:line="240" w:lineRule="auto"/>
        <w:rPr>
          <w:sz w:val="24"/>
          <w:szCs w:val="24"/>
        </w:rPr>
      </w:pPr>
      <w:r w:rsidRPr="00644C22">
        <w:rPr>
          <w:sz w:val="24"/>
          <w:szCs w:val="24"/>
        </w:rPr>
        <w:t xml:space="preserve">Users must comply with applicable laws and regulations when using GAI, including but not limited to Centre partnership agreement, intellectual property laws, data privacy laws, and industry-specific regulations. Users should consult with the Centre Manager if they have questions about regulatory requirements. </w:t>
      </w:r>
    </w:p>
    <w:p w14:paraId="787D4CCE" w14:textId="77777777" w:rsidR="00644C22" w:rsidRDefault="00644C22" w:rsidP="00992720">
      <w:pPr>
        <w:spacing w:after="0" w:line="240" w:lineRule="auto"/>
        <w:rPr>
          <w:sz w:val="24"/>
          <w:szCs w:val="24"/>
        </w:rPr>
      </w:pPr>
    </w:p>
    <w:p w14:paraId="03814A9B" w14:textId="77777777" w:rsidR="00644C22" w:rsidRPr="00644C22" w:rsidRDefault="00644C22" w:rsidP="00644C22">
      <w:pPr>
        <w:spacing w:after="100" w:line="240" w:lineRule="auto"/>
        <w:rPr>
          <w:color w:val="24338A"/>
          <w:sz w:val="24"/>
          <w:szCs w:val="24"/>
        </w:rPr>
      </w:pPr>
      <w:r w:rsidRPr="00644C22">
        <w:rPr>
          <w:color w:val="24338A"/>
          <w:sz w:val="24"/>
          <w:szCs w:val="24"/>
        </w:rPr>
        <w:t xml:space="preserve">INTELLECTUAL PROPERTY AND CONTRACTUAL OBLIGATIONS </w:t>
      </w:r>
    </w:p>
    <w:p w14:paraId="6922AE3B" w14:textId="77DEE953" w:rsidR="00644C22" w:rsidRPr="00992720" w:rsidRDefault="00644C22" w:rsidP="00992720">
      <w:pPr>
        <w:spacing w:after="0" w:line="240" w:lineRule="auto"/>
        <w:rPr>
          <w:sz w:val="24"/>
          <w:szCs w:val="24"/>
        </w:rPr>
      </w:pPr>
      <w:r w:rsidRPr="00644C22">
        <w:rPr>
          <w:sz w:val="24"/>
          <w:szCs w:val="24"/>
        </w:rPr>
        <w:t>Researchers should exercise caution when claiming or assigning intellectual property rights for GAI</w:t>
      </w:r>
      <w:r w:rsidR="008A1A5A">
        <w:rPr>
          <w:sz w:val="24"/>
          <w:szCs w:val="24"/>
        </w:rPr>
        <w:t>-</w:t>
      </w:r>
      <w:r w:rsidRPr="00644C22">
        <w:rPr>
          <w:sz w:val="24"/>
          <w:szCs w:val="24"/>
        </w:rPr>
        <w:t>generated content. Researchers must ensure they do not violate any contractual obligations when using GAI. QUALITY CONTROL Researchers are responsible for verifying the accuracy, truthfulness, and appropriateness of any GAI</w:t>
      </w:r>
      <w:r w:rsidR="008A1A5A">
        <w:rPr>
          <w:sz w:val="24"/>
          <w:szCs w:val="24"/>
        </w:rPr>
        <w:t>-</w:t>
      </w:r>
      <w:r w:rsidRPr="00644C22">
        <w:rPr>
          <w:sz w:val="24"/>
          <w:szCs w:val="24"/>
        </w:rPr>
        <w:t>generated content before using it in any work product.</w:t>
      </w:r>
    </w:p>
    <w:p w14:paraId="60E5520C" w14:textId="77777777" w:rsidR="00992720" w:rsidRDefault="00992720" w:rsidP="00992720">
      <w:pPr>
        <w:spacing w:after="0" w:line="240" w:lineRule="auto"/>
        <w:rPr>
          <w:sz w:val="24"/>
          <w:szCs w:val="24"/>
        </w:rPr>
      </w:pPr>
    </w:p>
    <w:p w14:paraId="357B61CC" w14:textId="77777777" w:rsidR="00BB5DF1" w:rsidRDefault="00BB5DF1" w:rsidP="00992720">
      <w:pPr>
        <w:spacing w:after="0" w:line="240" w:lineRule="auto"/>
        <w:rPr>
          <w:sz w:val="24"/>
          <w:szCs w:val="24"/>
        </w:rPr>
      </w:pPr>
    </w:p>
    <w:p w14:paraId="5BBD6D55" w14:textId="77777777" w:rsidR="00BB5DF1" w:rsidRDefault="00BB5DF1" w:rsidP="00992720">
      <w:pPr>
        <w:spacing w:after="0" w:line="240" w:lineRule="auto"/>
        <w:rPr>
          <w:sz w:val="24"/>
          <w:szCs w:val="24"/>
        </w:rPr>
      </w:pPr>
    </w:p>
    <w:p w14:paraId="3551D1CA" w14:textId="77777777" w:rsidR="00644C22" w:rsidRPr="00644C22" w:rsidRDefault="00644C22" w:rsidP="00644C22">
      <w:pPr>
        <w:spacing w:after="100" w:line="240" w:lineRule="auto"/>
        <w:rPr>
          <w:color w:val="24338A"/>
          <w:sz w:val="24"/>
          <w:szCs w:val="24"/>
        </w:rPr>
      </w:pPr>
      <w:r w:rsidRPr="00644C22">
        <w:rPr>
          <w:color w:val="24338A"/>
          <w:sz w:val="24"/>
          <w:szCs w:val="24"/>
        </w:rPr>
        <w:lastRenderedPageBreak/>
        <w:t xml:space="preserve">DISCLOSURE, EXTERNAL TRANSPARENCY, AND RECORDKEEPING </w:t>
      </w:r>
    </w:p>
    <w:p w14:paraId="12262C6D" w14:textId="77777777" w:rsidR="00644C22" w:rsidRDefault="00644C22" w:rsidP="00992720">
      <w:pPr>
        <w:spacing w:after="0" w:line="240" w:lineRule="auto"/>
        <w:rPr>
          <w:sz w:val="24"/>
          <w:szCs w:val="24"/>
        </w:rPr>
      </w:pPr>
      <w:r w:rsidRPr="00644C22">
        <w:rPr>
          <w:sz w:val="24"/>
          <w:szCs w:val="24"/>
        </w:rPr>
        <w:t xml:space="preserve">Researchers should consider whether GAI-generated content should be identified as such when made public, disclosed to clients, or shared with business partners. For content generated using GAI and then published, researchers must maintain a record of when it was generated, and the prompt used to create it. </w:t>
      </w:r>
    </w:p>
    <w:p w14:paraId="0A12714A" w14:textId="77777777" w:rsidR="00644C22" w:rsidRDefault="00644C22" w:rsidP="00992720">
      <w:pPr>
        <w:spacing w:after="0" w:line="240" w:lineRule="auto"/>
        <w:rPr>
          <w:sz w:val="24"/>
          <w:szCs w:val="24"/>
        </w:rPr>
      </w:pPr>
    </w:p>
    <w:p w14:paraId="3C000230" w14:textId="77777777" w:rsidR="00A17688" w:rsidRDefault="00A17688" w:rsidP="00992720">
      <w:pPr>
        <w:spacing w:after="0" w:line="240" w:lineRule="auto"/>
        <w:rPr>
          <w:sz w:val="24"/>
          <w:szCs w:val="24"/>
        </w:rPr>
      </w:pPr>
    </w:p>
    <w:p w14:paraId="4ED69F46" w14:textId="174CA0D2" w:rsidR="00644C22" w:rsidRDefault="00644C22" w:rsidP="00992720">
      <w:pPr>
        <w:spacing w:after="0" w:line="240" w:lineRule="auto"/>
        <w:rPr>
          <w:sz w:val="24"/>
          <w:szCs w:val="24"/>
        </w:rPr>
      </w:pPr>
      <w:r w:rsidRPr="00644C22">
        <w:rPr>
          <w:sz w:val="24"/>
          <w:szCs w:val="24"/>
        </w:rPr>
        <w:t xml:space="preserve">Adapted from </w:t>
      </w:r>
      <w:hyperlink r:id="rId6" w:history="1">
        <w:r w:rsidRPr="00A17688">
          <w:rPr>
            <w:rStyle w:val="Hyperlink"/>
            <w:i/>
            <w:iCs/>
            <w:sz w:val="24"/>
            <w:szCs w:val="24"/>
          </w:rPr>
          <w:t>Stephen Lytle, SHRM-SCP (20) Generative AI (ChatGPT) Policies that Empower Innovation While Safeguarding Your Business | LinkedIn</w:t>
        </w:r>
      </w:hyperlink>
      <w:r w:rsidRPr="00644C22">
        <w:rPr>
          <w:sz w:val="24"/>
          <w:szCs w:val="24"/>
        </w:rPr>
        <w:t xml:space="preserve"> </w:t>
      </w:r>
    </w:p>
    <w:p w14:paraId="67EB1D76" w14:textId="77777777" w:rsidR="00644C22" w:rsidRDefault="00644C22" w:rsidP="00992720">
      <w:pPr>
        <w:spacing w:after="0" w:line="240" w:lineRule="auto"/>
        <w:rPr>
          <w:sz w:val="24"/>
          <w:szCs w:val="24"/>
        </w:rPr>
      </w:pPr>
    </w:p>
    <w:p w14:paraId="53CDF1DA" w14:textId="530C608C" w:rsidR="005317AC" w:rsidRDefault="005317AC" w:rsidP="0099272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5317AC">
        <w:rPr>
          <w:sz w:val="24"/>
          <w:szCs w:val="24"/>
        </w:rPr>
        <w:t xml:space="preserve">dapted from the </w:t>
      </w:r>
      <w:r>
        <w:rPr>
          <w:sz w:val="24"/>
          <w:szCs w:val="24"/>
        </w:rPr>
        <w:t xml:space="preserve">policies of the </w:t>
      </w:r>
      <w:r w:rsidRPr="005317AC">
        <w:rPr>
          <w:sz w:val="24"/>
          <w:szCs w:val="24"/>
        </w:rPr>
        <w:t>Centre for Transforming Maintenance through Data Science (CTMTDS)</w:t>
      </w:r>
      <w:r>
        <w:rPr>
          <w:sz w:val="24"/>
          <w:szCs w:val="24"/>
        </w:rPr>
        <w:t xml:space="preserve"> on using GAI.</w:t>
      </w:r>
    </w:p>
    <w:p w14:paraId="0848F1C7" w14:textId="77777777" w:rsidR="00A17688" w:rsidRDefault="00A17688" w:rsidP="00992720">
      <w:pPr>
        <w:spacing w:after="0" w:line="240" w:lineRule="auto"/>
        <w:rPr>
          <w:sz w:val="24"/>
          <w:szCs w:val="24"/>
        </w:rPr>
      </w:pPr>
    </w:p>
    <w:p w14:paraId="7E0A5E08" w14:textId="77777777" w:rsidR="004541F9" w:rsidRDefault="00644C22" w:rsidP="00644C22">
      <w:pPr>
        <w:spacing w:after="100" w:line="240" w:lineRule="auto"/>
        <w:rPr>
          <w:sz w:val="24"/>
          <w:szCs w:val="24"/>
        </w:rPr>
      </w:pPr>
      <w:r w:rsidRPr="00644C22">
        <w:rPr>
          <w:color w:val="24338A"/>
          <w:sz w:val="24"/>
          <w:szCs w:val="24"/>
        </w:rPr>
        <w:t>LINKS TO INSTITUTIONAL POLICIES ON RESEARCH INTEGRITY AND INFORMATION SECURITY</w:t>
      </w:r>
      <w:r w:rsidRPr="00644C22">
        <w:rPr>
          <w:sz w:val="24"/>
          <w:szCs w:val="24"/>
        </w:rPr>
        <w:t xml:space="preserve"> </w:t>
      </w:r>
    </w:p>
    <w:p w14:paraId="493E858A" w14:textId="01C62A6E" w:rsidR="004541F9" w:rsidRDefault="00000000" w:rsidP="004541F9">
      <w:pPr>
        <w:spacing w:after="0" w:line="240" w:lineRule="auto"/>
        <w:rPr>
          <w:sz w:val="24"/>
          <w:szCs w:val="24"/>
        </w:rPr>
      </w:pPr>
      <w:hyperlink r:id="rId7" w:anchor="faq-785c2ec7-6974-459b-8118-cb46ed089711" w:history="1">
        <w:r w:rsidR="00644C22" w:rsidRPr="000C71CB">
          <w:rPr>
            <w:rStyle w:val="Hyperlink"/>
            <w:sz w:val="24"/>
            <w:szCs w:val="24"/>
          </w:rPr>
          <w:t xml:space="preserve">UWA </w:t>
        </w:r>
        <w:r w:rsidR="004541F9" w:rsidRPr="000C71CB">
          <w:rPr>
            <w:rStyle w:val="Hyperlink"/>
            <w:sz w:val="24"/>
            <w:szCs w:val="24"/>
          </w:rPr>
          <w:t>–</w:t>
        </w:r>
        <w:r w:rsidR="00644C22" w:rsidRPr="000C71CB">
          <w:rPr>
            <w:rStyle w:val="Hyperlink"/>
            <w:sz w:val="24"/>
            <w:szCs w:val="24"/>
          </w:rPr>
          <w:t xml:space="preserve"> Research Integrity</w:t>
        </w:r>
      </w:hyperlink>
      <w:r w:rsidR="00644C22" w:rsidRPr="00644C22">
        <w:rPr>
          <w:sz w:val="24"/>
          <w:szCs w:val="24"/>
        </w:rPr>
        <w:t xml:space="preserve"> </w:t>
      </w:r>
    </w:p>
    <w:p w14:paraId="03ECFEC9" w14:textId="27D28B49" w:rsidR="004541F9" w:rsidRDefault="00000000" w:rsidP="004541F9">
      <w:pPr>
        <w:spacing w:after="0" w:line="240" w:lineRule="auto"/>
        <w:rPr>
          <w:sz w:val="24"/>
          <w:szCs w:val="24"/>
        </w:rPr>
      </w:pPr>
      <w:hyperlink r:id="rId8" w:history="1">
        <w:r w:rsidR="00644C22" w:rsidRPr="000C71CB">
          <w:rPr>
            <w:rStyle w:val="Hyperlink"/>
            <w:sz w:val="24"/>
            <w:szCs w:val="24"/>
          </w:rPr>
          <w:t xml:space="preserve">Alcoa </w:t>
        </w:r>
        <w:r w:rsidR="004541F9" w:rsidRPr="000C71CB">
          <w:rPr>
            <w:rStyle w:val="Hyperlink"/>
            <w:sz w:val="24"/>
            <w:szCs w:val="24"/>
          </w:rPr>
          <w:t>–</w:t>
        </w:r>
        <w:r w:rsidR="00644C22" w:rsidRPr="000C71CB">
          <w:rPr>
            <w:rStyle w:val="Hyperlink"/>
            <w:sz w:val="24"/>
            <w:szCs w:val="24"/>
          </w:rPr>
          <w:t xml:space="preserve"> Global Security Policy</w:t>
        </w:r>
      </w:hyperlink>
      <w:r w:rsidR="00644C22" w:rsidRPr="00644C22">
        <w:rPr>
          <w:sz w:val="24"/>
          <w:szCs w:val="24"/>
        </w:rPr>
        <w:t xml:space="preserve"> </w:t>
      </w:r>
    </w:p>
    <w:p w14:paraId="777CA8B4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161CF1B3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6081A7F9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07C6BDB7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42854C9C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30C9A455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43C8186F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319EE2ED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0A917F35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7AB25A95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5FC4A6E6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3BFBCF37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060CFD5A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6FD5289D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6407F9D8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68F572F1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6EDFCEEF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33C43EB4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2B2A1910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516449A9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0B9215FB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0F020C40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019AF4E6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32A4DD75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52ED0BDD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p w14:paraId="3356752C" w14:textId="77777777" w:rsidR="00946184" w:rsidRPr="00992720" w:rsidRDefault="00946184" w:rsidP="00992720">
      <w:pPr>
        <w:spacing w:after="0" w:line="240" w:lineRule="auto"/>
        <w:rPr>
          <w:sz w:val="24"/>
          <w:szCs w:val="24"/>
        </w:rPr>
      </w:pPr>
    </w:p>
    <w:sectPr w:rsidR="00946184" w:rsidRPr="00992720" w:rsidSect="00DB63C6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C5284" w14:textId="77777777" w:rsidR="00DB63C6" w:rsidRDefault="00DB63C6" w:rsidP="005575B5">
      <w:pPr>
        <w:spacing w:after="0" w:line="240" w:lineRule="auto"/>
      </w:pPr>
      <w:r>
        <w:separator/>
      </w:r>
    </w:p>
  </w:endnote>
  <w:endnote w:type="continuationSeparator" w:id="0">
    <w:p w14:paraId="65F27DD7" w14:textId="77777777" w:rsidR="00DB63C6" w:rsidRDefault="00DB63C6" w:rsidP="00557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DFFA3" w14:textId="72B4C6AF" w:rsidR="00946184" w:rsidRDefault="00946184" w:rsidP="00946184">
    <w:pPr>
      <w:pStyle w:val="Footer"/>
      <w:pBdr>
        <w:top w:val="single" w:sz="12" w:space="1" w:color="E2B600"/>
      </w:pBdr>
      <w:rPr>
        <w:color w:val="24338A"/>
      </w:rPr>
    </w:pPr>
    <w:r w:rsidRPr="00946184">
      <w:rPr>
        <w:color w:val="24338A"/>
      </w:rPr>
      <w:t>University of Western Australia Natural &amp; Technical Language Processing Group</w:t>
    </w:r>
  </w:p>
  <w:p w14:paraId="0C424174" w14:textId="77777777" w:rsidR="00946184" w:rsidRPr="00946184" w:rsidRDefault="00946184" w:rsidP="00946184">
    <w:pPr>
      <w:pStyle w:val="Footer"/>
      <w:pBdr>
        <w:top w:val="single" w:sz="12" w:space="1" w:color="E2B600"/>
      </w:pBdr>
      <w:rPr>
        <w:color w:val="24338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8FC98" w14:textId="77777777" w:rsidR="00DB63C6" w:rsidRDefault="00DB63C6" w:rsidP="005575B5">
      <w:pPr>
        <w:spacing w:after="0" w:line="240" w:lineRule="auto"/>
      </w:pPr>
      <w:r>
        <w:separator/>
      </w:r>
    </w:p>
  </w:footnote>
  <w:footnote w:type="continuationSeparator" w:id="0">
    <w:p w14:paraId="5A272D05" w14:textId="77777777" w:rsidR="00DB63C6" w:rsidRDefault="00DB63C6" w:rsidP="00557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Borders>
        <w:top w:val="none" w:sz="0" w:space="0" w:color="auto"/>
        <w:left w:val="none" w:sz="0" w:space="0" w:color="auto"/>
        <w:bottom w:val="single" w:sz="12" w:space="0" w:color="24338A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38"/>
      <w:gridCol w:w="7943"/>
    </w:tblGrid>
    <w:tr w:rsidR="005575B5" w:rsidRPr="005575B5" w14:paraId="77385A6B" w14:textId="77777777" w:rsidTr="00E4714C">
      <w:trPr>
        <w:trHeight w:val="1702"/>
      </w:trPr>
      <w:tc>
        <w:tcPr>
          <w:tcW w:w="1838" w:type="dxa"/>
          <w:tcBorders>
            <w:bottom w:val="single" w:sz="12" w:space="0" w:color="E2B600"/>
          </w:tcBorders>
        </w:tcPr>
        <w:p w14:paraId="36B5CF2D" w14:textId="77777777" w:rsidR="005575B5" w:rsidRPr="005575B5" w:rsidRDefault="005575B5" w:rsidP="005575B5">
          <w:pPr>
            <w:pStyle w:val="Header"/>
          </w:pPr>
          <w:r w:rsidRPr="005575B5">
            <w:rPr>
              <w:noProof/>
            </w:rPr>
            <w:drawing>
              <wp:inline distT="0" distB="0" distL="0" distR="0" wp14:anchorId="20B68D3C" wp14:editId="16550B2B">
                <wp:extent cx="990600" cy="990600"/>
                <wp:effectExtent l="0" t="0" r="0" b="0"/>
                <wp:docPr id="1715285364" name="Picture 2" descr="A circular logo with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5285364" name="Picture 2" descr="A circular logo with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3" w:type="dxa"/>
          <w:tcBorders>
            <w:bottom w:val="single" w:sz="12" w:space="0" w:color="E2B600"/>
          </w:tcBorders>
          <w:vAlign w:val="center"/>
        </w:tcPr>
        <w:p w14:paraId="77D9BD19" w14:textId="09DD70F6" w:rsidR="005575B5" w:rsidRPr="005575B5" w:rsidRDefault="005575B5" w:rsidP="005575B5"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 w:rsidRPr="005575B5">
            <w:rPr>
              <w:b/>
              <w:bCs/>
              <w:color w:val="24338A"/>
              <w:sz w:val="36"/>
              <w:szCs w:val="36"/>
            </w:rPr>
            <w:t>Using Generative Artificial Intelligence</w:t>
          </w:r>
        </w:p>
      </w:tc>
    </w:tr>
  </w:tbl>
  <w:p w14:paraId="5A1BBCBB" w14:textId="77777777" w:rsidR="005575B5" w:rsidRDefault="005575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B5"/>
    <w:rsid w:val="000C71CB"/>
    <w:rsid w:val="0018054E"/>
    <w:rsid w:val="001F59B2"/>
    <w:rsid w:val="004541F9"/>
    <w:rsid w:val="004B0768"/>
    <w:rsid w:val="005317AC"/>
    <w:rsid w:val="005575B5"/>
    <w:rsid w:val="00644C22"/>
    <w:rsid w:val="007C63D3"/>
    <w:rsid w:val="008A1A5A"/>
    <w:rsid w:val="00916F7A"/>
    <w:rsid w:val="00946184"/>
    <w:rsid w:val="00992720"/>
    <w:rsid w:val="00A17688"/>
    <w:rsid w:val="00BB5DF1"/>
    <w:rsid w:val="00C317C2"/>
    <w:rsid w:val="00C61A70"/>
    <w:rsid w:val="00C723D5"/>
    <w:rsid w:val="00C94CC2"/>
    <w:rsid w:val="00DB63C6"/>
    <w:rsid w:val="00E6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EEE5F"/>
  <w15:chartTrackingRefBased/>
  <w15:docId w15:val="{9E6EED76-FC76-4363-83F1-A66305CC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5B5"/>
  </w:style>
  <w:style w:type="paragraph" w:styleId="Footer">
    <w:name w:val="footer"/>
    <w:basedOn w:val="Normal"/>
    <w:link w:val="FooterChar"/>
    <w:uiPriority w:val="99"/>
    <w:unhideWhenUsed/>
    <w:rsid w:val="00557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5B5"/>
  </w:style>
  <w:style w:type="table" w:styleId="TableGrid">
    <w:name w:val="Table Grid"/>
    <w:basedOn w:val="TableNormal"/>
    <w:uiPriority w:val="39"/>
    <w:rsid w:val="0055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7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coa.com/global/en/who-we-are/ethics-compliance/global-security-polic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wa.edu.au/policy/?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ulse/example-generative-ai-chatgpt-policy-empowers-while-lytle-shrm-scp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Lison Lau</dc:creator>
  <cp:keywords/>
  <dc:description/>
  <cp:lastModifiedBy>Lison Lau</cp:lastModifiedBy>
  <cp:revision>13</cp:revision>
  <dcterms:created xsi:type="dcterms:W3CDTF">2024-01-28T09:27:00Z</dcterms:created>
  <dcterms:modified xsi:type="dcterms:W3CDTF">2024-01-31T05:43:00Z</dcterms:modified>
</cp:coreProperties>
</file>