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0A3" w:rsidRPr="00FB07AC" w:rsidRDefault="003B10A3" w:rsidP="00F56B6C">
      <w:pPr>
        <w:pStyle w:val="1TITLE"/>
        <w:rPr>
          <w:noProof/>
        </w:rPr>
      </w:pPr>
      <w:bookmarkStart w:id="0" w:name="_GoBack"/>
      <w:bookmarkEnd w:id="0"/>
      <w:r>
        <w:rPr>
          <w:noProof/>
        </w:rPr>
        <w:t xml:space="preserve">Recurrent Deep Network Models for Clinical </w:t>
      </w:r>
      <w:r w:rsidR="000151C8">
        <w:rPr>
          <w:noProof/>
        </w:rPr>
        <w:t xml:space="preserve">NLP Tasks: Use Case with </w:t>
      </w:r>
      <w:r>
        <w:rPr>
          <w:noProof/>
        </w:rPr>
        <w:t xml:space="preserve">Sentence </w:t>
      </w:r>
      <w:r w:rsidR="00D82265">
        <w:rPr>
          <w:noProof/>
        </w:rPr>
        <w:t>Boundary Disambiguation</w:t>
      </w:r>
    </w:p>
    <w:p w:rsidR="003B10A3" w:rsidRPr="00C338FB" w:rsidRDefault="005B7F23" w:rsidP="003B10A3">
      <w:pPr>
        <w:pStyle w:val="2Authors"/>
        <w:rPr>
          <w:vertAlign w:val="superscript"/>
        </w:rPr>
      </w:pPr>
      <w:r>
        <w:t xml:space="preserve">Benjamin C. </w:t>
      </w:r>
      <w:proofErr w:type="spellStart"/>
      <w:r>
        <w:t>Knoll</w:t>
      </w:r>
      <w:r w:rsidR="00C338FB">
        <w:rPr>
          <w:vertAlign w:val="superscript"/>
        </w:rPr>
        <w:t>a</w:t>
      </w:r>
      <w:proofErr w:type="spellEnd"/>
      <w:r w:rsidR="003B10A3">
        <w:t xml:space="preserve">, </w:t>
      </w:r>
      <w:r>
        <w:t xml:space="preserve">Elizabeth A. </w:t>
      </w:r>
      <w:proofErr w:type="spellStart"/>
      <w:r>
        <w:t>Lindemann</w:t>
      </w:r>
      <w:r w:rsidR="00087407">
        <w:rPr>
          <w:vertAlign w:val="superscript"/>
        </w:rPr>
        <w:t>b</w:t>
      </w:r>
      <w:proofErr w:type="spellEnd"/>
      <w:r w:rsidR="003B10A3">
        <w:t xml:space="preserve">, </w:t>
      </w:r>
      <w:r>
        <w:t>Arian</w:t>
      </w:r>
      <w:r w:rsidR="00FC7A5C">
        <w:t xml:space="preserve"> L.</w:t>
      </w:r>
      <w:r>
        <w:t xml:space="preserve"> </w:t>
      </w:r>
      <w:r w:rsidR="00FF00EC">
        <w:t>Albert</w:t>
      </w:r>
      <w:r w:rsidR="00FC7F79">
        <w:rPr>
          <w:vertAlign w:val="superscript"/>
        </w:rPr>
        <w:t>a</w:t>
      </w:r>
      <w:r w:rsidR="00FF00EC">
        <w:t xml:space="preserve">, Genevieve B. </w:t>
      </w:r>
      <w:proofErr w:type="spellStart"/>
      <w:proofErr w:type="gramStart"/>
      <w:r w:rsidR="00FF00EC">
        <w:t>Melton</w:t>
      </w:r>
      <w:r w:rsidR="00C338FB">
        <w:rPr>
          <w:vertAlign w:val="superscript"/>
        </w:rPr>
        <w:t>a</w:t>
      </w:r>
      <w:r w:rsidR="000151C8">
        <w:rPr>
          <w:vertAlign w:val="superscript"/>
        </w:rPr>
        <w:t>,b</w:t>
      </w:r>
      <w:proofErr w:type="spellEnd"/>
      <w:proofErr w:type="gramEnd"/>
      <w:r w:rsidR="00FF00EC">
        <w:t xml:space="preserve">, </w:t>
      </w:r>
      <w:r w:rsidR="008C1F6A">
        <w:t xml:space="preserve">                            </w:t>
      </w:r>
      <w:r w:rsidR="00FF00EC">
        <w:t xml:space="preserve">Serguei V.S. </w:t>
      </w:r>
      <w:proofErr w:type="spellStart"/>
      <w:r w:rsidR="00FF00EC">
        <w:t>Pakhomov</w:t>
      </w:r>
      <w:r w:rsidR="000151C8">
        <w:rPr>
          <w:vertAlign w:val="superscript"/>
        </w:rPr>
        <w:t>a,c</w:t>
      </w:r>
      <w:proofErr w:type="spellEnd"/>
    </w:p>
    <w:p w:rsidR="00FC7F79" w:rsidRDefault="00FC7F79" w:rsidP="00FC7F79">
      <w:pPr>
        <w:jc w:val="center"/>
        <w:rPr>
          <w:i/>
        </w:rPr>
      </w:pPr>
      <w:proofErr w:type="spellStart"/>
      <w:proofErr w:type="gramStart"/>
      <w:r w:rsidRPr="00077530">
        <w:rPr>
          <w:b/>
          <w:i/>
          <w:vertAlign w:val="superscript"/>
        </w:rPr>
        <w:t>a</w:t>
      </w:r>
      <w:proofErr w:type="spellEnd"/>
      <w:proofErr w:type="gramEnd"/>
      <w:r w:rsidRPr="00077530">
        <w:rPr>
          <w:b/>
          <w:i/>
          <w:vertAlign w:val="superscript"/>
        </w:rPr>
        <w:t xml:space="preserve"> </w:t>
      </w:r>
      <w:r w:rsidRPr="00077530">
        <w:rPr>
          <w:i/>
        </w:rPr>
        <w:t>Institute for Health Informatics, University of Minnesota, Minneapolis, Minnesota, US</w:t>
      </w:r>
      <w:r w:rsidR="00980DD0">
        <w:rPr>
          <w:i/>
        </w:rPr>
        <w:t>A</w:t>
      </w:r>
      <w:r w:rsidRPr="00077530">
        <w:rPr>
          <w:i/>
        </w:rPr>
        <w:t xml:space="preserve"> </w:t>
      </w:r>
    </w:p>
    <w:p w:rsidR="000151C8" w:rsidRPr="00077530" w:rsidRDefault="000151C8" w:rsidP="00FC7F79">
      <w:pPr>
        <w:jc w:val="center"/>
        <w:rPr>
          <w:i/>
        </w:rPr>
      </w:pPr>
      <w:r>
        <w:rPr>
          <w:b/>
          <w:i/>
          <w:vertAlign w:val="superscript"/>
        </w:rPr>
        <w:t>b</w:t>
      </w:r>
      <w:r w:rsidRPr="00077530">
        <w:rPr>
          <w:b/>
          <w:i/>
          <w:vertAlign w:val="superscript"/>
        </w:rPr>
        <w:t xml:space="preserve"> </w:t>
      </w:r>
      <w:r>
        <w:rPr>
          <w:i/>
        </w:rPr>
        <w:t>Department of Surgery, University of Minnesota, Minneapolis, Minneso</w:t>
      </w:r>
      <w:r w:rsidR="00C56048">
        <w:rPr>
          <w:i/>
        </w:rPr>
        <w:t>t</w:t>
      </w:r>
      <w:r>
        <w:rPr>
          <w:i/>
        </w:rPr>
        <w:t>a, USA</w:t>
      </w:r>
    </w:p>
    <w:p w:rsidR="00E47AA2" w:rsidRPr="00077530" w:rsidRDefault="000151C8" w:rsidP="00083C8D">
      <w:pPr>
        <w:ind w:left="1440" w:firstLine="720"/>
        <w:rPr>
          <w:i/>
        </w:rPr>
      </w:pPr>
      <w:r>
        <w:rPr>
          <w:b/>
          <w:i/>
          <w:vertAlign w:val="superscript"/>
        </w:rPr>
        <w:t>c</w:t>
      </w:r>
      <w:r w:rsidR="00083C8D" w:rsidRPr="00077530">
        <w:rPr>
          <w:b/>
          <w:i/>
          <w:vertAlign w:val="superscript"/>
        </w:rPr>
        <w:t xml:space="preserve"> </w:t>
      </w:r>
      <w:r w:rsidR="00083C8D" w:rsidRPr="00077530">
        <w:rPr>
          <w:i/>
        </w:rPr>
        <w:t>College of Pharmacy, University of Minnesota, Minneapolis, Minnesota, USA</w:t>
      </w:r>
    </w:p>
    <w:p w:rsidR="003B10A3" w:rsidRPr="00C338FB" w:rsidRDefault="003B10A3" w:rsidP="004D7ADD">
      <w:pPr>
        <w:ind w:left="1440" w:firstLine="720"/>
      </w:pPr>
    </w:p>
    <w:p w:rsidR="003B10A3" w:rsidRPr="00FB07AC" w:rsidRDefault="003B10A3" w:rsidP="003B10A3">
      <w:pPr>
        <w:pStyle w:val="4HeaderSpacer"/>
      </w:pPr>
    </w:p>
    <w:p w:rsidR="003B10A3" w:rsidRPr="00FB07AC" w:rsidRDefault="003B10A3" w:rsidP="00D82265">
      <w:pPr>
        <w:rPr>
          <w:noProof/>
          <w:sz w:val="22"/>
        </w:rPr>
        <w:sectPr w:rsidR="003B10A3" w:rsidRPr="00FB07AC" w:rsidSect="007F64F2">
          <w:type w:val="continuous"/>
          <w:pgSz w:w="11907" w:h="16840" w:code="9"/>
          <w:pgMar w:top="562" w:right="567" w:bottom="562" w:left="567" w:header="0" w:footer="1440" w:gutter="0"/>
          <w:cols w:space="1152"/>
          <w:noEndnote/>
        </w:sectPr>
      </w:pPr>
    </w:p>
    <w:p w:rsidR="003B10A3" w:rsidRPr="00C449B0" w:rsidRDefault="003B10A3" w:rsidP="003B10A3">
      <w:pPr>
        <w:pStyle w:val="5AbstractHeader"/>
      </w:pPr>
      <w:r w:rsidRPr="00C449B0">
        <w:t>Abstract</w:t>
      </w:r>
    </w:p>
    <w:p w:rsidR="003B10A3" w:rsidRPr="00C449B0" w:rsidRDefault="556AA545" w:rsidP="003B10A3">
      <w:pPr>
        <w:pStyle w:val="6AbstractText"/>
      </w:pPr>
      <w:r>
        <w:t xml:space="preserve">Although </w:t>
      </w:r>
      <w:r w:rsidR="00CD1F3E">
        <w:t xml:space="preserve">a number of foundational natural language processing (NLP) tasks like </w:t>
      </w:r>
      <w:r>
        <w:t xml:space="preserve">text segmentation </w:t>
      </w:r>
      <w:r w:rsidR="00CD1F3E">
        <w:t xml:space="preserve">are </w:t>
      </w:r>
      <w:r>
        <w:t>considered a simple problem in the general English domain dominated by well-formed text, complexities of clinical documentation lead to poor performance of existing solutions designed for the general Engli</w:t>
      </w:r>
      <w:r w:rsidR="00226E54">
        <w:t>s</w:t>
      </w:r>
      <w:r>
        <w:t xml:space="preserve">h domain. We present an alternative solution that relies on </w:t>
      </w:r>
      <w:r w:rsidR="00A415F1">
        <w:t xml:space="preserve">a convolutional neural network layer followed by a bidirectional long short-term memory layer (CNN-Bi-LSTM) </w:t>
      </w:r>
      <w:r>
        <w:t xml:space="preserve">for the task of sentence </w:t>
      </w:r>
      <w:r w:rsidR="00D82265">
        <w:t>boundary disambiguation</w:t>
      </w:r>
      <w:r>
        <w:t xml:space="preserve"> and describe</w:t>
      </w:r>
      <w:r w:rsidR="00F47407">
        <w:t xml:space="preserve"> an ensemble </w:t>
      </w:r>
      <w:r w:rsidR="00176662">
        <w:t>approach</w:t>
      </w:r>
      <w:r w:rsidR="004E4B4A">
        <w:t xml:space="preserve"> for </w:t>
      </w:r>
      <w:r w:rsidR="00D17FB7">
        <w:t xml:space="preserve">domain adaptation </w:t>
      </w:r>
      <w:r w:rsidR="00716103">
        <w:t>using</w:t>
      </w:r>
      <w:r w:rsidR="00D17FB7">
        <w:t xml:space="preserve"> two training </w:t>
      </w:r>
      <w:r w:rsidR="004E4B4A">
        <w:t>corpora</w:t>
      </w:r>
      <w:r>
        <w:t xml:space="preserve">. Implementations using the Keras neural-networks API </w:t>
      </w:r>
      <w:r w:rsidR="00BB6D7E">
        <w:t xml:space="preserve">are </w:t>
      </w:r>
      <w:r>
        <w:t xml:space="preserve">available at </w:t>
      </w:r>
      <w:r w:rsidR="006B125F" w:rsidRPr="006B125F">
        <w:t>https://github</w:t>
      </w:r>
      <w:r w:rsidR="007E2ED1">
        <w:t>.com</w:t>
      </w:r>
      <w:r w:rsidR="006B125F" w:rsidRPr="006B125F">
        <w:t>/NLPIE/clinical-sentences</w:t>
      </w:r>
      <w:r>
        <w:t>.</w:t>
      </w:r>
    </w:p>
    <w:p w:rsidR="003B10A3" w:rsidRDefault="003B10A3" w:rsidP="003B10A3">
      <w:pPr>
        <w:pStyle w:val="7KeywordHeader"/>
      </w:pPr>
      <w:r w:rsidRPr="00FB07AC">
        <w:t xml:space="preserve">Keywords: </w:t>
      </w:r>
    </w:p>
    <w:p w:rsidR="003B10A3" w:rsidRDefault="007C41E8" w:rsidP="003B10A3">
      <w:pPr>
        <w:pStyle w:val="8KeywordList"/>
        <w:jc w:val="both"/>
      </w:pPr>
      <w:r>
        <w:t>Natural Language Processing</w:t>
      </w:r>
    </w:p>
    <w:p w:rsidR="0011056A" w:rsidRDefault="0011056A" w:rsidP="00C83BD7">
      <w:pPr>
        <w:pStyle w:val="8KeywordList"/>
        <w:jc w:val="both"/>
      </w:pPr>
      <w:r>
        <w:t>Machine Learning</w:t>
      </w:r>
    </w:p>
    <w:p w:rsidR="00786342" w:rsidRPr="00E25618" w:rsidRDefault="00786342" w:rsidP="003B10A3">
      <w:pPr>
        <w:pStyle w:val="8KeywordList"/>
        <w:jc w:val="both"/>
      </w:pPr>
      <w:r>
        <w:t>Neural Networks (Computer)</w:t>
      </w:r>
    </w:p>
    <w:p w:rsidR="003B10A3" w:rsidRPr="00FB07AC" w:rsidRDefault="003B10A3" w:rsidP="003B10A3">
      <w:pPr>
        <w:pStyle w:val="ALevelOneHeader"/>
      </w:pPr>
      <w:r>
        <w:t>Introduction</w:t>
      </w:r>
    </w:p>
    <w:p w:rsidR="00114A25" w:rsidRDefault="00114A25" w:rsidP="00176662">
      <w:pPr>
        <w:pStyle w:val="DBodyText"/>
      </w:pPr>
      <w:r w:rsidRPr="00F6611B">
        <w:t xml:space="preserve">In contrast to general English, clinical notes </w:t>
      </w:r>
      <w:r>
        <w:t xml:space="preserve">have significant differences in structure and content. For instance, clinical text often </w:t>
      </w:r>
      <w:r w:rsidRPr="00F6611B">
        <w:t>contain</w:t>
      </w:r>
      <w:r>
        <w:t>s</w:t>
      </w:r>
      <w:r w:rsidRPr="00F6611B">
        <w:t xml:space="preserve"> units of thought that fit the technical definition of sentences that are not terminated by the standard sentence boundary symbols or any symbols in many cases. Structures such as labels, section headers, </w:t>
      </w:r>
      <w:r w:rsidR="000369BF">
        <w:t xml:space="preserve">text arranged in </w:t>
      </w:r>
      <w:r w:rsidRPr="00F6611B">
        <w:t xml:space="preserve">tables, and lists are examples of clinical text that do not follow general English rules for sentence termination. Furthermore, clinical text contains a </w:t>
      </w:r>
      <w:r w:rsidRPr="00525498">
        <w:t xml:space="preserve">disproportionately </w:t>
      </w:r>
      <w:r w:rsidRPr="00F6611B">
        <w:t>high number of acronyms, abbreviations, and ordinal numbers</w:t>
      </w:r>
      <w:r w:rsidR="000369BF">
        <w:t xml:space="preserve"> frequently decorated with punctuation symbols and containing variable capitalization.</w:t>
      </w:r>
      <w:r w:rsidRPr="00F6611B">
        <w:t xml:space="preserve"> </w:t>
      </w:r>
      <w:r w:rsidR="000369BF">
        <w:t xml:space="preserve">Segmentation </w:t>
      </w:r>
      <w:r w:rsidRPr="00F6611B">
        <w:t>errors caused by these ambiguities are magnified</w:t>
      </w:r>
      <w:r w:rsidR="000369BF">
        <w:t xml:space="preserve"> in downstream processing</w:t>
      </w:r>
      <w:r w:rsidRPr="00F6611B">
        <w:t xml:space="preserve">. </w:t>
      </w:r>
    </w:p>
    <w:p w:rsidR="004D7ADD" w:rsidRDefault="004D7ADD" w:rsidP="00176662">
      <w:pPr>
        <w:pStyle w:val="DBodyText"/>
      </w:pPr>
      <w:r>
        <w:t xml:space="preserve">Previous research has shown that transfer learning in deep networks can improve generalization to tasks of related problems with small data sets </w:t>
      </w:r>
      <w:r>
        <w:fldChar w:fldCharType="begin" w:fldLock="1"/>
      </w:r>
      <w:r w:rsidR="00C56048">
        <w:instrText>ADDIN CSL_CITATION {"citationItems":[{"id":"ITEM-1","itemData":{"author":[{"dropping-particle":"","family":"Donahue","given":"Jeff","non-dropping-particle":"","parse-names":false,"suffix":""},{"dropping-particle":"","family":"Jia","given":"Yangqing","non-dropping-particle":"","parse-names":false,"suffix":""},{"dropping-particle":"","family":"Vinyals","given":"Oriol","non-dropping-particle":"","parse-names":false,"suffix":""},{"dropping-particle":"","family":"Hoffman","given":"Judy","non-dropping-particle":"","parse-names":false,"suffix":""},{"dropping-particle":"","family":"Zhang","given":"Ning","non-dropping-particle":"","parse-names":false,"suffix":""},{"dropping-particle":"","family":"Tzeng","given":"Eric","non-dropping-particle":"","parse-names":false,"suffix":""},{"dropping-particle":"","family":"Darrell","given":"Trevor","non-dropping-particle":"","parse-names":false,"suffix":""}],"container-title":"CoRR","id":"ITEM-1","issued":{"date-parts":[["2013"]]},"title":"DeCAF: A Deep Convolutional Activation Feature for Generic Visual Recognition","type":"article-journal","volume":"abs/1310.1"},"uris":["http://www.mendeley.com/documents/?uuid=dea362fe-4ea5-4bce-b9e7-681e21da698a"]}],"mendeley":{"formattedCitation":"[1]","plainTextFormattedCitation":"[1]","previouslyFormattedCitation":"[1]"},"properties":{"noteIndex":0},"schema":"https://github.com/citation-style-language/schema/raw/master/csl-citation.json"}</w:instrText>
      </w:r>
      <w:r>
        <w:fldChar w:fldCharType="separate"/>
      </w:r>
      <w:r w:rsidR="00D17FB7" w:rsidRPr="00D17FB7">
        <w:rPr>
          <w:noProof/>
        </w:rPr>
        <w:t>[1]</w:t>
      </w:r>
      <w:r>
        <w:fldChar w:fldCharType="end"/>
      </w:r>
      <w:r>
        <w:t xml:space="preserve">. Ensemble methods that engage in meta-learning through weighted voting models such as boosting, bagging, and stacking also reduce the generalization error over standard models </w:t>
      </w:r>
      <w:r>
        <w:fldChar w:fldCharType="begin" w:fldLock="1"/>
      </w:r>
      <w:r w:rsidR="00C56048">
        <w:instrText>ADDIN CSL_CITATION {"citationItems":[{"id":"ITEM-1","itemData":{"DOI":"10.1023/A:1007515423169","ISSN":"1573-0565","abstract":"Methods for voting classification algorithms, such as Bagging and AdaBoost, have been shown to be very successful in improving the accuracy of certain classifiers for artificial and real-world datasets. We review these algorithms and describe a large empirical study comparing several variants in conjunction with a decision tree inducer (three variants) and a Naive-Bayes inducer. The purpose of the study is to improve our understanding of why and when these algorithms, which use perturbation, reweighting, and combination techniques, affect classification error. We provide a bias and variance decomposition of the error to show how different methods and variants influence these two terms. This allowed us to determine that Bagging reduced variance of unstable methods, while boosting methods (AdaBoost and Arc-x4) reduced both the bias and variance of unstable methods but increased the variance for Naive-Bayes, which was very stable. We observed that Arc-x4 behaves differently than AdaBoost if reweighting is used instead of resampling, indicating a fundamental difference. Voting variants, some of which are introduced in this paper, include: pruning versus no pruning, use of probabilistic estimates, weight perturbations (Wagging), and backfitting of data. We found that Bagging improves when probabilistic estimates in conjunction with no-pruning are used, as well as when the data was backfit. We measure tree sizes and show an interesting positive correlation between the increase in the average tree size in AdaBoost trials and its success in reducing the error. We compare the mean-squared error of voting methods to non-voting methods and show that the voting methods lead to large and significant reductions in the mean-squared errors. Practical problems that arise in implementing boosting algorithms are explored, including numerical instabilities and underflows. We use scatterplots that graphically show how AdaBoost reweights instances, emphasizing not only ``hard'' areas but also outliers and noise.","author":[{"dropping-particle":"","family":"Bauer","given":"Eric","non-dropping-particle":"","parse-names":false,"suffix":""},{"dropping-particle":"","family":"Kohavi","given":"Ron","non-dropping-particle":"","parse-names":false,"suffix":""}],"container-title":"Machine Learning","id":"ITEM-1","issue":"1","issued":{"date-parts":[["1999","7"]]},"page":"105-139","title":"An Empirical Comparison of Voting Classification Algorithms: Bagging, Boosting, and Variants","type":"article-journal","volume":"36"},"uris":["http://www.mendeley.com/documents/?uuid=1dc39002-f96c-445e-8085-d7db468ec559"]}],"mendeley":{"formattedCitation":"[2]","plainTextFormattedCitation":"[2]","previouslyFormattedCitation":"[2]"},"properties":{"noteIndex":0},"schema":"https://github.com/citation-style-language/schema/raw/master/csl-citation.json"}</w:instrText>
      </w:r>
      <w:r>
        <w:fldChar w:fldCharType="separate"/>
      </w:r>
      <w:r w:rsidR="00D17FB7" w:rsidRPr="00D17FB7">
        <w:rPr>
          <w:noProof/>
        </w:rPr>
        <w:t>[2]</w:t>
      </w:r>
      <w:r>
        <w:fldChar w:fldCharType="end"/>
      </w:r>
      <w:r>
        <w:t>. We utilize transfer learning both in the use of word embeddings, and in our method for domain adaptation of models trained on one corpus to a different, but related corpus of clinical text.</w:t>
      </w:r>
    </w:p>
    <w:p w:rsidR="004D7ADD" w:rsidRDefault="00114A25" w:rsidP="004D7ADD">
      <w:pPr>
        <w:pStyle w:val="DBodyText"/>
      </w:pPr>
      <w:r>
        <w:t>Sentence boundary disambiguation (SBD), also known as sentence segmentation or sentence boundary detection, is a well-</w:t>
      </w:r>
      <w:r>
        <w:t xml:space="preserve">understood and explored problem in the domain of general English text. In well-formed general English text, a majority of sentences are terminated by sentence boundary symbols. Ambiguities caused by acronyms, abbreviations, quotations, and ordinal numbers are handled by further rules, or by statistical methods such as maximum entropy classification of boundaries. Using these methods on general English text results in accuracy performance above 95% </w:t>
      </w:r>
      <w:r>
        <w:fldChar w:fldCharType="begin" w:fldLock="1"/>
      </w:r>
      <w:r w:rsidR="00C56048">
        <w:instrText>ADDIN CSL_CITATION {"citationItems":[{"id":"ITEM-1","itemData":{"author":[{"dropping-particle":"","family":"Reynar","given":"Jeffrey C","non-dropping-particle":"","parse-names":false,"suffix":""},{"dropping-particle":"","family":"Ratnaparkhi","given":"Adwait","non-dropping-particle":"","parse-names":false,"suffix":""}],"container-title":"Proceedings of the fifth conference on Applied natural language processing","id":"ITEM-1","issued":{"date-parts":[["1997"]]},"page":"16-19","title":"A maximum entropy approach to identifying sentence boundaries","type":"paper-conference"},"uris":["http://www.mendeley.com/documents/?uuid=1f49847f-3d25-45a0-b03b-96452b095ba2"]}],"mendeley":{"formattedCitation":"[3]","plainTextFormattedCitation":"[3]","previouslyFormattedCitation":"[3]"},"properties":{"noteIndex":0},"schema":"https://github.com/citation-style-language/schema/raw/master/csl-citation.json"}</w:instrText>
      </w:r>
      <w:r>
        <w:fldChar w:fldCharType="separate"/>
      </w:r>
      <w:r w:rsidR="00D17FB7" w:rsidRPr="00D17FB7">
        <w:rPr>
          <w:noProof/>
        </w:rPr>
        <w:t>[3]</w:t>
      </w:r>
      <w:r>
        <w:fldChar w:fldCharType="end"/>
      </w:r>
      <w:r>
        <w:t>.</w:t>
      </w:r>
      <w:r w:rsidR="004D7ADD" w:rsidRPr="004D7ADD">
        <w:t xml:space="preserve"> </w:t>
      </w:r>
      <w:r w:rsidR="00C42F73" w:rsidRPr="00F6611B">
        <w:t xml:space="preserve">Relying on sentence boundary symbols for </w:t>
      </w:r>
      <w:r w:rsidR="009F0140">
        <w:t>SBD</w:t>
      </w:r>
      <w:r w:rsidR="00C42F73" w:rsidRPr="00F6611B">
        <w:t xml:space="preserve"> on the entire text of a clinical document </w:t>
      </w:r>
      <w:r w:rsidR="008D71DF">
        <w:t xml:space="preserve">leads to errors in detecting non-terminated sentence boundaries </w:t>
      </w:r>
      <w:r w:rsidR="00C56048">
        <w:fldChar w:fldCharType="begin" w:fldLock="1"/>
      </w:r>
      <w:r w:rsidR="007E2ED1">
        <w:instrText>ADDIN CSL_CITATION {"citationItems":[{"id":"ITEM-1","itemData":{"ISSN":"2153-4063","PMID":"27570656","abstract":"Sentence boundary detection (SBD) is a critical preprocessing task for many natural language processing (NLP) applications. However, there has been little work on evaluating how well existing methods for SBD perform in the clinical domain. We evaluate five popular off-the-shelf NLP toolkits on the task of SBD in various kinds of text using a diverse set of corpora, including the GENIA corpus of biomedical abstracts, a corpus of clinical notes used in the 2010 i2b2 shared task, and two general-domain corpora (the British National Corpus and Switchboard). We find that, with the exception of the cTAKES system, the toolkits we evaluate perform noticeably worse on clinical text than on general-domain text. We identify and discuss major classes of errors, and suggest directions for future work to improve SBD methods in the clinical domain. We also make the code used for SBD evaluation in this paper available for download at http://github.com/drgriffis/SBD-Evaluation.","author":[{"dropping-particle":"","family":"Griffis","given":"Denis","non-dropping-particle":"","parse-names":false,"suffix":""},{"dropping-particle":"","family":"Shivade","given":"Chaitanya","non-dropping-particle":"","parse-names":false,"suffix":""},{"dropping-particle":"","family":"Fosler-Lussier","given":"Eric","non-dropping-particle":"","parse-names":false,"suffix":""},{"dropping-particle":"","family":"Lai","given":"Albert M","non-dropping-particle":"","parse-names":false,"suffix":""}],"container-title":"AMIA Joint Summits on Translational Science proceedings. AMIA Joint Summits on Translational Science","id":"ITEM-1","issued":{"date-parts":[["2016"]]},"page":"88-97","publisher":"American Medical Informatics Association","title":"A Quantitative and Qualitative Evaluation of Sentence Boundary Detection for the Clinical Domain.","type":"article-journal","volume":"2016"},"uris":["http://www.mendeley.com/documents/?uuid=abaaa3d1-0952-37f2-95ed-3528fc33d6d5"]}],"mendeley":{"formattedCitation":"[4]","plainTextFormattedCitation":"[4]","previouslyFormattedCitation":"[4]"},"properties":{"noteIndex":0},"schema":"https://github.com/citation-style-language/schema/raw/master/csl-citation.json"}</w:instrText>
      </w:r>
      <w:r w:rsidR="00C56048">
        <w:fldChar w:fldCharType="separate"/>
      </w:r>
      <w:r w:rsidR="00C56048" w:rsidRPr="00C56048">
        <w:rPr>
          <w:noProof/>
        </w:rPr>
        <w:t>[4]</w:t>
      </w:r>
      <w:r w:rsidR="00C56048">
        <w:fldChar w:fldCharType="end"/>
      </w:r>
      <w:r w:rsidR="00C42F73" w:rsidRPr="00F6611B">
        <w:t>.</w:t>
      </w:r>
      <w:r w:rsidR="007E2ED1">
        <w:t xml:space="preserve"> Although deep learning is the prevailing approach for many machine learning problems, it remains under-utilized in clinical applications, and the generalizability of clinical applications using current approaches is limited </w:t>
      </w:r>
      <w:r w:rsidR="007E2ED1">
        <w:fldChar w:fldCharType="begin" w:fldLock="1"/>
      </w:r>
      <w:r w:rsidR="007E2ED1">
        <w:instrText>ADDIN CSL_CITATION {"citationItems":[{"id":"ITEM-1","itemData":{"DOI":"10.1016/J.JBI.2017.11.011","ISSN":"1532-0464","abstract":"BACKGROUND\nWith the rapid adoption of electronic health records (EHRs), it is desirable to harvest information and knowledge from EHRs to support automated systems at the point of care and to enable secondary use of EHRs for clinical and translational research. One critical component used to facilitate the secondary use of EHR data is the information extraction (IE) task, which automatically extracts and encodes clinical information from text. \n\nOBJECTIVES\nIn this literature review, we present a review of recent published research on clinical information extraction (IE) applications. \n\nMETHODS\nA literature search was conducted for articles published from January 2009 to September 2016 based on Ovid MEDLINE In-Process &amp; Other Non-Indexed Citations, Ovid MEDLINE, Ovid EMBASE, Scopus, Web of Science, and ACM Digital Library. \n\nRESULTS\nA total of 1917 publications were identified for title and abstract screening. Of these publications, 263 articles were selected and discussed in this review in terms of publication venues and data sources, clinical IE tools, methods, and applications in the areas of disease- and drug-related studies, and clinical workflow optimizations. \n\nCONCLUSIONS\nClinical IE has been used for a wide range of applications, however, there is a considerable gap between clinical studies using EHR data and studies using clinical IE. This study enabled us to gain a more concrete understanding of the gap and to provide potential solutions to bridge this gap.","author":[{"dropping-particle":"","family":"Wang","given":"Yanshan","non-dropping-particle":"","parse-names":false,"suffix":""},{"dropping-particle":"","family":"Wang","given":"Liwei","non-dropping-particle":"","parse-names":false,"suffix":""},{"dropping-particle":"","family":"Rastegar-Mojarad","given":"Majid","non-dropping-particle":"","parse-names":false,"suffix":""},{"dropping-particle":"","family":"Moon","given":"Sungrim","non-dropping-particle":"","parse-names":false,"suffix":""},{"dropping-particle":"","family":"Shen","given":"Feichen","non-dropping-particle":"","parse-names":false,"suffix":""},{"dropping-particle":"","family":"Afzal","given":"Naveed","non-dropping-particle":"","parse-names":false,"suffix":""},{"dropping-particle":"","family":"Liu","given":"Sijia","non-dropping-particle":"","parse-names":false,"suffix":""},{"dropping-particle":"","family":"Zeng","given":"Yuqun","non-dropping-particle":"","parse-names":false,"suffix":""},{"dropping-particle":"","family":"Mehrabi","given":"Saeed","non-dropping-particle":"","parse-names":false,"suffix":""},{"dropping-particle":"","family":"Sohn","given":"Sunghwan","non-dropping-particle":"","parse-names":false,"suffix":""},{"dropping-particle":"","family":"Liu","given":"Hongfang","non-dropping-particle":"","parse-names":false,"suffix":""}],"container-title":"Journal of Biomedical Informatics","id":"ITEM-1","issued":{"date-parts":[["2018","1","1"]]},"page":"34-49","publisher":"Academic Press","title":"Clinical information extraction applications: A literature review","type":"article-journal","volume":"77"},"uris":["http://www.mendeley.com/documents/?uuid=ee030db4-2c1a-3bad-a8a1-355601fcc9eb"]}],"mendeley":{"formattedCitation":"[5]","plainTextFormattedCitation":"[5]"},"properties":{"noteIndex":0},"schema":"https://github.com/citation-style-language/schema/raw/master/csl-citation.json"}</w:instrText>
      </w:r>
      <w:r w:rsidR="007E2ED1">
        <w:fldChar w:fldCharType="separate"/>
      </w:r>
      <w:r w:rsidR="007E2ED1" w:rsidRPr="007E2ED1">
        <w:rPr>
          <w:noProof/>
        </w:rPr>
        <w:t>[5]</w:t>
      </w:r>
      <w:r w:rsidR="007E2ED1">
        <w:fldChar w:fldCharType="end"/>
      </w:r>
      <w:r w:rsidR="007E2ED1">
        <w:t>.</w:t>
      </w:r>
    </w:p>
    <w:p w:rsidR="00114A25" w:rsidRPr="00F6611B" w:rsidRDefault="00114A25" w:rsidP="00114A25">
      <w:pPr>
        <w:pStyle w:val="DBodyText"/>
      </w:pPr>
      <w:r>
        <w:t xml:space="preserve">In this paper we </w:t>
      </w:r>
      <w:r w:rsidR="00C42F73">
        <w:t xml:space="preserve">report on applying </w:t>
      </w:r>
      <w:r>
        <w:t xml:space="preserve">deep </w:t>
      </w:r>
      <w:r w:rsidR="00C42F73">
        <w:t xml:space="preserve">neural </w:t>
      </w:r>
      <w:r>
        <w:t xml:space="preserve">network methods with the use case of sequence labeling to the SBD problem on the entire text of clinical notes with no preprocessing or cleaning. We show that an architecture consisting of word embeddings enriched with character information run through a bi-LSTM have high accuracy in detecting sentence boundaries. We also explore the generalization problem of using a trained model for SBD on previously unseen text using several implementations, including combining training data, resuming training with data from the new corpus, and a stacking method where the hidden layer results of two models trained separately on both corpora are summed before prediction using a shared prediction layer. We show that the stacking method has the lowest generalization error with 96% F1 score for beginning of sentence tags. </w:t>
      </w:r>
    </w:p>
    <w:p w:rsidR="003B10A3" w:rsidRDefault="003B10A3" w:rsidP="003B10A3">
      <w:pPr>
        <w:pStyle w:val="ALevelOneHeader"/>
      </w:pPr>
      <w:r>
        <w:t>Methods</w:t>
      </w:r>
    </w:p>
    <w:p w:rsidR="006818FC" w:rsidRDefault="00CA5CAA" w:rsidP="006818FC">
      <w:pPr>
        <w:pStyle w:val="BLevelTwoHeader"/>
      </w:pPr>
      <w:r>
        <w:t>Sentence Segmentation</w:t>
      </w:r>
    </w:p>
    <w:p w:rsidR="00CA5CAA" w:rsidRDefault="003C155A" w:rsidP="00CA5CAA">
      <w:pPr>
        <w:pStyle w:val="DBodyText"/>
      </w:pPr>
      <w:r>
        <w:t>SBD</w:t>
      </w:r>
      <w:r w:rsidR="00CA5CAA">
        <w:t xml:space="preserve"> is often the first step in solving any problem using natural language processing (NLP). Availability of sentence boundaries is necessary both for many general language tasks, such as part-of-speech tagging and parsing, and for domain-specific analytical tasks such as document classification</w:t>
      </w:r>
      <w:r w:rsidR="0050396C">
        <w:t>.</w:t>
      </w:r>
      <w:r w:rsidR="00CA5CAA">
        <w:t xml:space="preserve"> Errors in sentence detection tend to propagate to many other areas in a system making sentence accuracy critical for any downstream tasks in a text analysis system.</w:t>
      </w:r>
    </w:p>
    <w:p w:rsidR="00A415F1" w:rsidRDefault="00CA5CAA" w:rsidP="00A415F1">
      <w:pPr>
        <w:pStyle w:val="DBodyText"/>
      </w:pPr>
      <w:r w:rsidRPr="00F6611B">
        <w:t>In Table 1, some examples of text from Fairview Medical Services notes where sentences are not terminated with sente</w:t>
      </w:r>
      <w:r w:rsidR="008D7BBC">
        <w:t>nce boundary symbols are shown.</w:t>
      </w:r>
    </w:p>
    <w:p w:rsidR="00CA5CAA" w:rsidRPr="00DF53B3" w:rsidRDefault="00CA5CAA" w:rsidP="00A415F1">
      <w:pPr>
        <w:pStyle w:val="DTableTitle"/>
      </w:pPr>
      <w:r w:rsidRPr="005C35B6">
        <w:lastRenderedPageBreak/>
        <w:t xml:space="preserve">Table </w:t>
      </w:r>
      <w:r>
        <w:t>1 – Examples of sentences without termination</w:t>
      </w:r>
    </w:p>
    <w:tbl>
      <w:tblPr>
        <w:tblW w:w="0" w:type="auto"/>
        <w:jc w:val="center"/>
        <w:tblLayout w:type="fixed"/>
        <w:tblLook w:val="0000" w:firstRow="0" w:lastRow="0" w:firstColumn="0" w:lastColumn="0" w:noHBand="0" w:noVBand="0"/>
      </w:tblPr>
      <w:tblGrid>
        <w:gridCol w:w="4410"/>
      </w:tblGrid>
      <w:tr w:rsidR="00CA5CAA" w:rsidRPr="00FB07AC" w:rsidTr="00AA632C">
        <w:trPr>
          <w:jc w:val="center"/>
        </w:trPr>
        <w:tc>
          <w:tcPr>
            <w:tcW w:w="4410" w:type="dxa"/>
            <w:tcBorders>
              <w:top w:val="single" w:sz="4" w:space="0" w:color="auto"/>
              <w:bottom w:val="single" w:sz="4" w:space="0" w:color="auto"/>
            </w:tcBorders>
            <w:vAlign w:val="bottom"/>
          </w:tcPr>
          <w:p w:rsidR="00CA5CAA" w:rsidRPr="00677D7A" w:rsidRDefault="00CA5CAA" w:rsidP="00485B87">
            <w:pPr>
              <w:rPr>
                <w:b/>
                <w:noProof/>
              </w:rPr>
            </w:pPr>
            <w:r>
              <w:rPr>
                <w:b/>
                <w:noProof/>
              </w:rPr>
              <w:t>Text</w:t>
            </w:r>
          </w:p>
        </w:tc>
      </w:tr>
      <w:tr w:rsidR="00CA5CAA" w:rsidRPr="00FB07AC" w:rsidTr="00AA632C">
        <w:trPr>
          <w:jc w:val="center"/>
        </w:trPr>
        <w:tc>
          <w:tcPr>
            <w:tcW w:w="4410" w:type="dxa"/>
            <w:tcBorders>
              <w:top w:val="single" w:sz="4" w:space="0" w:color="auto"/>
              <w:bottom w:val="dotted" w:sz="4" w:space="0" w:color="auto"/>
            </w:tcBorders>
          </w:tcPr>
          <w:p w:rsidR="00CA5CAA" w:rsidRPr="00677D7A" w:rsidRDefault="00CA5CAA" w:rsidP="00485B87">
            <w:pPr>
              <w:rPr>
                <w:noProof/>
              </w:rPr>
            </w:pPr>
            <w:r>
              <w:t>RECOMMENDATIONS FOR MDs/PROVIDERS TO ORDER:</w:t>
            </w:r>
          </w:p>
        </w:tc>
      </w:tr>
      <w:tr w:rsidR="00CA5CAA" w:rsidRPr="00FB07AC" w:rsidTr="00AA632C">
        <w:trPr>
          <w:jc w:val="center"/>
        </w:trPr>
        <w:tc>
          <w:tcPr>
            <w:tcW w:w="4410" w:type="dxa"/>
            <w:tcBorders>
              <w:top w:val="dotted" w:sz="4" w:space="0" w:color="auto"/>
              <w:bottom w:val="dotted" w:sz="4" w:space="0" w:color="auto"/>
            </w:tcBorders>
          </w:tcPr>
          <w:p w:rsidR="00CA5CAA" w:rsidRDefault="00CA5CAA" w:rsidP="00485B87">
            <w:r>
              <w:t>Recommendations already ordered by Registered Dietitian (RD):</w:t>
            </w:r>
          </w:p>
          <w:p w:rsidR="00CA5CAA" w:rsidRPr="00677D7A" w:rsidRDefault="00CA5CAA" w:rsidP="00485B87">
            <w:pPr>
              <w:rPr>
                <w:noProof/>
              </w:rPr>
            </w:pPr>
            <w:r>
              <w:t>Calorie counts reordered</w:t>
            </w:r>
          </w:p>
        </w:tc>
      </w:tr>
      <w:tr w:rsidR="00CA5CAA" w:rsidRPr="00FB07AC" w:rsidTr="00E26FD8">
        <w:trPr>
          <w:jc w:val="center"/>
        </w:trPr>
        <w:tc>
          <w:tcPr>
            <w:tcW w:w="4410" w:type="dxa"/>
            <w:tcBorders>
              <w:top w:val="dotted" w:sz="4" w:space="0" w:color="auto"/>
              <w:bottom w:val="dotted" w:sz="4" w:space="0" w:color="auto"/>
            </w:tcBorders>
          </w:tcPr>
          <w:p w:rsidR="00CA5CAA" w:rsidRPr="00677D7A" w:rsidRDefault="00CA5CAA" w:rsidP="00485B87">
            <w:pPr>
              <w:rPr>
                <w:noProof/>
              </w:rPr>
            </w:pPr>
            <w:r>
              <w:t>Diet: dysphagia diet level 2 mechanical, thin liquids, magic cup between meals, Nepro between meals</w:t>
            </w:r>
          </w:p>
        </w:tc>
      </w:tr>
      <w:tr w:rsidR="00CA5CAA" w:rsidRPr="00FB07AC" w:rsidTr="00E26FD8">
        <w:trPr>
          <w:jc w:val="center"/>
        </w:trPr>
        <w:tc>
          <w:tcPr>
            <w:tcW w:w="4410" w:type="dxa"/>
            <w:tcBorders>
              <w:top w:val="dotted" w:sz="4" w:space="0" w:color="auto"/>
              <w:bottom w:val="dotted" w:sz="4" w:space="0" w:color="auto"/>
            </w:tcBorders>
          </w:tcPr>
          <w:p w:rsidR="00CA5CAA" w:rsidRPr="00677D7A" w:rsidRDefault="00CA5CAA" w:rsidP="00485B87">
            <w:pPr>
              <w:rPr>
                <w:noProof/>
              </w:rPr>
            </w:pPr>
            <w:r>
              <w:t>Pt reported his appetite is getting better, he likes the supplements</w:t>
            </w:r>
          </w:p>
        </w:tc>
      </w:tr>
      <w:tr w:rsidR="00CA5CAA" w:rsidRPr="00FB07AC" w:rsidTr="00E26FD8">
        <w:trPr>
          <w:jc w:val="center"/>
        </w:trPr>
        <w:tc>
          <w:tcPr>
            <w:tcW w:w="4410" w:type="dxa"/>
            <w:tcBorders>
              <w:top w:val="dotted" w:sz="4" w:space="0" w:color="auto"/>
              <w:bottom w:val="single" w:sz="4" w:space="0" w:color="auto"/>
            </w:tcBorders>
          </w:tcPr>
          <w:p w:rsidR="00CA5CAA" w:rsidRPr="00677D7A" w:rsidRDefault="00CA5CAA" w:rsidP="00485B87">
            <w:r>
              <w:t xml:space="preserve">(+) No chance of pregnancy C-spine cleared: N/A, no H/O Chronic </w:t>
            </w:r>
            <w:proofErr w:type="spellStart"/>
            <w:proofErr w:type="gramStart"/>
            <w:r>
              <w:t>pain,no</w:t>
            </w:r>
            <w:proofErr w:type="spellEnd"/>
            <w:proofErr w:type="gramEnd"/>
            <w:r>
              <w:t xml:space="preserve"> other significant disability</w:t>
            </w:r>
          </w:p>
        </w:tc>
      </w:tr>
    </w:tbl>
    <w:p w:rsidR="00CA5CAA" w:rsidRDefault="00CA5CAA" w:rsidP="00CA5CAA">
      <w:pPr>
        <w:pStyle w:val="DBodyText"/>
      </w:pPr>
      <w:r>
        <w:t xml:space="preserve">There are a number of existing commonly used implementations of SBD that rely on or expect sentence boundary symbols and perform poorly in their absence. Stanford </w:t>
      </w:r>
      <w:proofErr w:type="spellStart"/>
      <w:r>
        <w:t>CoreNLP</w:t>
      </w:r>
      <w:proofErr w:type="spellEnd"/>
      <w:r>
        <w:t xml:space="preserve"> </w:t>
      </w:r>
      <w:r>
        <w:fldChar w:fldCharType="begin" w:fldLock="1"/>
      </w:r>
      <w:r w:rsidR="007E2ED1">
        <w:instrText>ADDIN CSL_CITATION {"citationItems":[{"id":"ITEM-1","itemData":{"DOI":"10.3115/v1/P14-5010","ISBN":"9781941643006","ISSN":"1098-6596","PMID":"25246403","abstract":"We describe the design and use of the Stanford CoreNLP toolkit, an extensible pipeline that provides core natural language analysis. This toolkit is quite widely used, both in the research NLP community and also among commercial and government users of open source NLP technology. We suggest that this follows from a simple, approachable design, straightforward interfaces, the inclusion of robust and good quality analysis components, and not requiring use of a large amount of associated baggage.","author":[{"dropping-particle":"","family":"Manning","given":"Christopher","non-dropping-particle":"","parse-names":false,"suffix":""},{"dropping-particle":"","family":"Surdeanu","given":"Mihai","non-dropping-particle":"","parse-names":false,"suffix":""},{"dropping-particle":"","family":"Bauer","given":"John","non-dropping-particle":"","parse-names":false,"suffix":""},{"dropping-particle":"","family":"Finkel","given":"Jenny","non-dropping-particle":"","parse-names":false,"suffix":""},{"dropping-particle":"","family":"Bethard","given":"Steven","non-dropping-particle":"","parse-names":false,"suffix":""},{"dropping-particle":"","family":"McClosky","given":"David","non-dropping-particle":"","parse-names":false,"suffix":""}],"container-title":"Proceedings of 52nd Annual Meeting of the Association for Computational Linguistics: System Demonstrations","id":"ITEM-1","issued":{"date-parts":[["2014"]]},"page":"55-60","title":"The Stanford CoreNLP Natural Language Processing Toolkit","type":"article-journal"},"uris":["http://www.mendeley.com/documents/?uuid=1b5196c2-deec-4fbd-8879-bd949e7a05de","http://www.mendeley.com/documents/?uuid=886bce27-4820-4a11-82fd-4a5a53e68c78"]}],"mendeley":{"formattedCitation":"[6]","plainTextFormattedCitation":"[6]","previouslyFormattedCitation":"[5]"},"properties":{"noteIndex":0},"schema":"https://github.com/citation-style-language/schema/raw/master/csl-citation.json"}</w:instrText>
      </w:r>
      <w:r>
        <w:fldChar w:fldCharType="separate"/>
      </w:r>
      <w:r w:rsidR="007E2ED1" w:rsidRPr="007E2ED1">
        <w:rPr>
          <w:noProof/>
        </w:rPr>
        <w:t>[6]</w:t>
      </w:r>
      <w:r>
        <w:fldChar w:fldCharType="end"/>
      </w:r>
      <w:r>
        <w:t xml:space="preserve"> provides a rule-based algorithm, which makes decisions based on the results of a tokenizer to disambiguate whether sentence boundary symbols indicate sentence splits. Natural Language Toolkit (NLTK) </w:t>
      </w:r>
      <w:r>
        <w:fldChar w:fldCharType="begin" w:fldLock="1"/>
      </w:r>
      <w:r w:rsidR="007E2ED1">
        <w:instrText>ADDIN CSL_CITATION {"citationItems":[{"id":"ITEM-1","itemData":{"author":[{"dropping-particle":"","family":"Bird","given":"Steven","non-dropping-particle":"","parse-names":false,"suffix":""},{"dropping-particle":"","family":"Loper","given":"Edward","non-dropping-particle":"","parse-names":false,"suffix":""},{"dropping-particle":"","family":"Klein","given":"Ewan","non-dropping-particle":"","parse-names":false,"suffix":""}],"id":"ITEM-1","issued":{"date-parts":[["2009"]]},"publisher":"O’Reilly Media Inc","title":"Natural Language Processing with Python","type":"book"},"uris":["http://www.mendeley.com/documents/?uuid=e3e5d315-5e94-42dd-90ab-741ebaa72987"]}],"mendeley":{"formattedCitation":"[7]","plainTextFormattedCitation":"[7]","previouslyFormattedCitation":"[6]"},"properties":{"noteIndex":0},"schema":"https://github.com/citation-style-language/schema/raw/master/csl-citation.json"}</w:instrText>
      </w:r>
      <w:r>
        <w:fldChar w:fldCharType="separate"/>
      </w:r>
      <w:r w:rsidR="007E2ED1" w:rsidRPr="007E2ED1">
        <w:rPr>
          <w:noProof/>
        </w:rPr>
        <w:t>[7]</w:t>
      </w:r>
      <w:r>
        <w:fldChar w:fldCharType="end"/>
      </w:r>
      <w:r>
        <w:t xml:space="preserve"> implements SBD using a method that combines rules for sentence boundaries with an unsupervised algorithm for the detection of acronyms and abbreviations, </w:t>
      </w:r>
      <w:r w:rsidR="00D17FB7">
        <w:t xml:space="preserve">a common source of errors in SBD </w:t>
      </w:r>
      <w:r>
        <w:fldChar w:fldCharType="begin" w:fldLock="1"/>
      </w:r>
      <w:r w:rsidR="007E2ED1">
        <w:instrText>ADDIN CSL_CITATION {"citationItems":[{"id":"ITEM-1","itemData":{"DOI":"10.1162/coli.2006.32.4.485","ISSN":"0891-2017","abstract":"In this article, we present a language-independent, unsupervised approach to sentence boundary detection. It is based on the assumption that a large number of ambiguities in the determination of sentence boundaries can be eliminated once abbreviations have been identified. Instead of relying on orthographic clues, the proposed system is able to detect abbreviations with high accuracy using three criteria that only require information about the candidate type itself and are independent of context: Abbreviations can be defined as a very tight collocation consisting of a truncated word and a final period, abbreviations are usually short, and abbreviations sometimes contain internal periods. We also show the potential of collocational evidence for two other important subtasks of sentence boundary disambiguation, namely, the detection of initials and ordinal numbers. The proposed system has been tested extensively on eleven different languages and on different text genres. It achieves good results without any further amendments or language-specific resources. We evaluate its performance against three different baselines and compare it to other systems for sentence boundary detection proposed in the literature.","author":[{"dropping-particle":"","family":"Kiss","given":"Tibor","non-dropping-particle":"","parse-names":false,"suffix":""},{"dropping-particle":"","family":"Strunk","given":"Jan","non-dropping-particle":"","parse-names":false,"suffix":""}],"container-title":"Computational Linguistics","id":"ITEM-1","issue":"4","issued":{"date-parts":[["2006","11","21"]]},"note":"doi: 10.1162/coli.2006.32.4.485","page":"485-525","publisher":"MIT Press","title":"Unsupervised Multilingual Sentence Boundary Detection","type":"article-journal","volume":"32"},"uris":["http://www.mendeley.com/documents/?uuid=cb689915-1593-49d1-a8d9-b7d2c9ef5928"]}],"mendeley":{"formattedCitation":"[8]","plainTextFormattedCitation":"[8]","previouslyFormattedCitation":"[7]"},"properties":{"noteIndex":0},"schema":"https://github.com/citation-style-language/schema/raw/master/csl-citation.json"}</w:instrText>
      </w:r>
      <w:r>
        <w:fldChar w:fldCharType="separate"/>
      </w:r>
      <w:r w:rsidR="007E2ED1" w:rsidRPr="007E2ED1">
        <w:rPr>
          <w:noProof/>
        </w:rPr>
        <w:t>[8]</w:t>
      </w:r>
      <w:r>
        <w:fldChar w:fldCharType="end"/>
      </w:r>
      <w:r>
        <w:t xml:space="preserve">. The Apache </w:t>
      </w:r>
      <w:proofErr w:type="spellStart"/>
      <w:r>
        <w:t>OpenNLP</w:t>
      </w:r>
      <w:proofErr w:type="spellEnd"/>
      <w:r>
        <w:t xml:space="preserve"> toolkit </w:t>
      </w:r>
      <w:r>
        <w:fldChar w:fldCharType="begin" w:fldLock="1"/>
      </w:r>
      <w:r w:rsidR="007E2ED1">
        <w:instrText>ADDIN CSL_CITATION {"citationItems":[{"id":"ITEM-1","itemData":{"URL":"https://opennlp.apache.org/","accessed":{"date-parts":[["2018","11","15"]]},"id":"ITEM-1","issued":{"date-parts":[["0"]]},"title":"Apache OpenNLP","type":"webpage"},"uris":["http://www.mendeley.com/documents/?uuid=b672a54d-2fed-3c17-9436-fa2d4833c5aa"]}],"mendeley":{"formattedCitation":"[9]","plainTextFormattedCitation":"[9]","previouslyFormattedCitation":"[8]"},"properties":{"noteIndex":0},"schema":"https://github.com/citation-style-language/schema/raw/master/csl-citation.json"}</w:instrText>
      </w:r>
      <w:r>
        <w:fldChar w:fldCharType="separate"/>
      </w:r>
      <w:r w:rsidR="007E2ED1" w:rsidRPr="007E2ED1">
        <w:rPr>
          <w:noProof/>
        </w:rPr>
        <w:t>[9]</w:t>
      </w:r>
      <w:r>
        <w:fldChar w:fldCharType="end"/>
      </w:r>
      <w:r>
        <w:t xml:space="preserve"> and Apache </w:t>
      </w:r>
      <w:proofErr w:type="spellStart"/>
      <w:r>
        <w:t>cTAKES</w:t>
      </w:r>
      <w:proofErr w:type="spellEnd"/>
      <w:r>
        <w:t xml:space="preserve"> </w:t>
      </w:r>
      <w:r>
        <w:fldChar w:fldCharType="begin" w:fldLock="1"/>
      </w:r>
      <w:r w:rsidR="007E2ED1">
        <w:instrText>ADDIN CSL_CITATION {"citationItems":[{"id":"ITEM-1","itemData":{"URL":"http://ctakes.apache.org/","accessed":{"date-parts":[["2018","11","15"]]},"id":"ITEM-1","issued":{"date-parts":[["0"]]},"title":"Apache cTAKES™ - clinical Text Analysis Knowledge Extraction System","type":"webpage"},"uris":["http://www.mendeley.com/documents/?uuid=ccd5d7fa-abbb-35a0-9551-b8964493325f"]}],"mendeley":{"formattedCitation":"[10]","plainTextFormattedCitation":"[10]","previouslyFormattedCitation":"[9]"},"properties":{"noteIndex":0},"schema":"https://github.com/citation-style-language/schema/raw/master/csl-citation.json"}</w:instrText>
      </w:r>
      <w:r>
        <w:fldChar w:fldCharType="separate"/>
      </w:r>
      <w:r w:rsidR="007E2ED1" w:rsidRPr="007E2ED1">
        <w:rPr>
          <w:noProof/>
        </w:rPr>
        <w:t>[10]</w:t>
      </w:r>
      <w:r>
        <w:fldChar w:fldCharType="end"/>
      </w:r>
      <w:r>
        <w:t xml:space="preserve"> provide SBD based on the maximum entropy method described in </w:t>
      </w:r>
      <w:r>
        <w:fldChar w:fldCharType="begin" w:fldLock="1"/>
      </w:r>
      <w:r w:rsidR="00C56048">
        <w:instrText>ADDIN CSL_CITATION {"citationItems":[{"id":"ITEM-1","itemData":{"author":[{"dropping-particle":"","family":"Reynar","given":"Jeffrey C","non-dropping-particle":"","parse-names":false,"suffix":""},{"dropping-particle":"","family":"Ratnaparkhi","given":"Adwait","non-dropping-particle":"","parse-names":false,"suffix":""}],"container-title":"Proceedings of the fifth conference on Applied natural language processing","id":"ITEM-1","issued":{"date-parts":[["1997"]]},"page":"16-19","title":"A maximum entropy approach to identifying sentence boundaries","type":"paper-conference"},"uris":["http://www.mendeley.com/documents/?uuid=1f49847f-3d25-45a0-b03b-96452b095ba2"]}],"mendeley":{"formattedCitation":"[3]","plainTextFormattedCitation":"[3]","previouslyFormattedCitation":"[3]"},"properties":{"noteIndex":0},"schema":"https://github.com/citation-style-language/schema/raw/master/csl-citation.json"}</w:instrText>
      </w:r>
      <w:r>
        <w:fldChar w:fldCharType="separate"/>
      </w:r>
      <w:r w:rsidR="00D17FB7" w:rsidRPr="00D17FB7">
        <w:rPr>
          <w:noProof/>
        </w:rPr>
        <w:t>[3]</w:t>
      </w:r>
      <w:r>
        <w:fldChar w:fldCharType="end"/>
      </w:r>
      <w:r w:rsidR="00D17FB7">
        <w:t xml:space="preserve">. </w:t>
      </w:r>
      <w:r>
        <w:t xml:space="preserve">Previous evaluations have looked at the performance of SBD and have noted the difficulty of the task in the domain of clinical notes and have noted the performance issues on non-terminated sentences </w:t>
      </w:r>
      <w:r>
        <w:fldChar w:fldCharType="begin" w:fldLock="1"/>
      </w:r>
      <w:r w:rsidR="007E2ED1">
        <w:instrText>ADDIN CSL_CITATION {"citationItems":[{"id":"ITEM-1","itemData":{"ISSN":"2153-4063","PMID":"27570656","abstract":"Sentence boundary detection (SBD) is a critical preprocessing task for many natural language processing (NLP) applications. However, there has been little work on evaluating how well existing methods for SBD perform in the clinical domain. We evaluate five popular off-the-shelf NLP toolkits on the task of SBD in various kinds of text using a diverse set of corpora, including the GENIA corpus of biomedical abstracts, a corpus of clinical notes used in the 2010 i2b2 shared task, and two general-domain corpora (the British National Corpus and Switchboard). We find that, with the exception of the cTAKES system, the toolkits we evaluate perform noticeably worse on clinical text than on general-domain text. We identify and discuss major classes of errors, and suggest directions for future work to improve SBD methods in the clinical domain. We also make the code used for SBD evaluation in this paper available for download at http://github.com/drgriffis/SBD-Evaluation.","author":[{"dropping-particle":"","family":"Griffis","given":"Denis","non-dropping-particle":"","parse-names":false,"suffix":""},{"dropping-particle":"","family":"Shivade","given":"Chaitanya","non-dropping-particle":"","parse-names":false,"suffix":""},{"dropping-particle":"","family":"Fosler-Lussier","given":"Eric","non-dropping-particle":"","parse-names":false,"suffix":""},{"dropping-particle":"","family":"Lai","given":"Albert M","non-dropping-particle":"","parse-names":false,"suffix":""}],"container-title":"AMIA Joint Summits on Translational Science proceedings. AMIA Joint Summits on Translational Science","id":"ITEM-1","issued":{"date-parts":[["2016"]]},"page":"88-97","publisher":"American Medical Informatics Association","title":"A Quantitative and Qualitative Evaluation of Sentence Boundary Detection for the Clinical Domain.","type":"article-journal","volume":"2016"},"uris":["http://www.mendeley.com/documents/?uuid=abaaa3d1-0952-37f2-95ed-3528fc33d6d5"]}],"mendeley":{"formattedCitation":"[4]","plainTextFormattedCitation":"[4]","previouslyFormattedCitation":"[4]"},"properties":{"noteIndex":0},"schema":"https://github.com/citation-style-language/schema/raw/master/csl-citation.json"}</w:instrText>
      </w:r>
      <w:r>
        <w:fldChar w:fldCharType="separate"/>
      </w:r>
      <w:r w:rsidR="00C56048" w:rsidRPr="00C56048">
        <w:rPr>
          <w:noProof/>
        </w:rPr>
        <w:t>[4]</w:t>
      </w:r>
      <w:r>
        <w:fldChar w:fldCharType="end"/>
      </w:r>
      <w:r>
        <w:t>.</w:t>
      </w:r>
    </w:p>
    <w:p w:rsidR="00CA5CAA" w:rsidRDefault="00CA5CAA" w:rsidP="004D7ADD">
      <w:pPr>
        <w:pStyle w:val="DBodyText"/>
      </w:pPr>
      <w:r>
        <w:t>Approaches to the NLP problem of sequence tagging are well-suited for the SBD problem—which can be expressed as a tagging task where words beginning sentences are tagged ‘B’ and words internal to sentences are tagged ‘I’. The architecture for sequence tagging involving recurrent neural networks (RNNs) has shown good results when applied to the tasks of part-of-speech (</w:t>
      </w:r>
      <w:proofErr w:type="spellStart"/>
      <w:r>
        <w:t>PoS</w:t>
      </w:r>
      <w:proofErr w:type="spellEnd"/>
      <w:r>
        <w:t xml:space="preserve">) tagging and named entity recognition (NER) </w:t>
      </w:r>
      <w:r>
        <w:fldChar w:fldCharType="begin" w:fldLock="1"/>
      </w:r>
      <w:r w:rsidR="007E2ED1">
        <w:instrText>ADDIN CSL_CITATION {"citationItems":[{"id":"ITEM-1","itemData":{"DOI":"10.18653/v1/P16-1101","ISBN":"9781510827585","ISSN":"1098-6596","PMID":"25246403","abstract":"In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author":[{"dropping-particle":"","family":"Huang","given":"Zhiheng","non-dropping-particle":"","parse-names":false,"suffix":""},{"dropping-particle":"","family":"Xu","given":"Wei","non-dropping-particle":"","parse-names":false,"suffix":""},{"dropping-particle":"","family":"Yu","given":"Kai","non-dropping-particle":"","parse-names":false,"suffix":""}],"container-title":"CoRR","id":"ITEM-1","issued":{"date-parts":[["2015"]]},"title":"Bidirectional LSTM-CRF Models for Sequence Tagging","type":"article-journal","volume":"abs/1508.0"},"uris":["http://www.mendeley.com/documents/?uuid=8bb3e04f-d014-4f62-ab7c-dc324b62ec36"]}],"mendeley":{"formattedCitation":"[11]","plainTextFormattedCitation":"[11]","previouslyFormattedCitation":"[10]"},"properties":{"noteIndex":0},"schema":"https://github.com/citation-style-language/schema/raw/master/csl-citation.json"}</w:instrText>
      </w:r>
      <w:r>
        <w:fldChar w:fldCharType="separate"/>
      </w:r>
      <w:r w:rsidR="007E2ED1" w:rsidRPr="007E2ED1">
        <w:rPr>
          <w:noProof/>
        </w:rPr>
        <w:t>[11]</w:t>
      </w:r>
      <w:r>
        <w:fldChar w:fldCharType="end"/>
      </w:r>
      <w:r>
        <w:t xml:space="preserve">, and improvements were shown when character information is combined with word embeddings via a convolutional neural network (CNN) </w:t>
      </w:r>
      <w:r>
        <w:fldChar w:fldCharType="begin" w:fldLock="1"/>
      </w:r>
      <w:r w:rsidR="007E2ED1">
        <w:instrText>ADDIN CSL_CITATION {"citationItems":[{"id":"ITEM-1","itemData":{"author":[{"dropping-particle":"","family":"Ma","given":"Xuezhe","non-dropping-particle":"","parse-names":false,"suffix":""},{"dropping-particle":"","family":"Hovy","given":"Eduard H","non-dropping-particle":"","parse-names":false,"suffix":""}],"container-title":"CoRR","id":"ITEM-1","issued":{"date-parts":[["2016"]]},"title":"End-to-end Sequence Labeling via Bi-directional LSTM-CNNs-CRF","type":"article-journal","volume":"abs/1603.0"},"uris":["http://www.mendeley.com/documents/?uuid=f26f27fb-9da7-43e8-9a62-32f3a01d5f66"]}],"mendeley":{"formattedCitation":"[12]","plainTextFormattedCitation":"[12]","previouslyFormattedCitation":"[11]"},"properties":{"noteIndex":0},"schema":"https://github.com/citation-style-language/schema/raw/master/csl-citation.json"}</w:instrText>
      </w:r>
      <w:r>
        <w:fldChar w:fldCharType="separate"/>
      </w:r>
      <w:r w:rsidR="007E2ED1" w:rsidRPr="007E2ED1">
        <w:rPr>
          <w:noProof/>
        </w:rPr>
        <w:t>[12]</w:t>
      </w:r>
      <w:r>
        <w:fldChar w:fldCharType="end"/>
      </w:r>
      <w:r>
        <w:t xml:space="preserve">. </w:t>
      </w:r>
    </w:p>
    <w:p w:rsidR="00CA5CAA" w:rsidRDefault="00CA5CAA" w:rsidP="00CA5CAA">
      <w:pPr>
        <w:pStyle w:val="BLevelTwoHeader"/>
      </w:pPr>
      <w:r>
        <w:t>Dataset</w:t>
      </w:r>
    </w:p>
    <w:p w:rsidR="00CA5CAA" w:rsidRDefault="00CA5CAA" w:rsidP="004D7ADD">
      <w:pPr>
        <w:pStyle w:val="CLevelThreeHeader"/>
      </w:pPr>
      <w:r>
        <w:t>Source Corpora</w:t>
      </w:r>
    </w:p>
    <w:p w:rsidR="00D93797" w:rsidRDefault="006818FC" w:rsidP="006818FC">
      <w:pPr>
        <w:pStyle w:val="DBodyText"/>
      </w:pPr>
      <w:r>
        <w:t xml:space="preserve">We created two source corpora for the sentence detection task. The first dataset was drawn from the </w:t>
      </w:r>
      <w:r w:rsidR="00CA5CAA">
        <w:t xml:space="preserve">MIMIC-III (Medical Information Mart for Intensive Care) corpus </w:t>
      </w:r>
      <w:r w:rsidR="00CA5CAA">
        <w:fldChar w:fldCharType="begin" w:fldLock="1"/>
      </w:r>
      <w:r w:rsidR="007E2ED1">
        <w:instrText>ADDIN CSL_CITATION {"citationItems":[{"id":"ITEM-1","itemData":{"DOI":"10.1038/sdata.2016.35","ISSN":"2052-4463","abstract":"MIMIC-III, a freely accessible critical care database","author":[{"dropping-particle":"","family":"Johnson","given":"Alistair E.W.","non-dropping-particle":"","parse-names":false,"suffix":""},{"dropping-particle":"","family":"Pollard","given":"Tom J.","non-dropping-particle":"","parse-names":false,"suffix":""},{"dropping-particle":"","family":"Shen","given":"Lu","non-dropping-particle":"","parse-names":false,"suffix":""},{"dropping-particle":"","family":"Lehman","given":"Li-wei H.","non-dropping-particle":"","parse-names":false,"suffix":""},{"dropping-particle":"","family":"Feng","given":"Mengling","non-dropping-particle":"","parse-names":false,"suffix":""},{"dropping-particle":"","family":"Ghassemi","given":"Mohammad","non-dropping-particle":"","parse-names":false,"suffix":""},{"dropping-particle":"","family":"Moody","given":"Benjamin","non-dropping-particle":"","parse-names":false,"suffix":""},{"dropping-particle":"","family":"Szolovits","given":"Peter","non-dropping-particle":"","parse-names":false,"suffix":""},{"dropping-particle":"","family":"Anthony Celi","given":"Leo","non-dropping-particle":"","parse-names":false,"suffix":""},{"dropping-particle":"","family":"Mark","given":"Roger G.","non-dropping-particle":"","parse-names":false,"suffix":""}],"container-title":"Scientific Data","id":"ITEM-1","issued":{"date-parts":[["2016","5","24"]]},"page":"160035","publisher":"Nature Publishing Group","title":"MIMIC-III, a freely accessible critical care database","type":"article-journal","volume":"3"},"uris":["http://www.mendeley.com/documents/?uuid=f450c948-047b-3f9f-9f0f-2e11c11e3475"]}],"mendeley":{"formattedCitation":"[13]","plainTextFormattedCitation":"[13]","previouslyFormattedCitation":"[12]"},"properties":{"noteIndex":0},"schema":"https://github.com/citation-style-language/schema/raw/master/csl-citation.json"}</w:instrText>
      </w:r>
      <w:r w:rsidR="00CA5CAA">
        <w:fldChar w:fldCharType="separate"/>
      </w:r>
      <w:r w:rsidR="007E2ED1" w:rsidRPr="007E2ED1">
        <w:rPr>
          <w:noProof/>
        </w:rPr>
        <w:t>[13]</w:t>
      </w:r>
      <w:r w:rsidR="00CA5CAA">
        <w:fldChar w:fldCharType="end"/>
      </w:r>
      <w:r>
        <w:t>, which</w:t>
      </w:r>
      <w:r w:rsidR="00D63DB3">
        <w:t xml:space="preserve"> is</w:t>
      </w:r>
      <w:r>
        <w:t xml:space="preserve"> a de-identified corpus of notes associated with 40,000 intensive care unit patients at the Beth Israel Deaconess Medical Center between 2001 and 2012. Our MIMIC corpus consisted of </w:t>
      </w:r>
      <w:r w:rsidR="0022532C">
        <w:t>749</w:t>
      </w:r>
      <w:r>
        <w:t xml:space="preserve"> randomly sampled notes. </w:t>
      </w:r>
      <w:r w:rsidR="0050396C">
        <w:t xml:space="preserve">A </w:t>
      </w:r>
      <w:r>
        <w:t>second</w:t>
      </w:r>
      <w:r w:rsidR="0050396C">
        <w:t>, target</w:t>
      </w:r>
      <w:r>
        <w:t xml:space="preserve"> dataset was drawn from the Fairview Health Services </w:t>
      </w:r>
      <w:r w:rsidR="00CA5CAA">
        <w:t xml:space="preserve">(FV) </w:t>
      </w:r>
      <w:r>
        <w:t>E</w:t>
      </w:r>
      <w:r w:rsidR="00CA5CAA">
        <w:t>H</w:t>
      </w:r>
      <w:r>
        <w:t xml:space="preserve">R system. We used a stratified sampling strategy, in which we created batches of </w:t>
      </w:r>
      <w:r w:rsidR="00CF2D1E">
        <w:t>56</w:t>
      </w:r>
      <w:r>
        <w:t xml:space="preserve"> notes </w:t>
      </w:r>
      <w:r w:rsidR="00466D05">
        <w:t xml:space="preserve">made up of </w:t>
      </w:r>
      <w:r w:rsidR="0049672A">
        <w:t>16</w:t>
      </w:r>
      <w:r>
        <w:t xml:space="preserve"> inpatient notes</w:t>
      </w:r>
      <w:r w:rsidR="00466D05">
        <w:t xml:space="preserve"> and 40 outpatient notes.</w:t>
      </w:r>
      <w:r>
        <w:t xml:space="preserve"> </w:t>
      </w:r>
      <w:r w:rsidR="00466D05">
        <w:t xml:space="preserve">The inpatient notes </w:t>
      </w:r>
      <w:r>
        <w:t xml:space="preserve">were selected proportional to the distribution of note type (Table </w:t>
      </w:r>
      <w:r w:rsidR="00A9547A">
        <w:t>2</w:t>
      </w:r>
      <w:r>
        <w:t xml:space="preserve">) and </w:t>
      </w:r>
      <w:r w:rsidR="00466D05">
        <w:t xml:space="preserve">the </w:t>
      </w:r>
      <w:r>
        <w:t xml:space="preserve">outpatient notes were selected proportional to the distribution of department (Table </w:t>
      </w:r>
      <w:r w:rsidR="00A9547A">
        <w:t>3</w:t>
      </w:r>
      <w:r>
        <w:t>). A total of 9</w:t>
      </w:r>
      <w:r w:rsidR="00211E03">
        <w:t>5</w:t>
      </w:r>
      <w:r>
        <w:t>2 notes from FV were used, 1</w:t>
      </w:r>
      <w:r w:rsidR="00211E03">
        <w:t>7</w:t>
      </w:r>
      <w:r>
        <w:t xml:space="preserve"> complete batches. MIMIC notes were in plaintext while FV notes were converted from RTF to plaintext</w:t>
      </w:r>
      <w:r w:rsidR="00466D05">
        <w:t xml:space="preserve"> using the BioMedICUS </w:t>
      </w:r>
      <w:r w:rsidR="004E4B4A">
        <w:t xml:space="preserve">system </w:t>
      </w:r>
      <w:r w:rsidR="004E4B4A">
        <w:fldChar w:fldCharType="begin" w:fldLock="1"/>
      </w:r>
      <w:r w:rsidR="007E2ED1">
        <w:instrText>ADDIN CSL_CITATION {"citationItems":[{"id":"ITEM-1","itemData":{"URL":"https://nlpie.github.io/biomedicus/","accessed":{"date-parts":[["2018","11","17"]]},"id":"ITEM-1","issued":{"date-parts":[["0"]]},"title":"BioMedICUS","type":"webpage"},"uris":["http://www.mendeley.com/documents/?uuid=1ee07c9d-490e-3106-bd25-26657acdeb70"]}],"mendeley":{"formattedCitation":"[14]","plainTextFormattedCitation":"[14]","previouslyFormattedCitation":"[13]"},"properties":{"noteIndex":0},"schema":"https://github.com/citation-style-language/schema/raw/master/csl-citation.json"}</w:instrText>
      </w:r>
      <w:r w:rsidR="004E4B4A">
        <w:fldChar w:fldCharType="separate"/>
      </w:r>
      <w:r w:rsidR="007E2ED1" w:rsidRPr="007E2ED1">
        <w:rPr>
          <w:noProof/>
        </w:rPr>
        <w:t>[14]</w:t>
      </w:r>
      <w:r w:rsidR="004E4B4A">
        <w:fldChar w:fldCharType="end"/>
      </w:r>
      <w:r>
        <w:t>.</w:t>
      </w:r>
      <w:r w:rsidR="007F5064">
        <w:t xml:space="preserve"> </w:t>
      </w:r>
      <w:r w:rsidR="00D16AAA">
        <w:t>The MIMIC corpus used in this study contains a total of 315,797 tokens, and the FV corpus contained 415,112 tokens.</w:t>
      </w:r>
    </w:p>
    <w:p w:rsidR="00DF53B3" w:rsidRDefault="00DF53B3" w:rsidP="006818FC">
      <w:pPr>
        <w:pStyle w:val="DBodyText"/>
      </w:pPr>
    </w:p>
    <w:p w:rsidR="006818FC" w:rsidRDefault="006818FC" w:rsidP="006818FC">
      <w:pPr>
        <w:pStyle w:val="DTableTitle"/>
      </w:pPr>
      <w:r w:rsidRPr="005C35B6">
        <w:t xml:space="preserve">Table </w:t>
      </w:r>
      <w:r>
        <w:t xml:space="preserve">2 – Inpatient </w:t>
      </w:r>
      <w:r w:rsidR="00E1193B">
        <w:t>n</w:t>
      </w:r>
      <w:r>
        <w:t xml:space="preserve">ote </w:t>
      </w:r>
      <w:r w:rsidR="00E1193B">
        <w:t>t</w:t>
      </w:r>
      <w:r>
        <w:t xml:space="preserve">ypes per </w:t>
      </w:r>
      <w:r w:rsidR="004E4B4A">
        <w:t xml:space="preserve">FV </w:t>
      </w:r>
      <w:r w:rsidR="00E1193B">
        <w:t>b</w:t>
      </w:r>
      <w:r>
        <w:t>atch</w:t>
      </w:r>
    </w:p>
    <w:tbl>
      <w:tblPr>
        <w:tblW w:w="0" w:type="auto"/>
        <w:jc w:val="center"/>
        <w:tblLayout w:type="fixed"/>
        <w:tblLook w:val="0000" w:firstRow="0" w:lastRow="0" w:firstColumn="0" w:lastColumn="0" w:noHBand="0" w:noVBand="0"/>
      </w:tblPr>
      <w:tblGrid>
        <w:gridCol w:w="1800"/>
        <w:gridCol w:w="990"/>
      </w:tblGrid>
      <w:tr w:rsidR="006818FC" w:rsidRPr="00FB07AC" w:rsidTr="00F53449">
        <w:trPr>
          <w:jc w:val="center"/>
        </w:trPr>
        <w:tc>
          <w:tcPr>
            <w:tcW w:w="1800" w:type="dxa"/>
            <w:tcBorders>
              <w:top w:val="single" w:sz="4" w:space="0" w:color="auto"/>
              <w:bottom w:val="single" w:sz="4" w:space="0" w:color="auto"/>
            </w:tcBorders>
            <w:vAlign w:val="bottom"/>
          </w:tcPr>
          <w:p w:rsidR="006818FC" w:rsidRPr="00677D7A" w:rsidRDefault="006818FC" w:rsidP="00F53449">
            <w:pPr>
              <w:rPr>
                <w:b/>
                <w:noProof/>
              </w:rPr>
            </w:pPr>
            <w:r>
              <w:rPr>
                <w:b/>
                <w:noProof/>
              </w:rPr>
              <w:t>Note Type</w:t>
            </w:r>
          </w:p>
        </w:tc>
        <w:tc>
          <w:tcPr>
            <w:tcW w:w="990" w:type="dxa"/>
            <w:tcBorders>
              <w:top w:val="single" w:sz="4" w:space="0" w:color="auto"/>
              <w:bottom w:val="single" w:sz="4" w:space="0" w:color="auto"/>
            </w:tcBorders>
            <w:vAlign w:val="bottom"/>
          </w:tcPr>
          <w:p w:rsidR="006818FC" w:rsidRPr="00677D7A" w:rsidRDefault="006818FC" w:rsidP="00F53449">
            <w:pPr>
              <w:rPr>
                <w:b/>
                <w:noProof/>
              </w:rPr>
            </w:pPr>
            <w:r>
              <w:rPr>
                <w:b/>
                <w:noProof/>
              </w:rPr>
              <w:t>Number</w:t>
            </w:r>
          </w:p>
        </w:tc>
      </w:tr>
      <w:tr w:rsidR="006818FC" w:rsidRPr="00FB07AC" w:rsidTr="00F53449">
        <w:trPr>
          <w:jc w:val="center"/>
        </w:trPr>
        <w:tc>
          <w:tcPr>
            <w:tcW w:w="1800" w:type="dxa"/>
            <w:tcBorders>
              <w:top w:val="single" w:sz="4" w:space="0" w:color="auto"/>
            </w:tcBorders>
          </w:tcPr>
          <w:p w:rsidR="006818FC" w:rsidRPr="00677D7A" w:rsidRDefault="006818FC" w:rsidP="00F53449">
            <w:pPr>
              <w:rPr>
                <w:noProof/>
              </w:rPr>
            </w:pPr>
            <w:r>
              <w:rPr>
                <w:noProof/>
              </w:rPr>
              <w:t>Progress Note</w:t>
            </w:r>
          </w:p>
        </w:tc>
        <w:tc>
          <w:tcPr>
            <w:tcW w:w="990" w:type="dxa"/>
            <w:tcBorders>
              <w:top w:val="single" w:sz="4" w:space="0" w:color="auto"/>
            </w:tcBorders>
          </w:tcPr>
          <w:p w:rsidR="006818FC" w:rsidRPr="00677D7A" w:rsidRDefault="006818FC" w:rsidP="00F53449">
            <w:pPr>
              <w:rPr>
                <w:noProof/>
              </w:rPr>
            </w:pPr>
            <w:r>
              <w:rPr>
                <w:noProof/>
              </w:rPr>
              <w:t>3</w:t>
            </w:r>
          </w:p>
        </w:tc>
      </w:tr>
      <w:tr w:rsidR="006818FC" w:rsidRPr="00FB07AC" w:rsidTr="00F53449">
        <w:trPr>
          <w:jc w:val="center"/>
        </w:trPr>
        <w:tc>
          <w:tcPr>
            <w:tcW w:w="1800" w:type="dxa"/>
          </w:tcPr>
          <w:p w:rsidR="006818FC" w:rsidRPr="00677D7A" w:rsidRDefault="006818FC" w:rsidP="00F53449">
            <w:pPr>
              <w:rPr>
                <w:noProof/>
              </w:rPr>
            </w:pPr>
            <w:r>
              <w:rPr>
                <w:noProof/>
              </w:rPr>
              <w:t>Plan of Care</w:t>
            </w:r>
          </w:p>
        </w:tc>
        <w:tc>
          <w:tcPr>
            <w:tcW w:w="990" w:type="dxa"/>
          </w:tcPr>
          <w:p w:rsidR="006818FC" w:rsidRPr="00677D7A" w:rsidRDefault="006818FC" w:rsidP="00F53449">
            <w:pPr>
              <w:rPr>
                <w:noProof/>
              </w:rPr>
            </w:pPr>
            <w:r>
              <w:rPr>
                <w:noProof/>
              </w:rPr>
              <w:t>3</w:t>
            </w:r>
          </w:p>
        </w:tc>
      </w:tr>
      <w:tr w:rsidR="006818FC" w:rsidRPr="00FB07AC" w:rsidTr="00F53449">
        <w:trPr>
          <w:jc w:val="center"/>
        </w:trPr>
        <w:tc>
          <w:tcPr>
            <w:tcW w:w="1800" w:type="dxa"/>
          </w:tcPr>
          <w:p w:rsidR="006818FC" w:rsidRPr="00677D7A" w:rsidRDefault="006818FC" w:rsidP="00F53449">
            <w:pPr>
              <w:rPr>
                <w:noProof/>
              </w:rPr>
            </w:pPr>
            <w:r>
              <w:rPr>
                <w:noProof/>
              </w:rPr>
              <w:t>ED Notes</w:t>
            </w:r>
          </w:p>
        </w:tc>
        <w:tc>
          <w:tcPr>
            <w:tcW w:w="990" w:type="dxa"/>
          </w:tcPr>
          <w:p w:rsidR="006818FC" w:rsidRPr="00677D7A" w:rsidRDefault="006818FC" w:rsidP="00F53449">
            <w:pPr>
              <w:rPr>
                <w:noProof/>
              </w:rPr>
            </w:pPr>
            <w:r>
              <w:rPr>
                <w:noProof/>
              </w:rPr>
              <w:t>2</w:t>
            </w:r>
          </w:p>
        </w:tc>
      </w:tr>
      <w:tr w:rsidR="006818FC" w:rsidRPr="00FB07AC" w:rsidTr="00F53449">
        <w:trPr>
          <w:jc w:val="center"/>
        </w:trPr>
        <w:tc>
          <w:tcPr>
            <w:tcW w:w="1800" w:type="dxa"/>
            <w:tcBorders>
              <w:bottom w:val="single" w:sz="4" w:space="0" w:color="auto"/>
            </w:tcBorders>
          </w:tcPr>
          <w:p w:rsidR="006818FC" w:rsidRPr="00677D7A" w:rsidRDefault="001A6E20" w:rsidP="00F53449">
            <w:pPr>
              <w:rPr>
                <w:noProof/>
              </w:rPr>
            </w:pPr>
            <w:r>
              <w:rPr>
                <w:noProof/>
              </w:rPr>
              <w:t>8</w:t>
            </w:r>
            <w:r w:rsidR="006818FC">
              <w:rPr>
                <w:noProof/>
              </w:rPr>
              <w:t xml:space="preserve"> other note types</w:t>
            </w:r>
          </w:p>
        </w:tc>
        <w:tc>
          <w:tcPr>
            <w:tcW w:w="990" w:type="dxa"/>
            <w:tcBorders>
              <w:bottom w:val="single" w:sz="4" w:space="0" w:color="auto"/>
            </w:tcBorders>
          </w:tcPr>
          <w:p w:rsidR="006818FC" w:rsidRPr="00677D7A" w:rsidRDefault="006818FC" w:rsidP="00F53449">
            <w:pPr>
              <w:rPr>
                <w:noProof/>
              </w:rPr>
            </w:pPr>
            <w:r>
              <w:rPr>
                <w:noProof/>
              </w:rPr>
              <w:t>1 each</w:t>
            </w:r>
          </w:p>
        </w:tc>
      </w:tr>
    </w:tbl>
    <w:p w:rsidR="006818FC" w:rsidRDefault="006818FC" w:rsidP="006818FC">
      <w:pPr>
        <w:pStyle w:val="DTableTitle"/>
      </w:pPr>
      <w:r>
        <w:t xml:space="preserve">Table 3 – Outpatient </w:t>
      </w:r>
      <w:r w:rsidR="00E1193B">
        <w:t>n</w:t>
      </w:r>
      <w:r>
        <w:t xml:space="preserve">ote </w:t>
      </w:r>
      <w:r w:rsidR="00E1193B">
        <w:t>d</w:t>
      </w:r>
      <w:r>
        <w:t xml:space="preserve">epartments per </w:t>
      </w:r>
      <w:r w:rsidR="004E4B4A">
        <w:t xml:space="preserve">FV </w:t>
      </w:r>
      <w:r w:rsidR="00E1193B">
        <w:t>b</w:t>
      </w:r>
      <w:r>
        <w:t>atch</w:t>
      </w:r>
    </w:p>
    <w:tbl>
      <w:tblPr>
        <w:tblW w:w="0" w:type="auto"/>
        <w:jc w:val="center"/>
        <w:tblLayout w:type="fixed"/>
        <w:tblLook w:val="0000" w:firstRow="0" w:lastRow="0" w:firstColumn="0" w:lastColumn="0" w:noHBand="0" w:noVBand="0"/>
      </w:tblPr>
      <w:tblGrid>
        <w:gridCol w:w="2520"/>
        <w:gridCol w:w="990"/>
      </w:tblGrid>
      <w:tr w:rsidR="006818FC" w:rsidRPr="00FB07AC" w:rsidTr="00F53449">
        <w:trPr>
          <w:jc w:val="center"/>
        </w:trPr>
        <w:tc>
          <w:tcPr>
            <w:tcW w:w="2520" w:type="dxa"/>
            <w:tcBorders>
              <w:top w:val="single" w:sz="4" w:space="0" w:color="auto"/>
              <w:bottom w:val="single" w:sz="4" w:space="0" w:color="auto"/>
            </w:tcBorders>
            <w:vAlign w:val="bottom"/>
          </w:tcPr>
          <w:p w:rsidR="006818FC" w:rsidRPr="00677D7A" w:rsidRDefault="006818FC" w:rsidP="00F53449">
            <w:pPr>
              <w:rPr>
                <w:b/>
                <w:noProof/>
              </w:rPr>
            </w:pPr>
            <w:r>
              <w:rPr>
                <w:b/>
                <w:noProof/>
              </w:rPr>
              <w:t>Note Type</w:t>
            </w:r>
          </w:p>
        </w:tc>
        <w:tc>
          <w:tcPr>
            <w:tcW w:w="990" w:type="dxa"/>
            <w:tcBorders>
              <w:top w:val="single" w:sz="4" w:space="0" w:color="auto"/>
              <w:bottom w:val="single" w:sz="4" w:space="0" w:color="auto"/>
            </w:tcBorders>
            <w:vAlign w:val="bottom"/>
          </w:tcPr>
          <w:p w:rsidR="006818FC" w:rsidRPr="00677D7A" w:rsidRDefault="006818FC" w:rsidP="00F53449">
            <w:pPr>
              <w:rPr>
                <w:b/>
                <w:noProof/>
              </w:rPr>
            </w:pPr>
            <w:r>
              <w:rPr>
                <w:b/>
                <w:noProof/>
              </w:rPr>
              <w:t>Number</w:t>
            </w:r>
          </w:p>
        </w:tc>
      </w:tr>
      <w:tr w:rsidR="006818FC" w:rsidRPr="00FB07AC" w:rsidTr="00F53449">
        <w:trPr>
          <w:jc w:val="center"/>
        </w:trPr>
        <w:tc>
          <w:tcPr>
            <w:tcW w:w="2520" w:type="dxa"/>
            <w:tcBorders>
              <w:top w:val="single" w:sz="4" w:space="0" w:color="auto"/>
            </w:tcBorders>
          </w:tcPr>
          <w:p w:rsidR="006818FC" w:rsidRPr="00677D7A" w:rsidRDefault="006818FC" w:rsidP="00F53449">
            <w:pPr>
              <w:rPr>
                <w:noProof/>
              </w:rPr>
            </w:pPr>
            <w:r>
              <w:rPr>
                <w:noProof/>
              </w:rPr>
              <w:t>Family Medicine</w:t>
            </w:r>
          </w:p>
        </w:tc>
        <w:tc>
          <w:tcPr>
            <w:tcW w:w="990" w:type="dxa"/>
            <w:tcBorders>
              <w:top w:val="single" w:sz="4" w:space="0" w:color="auto"/>
            </w:tcBorders>
          </w:tcPr>
          <w:p w:rsidR="006818FC" w:rsidRPr="00677D7A" w:rsidRDefault="006818FC" w:rsidP="00F53449">
            <w:pPr>
              <w:rPr>
                <w:noProof/>
              </w:rPr>
            </w:pPr>
            <w:r>
              <w:rPr>
                <w:noProof/>
              </w:rPr>
              <w:t>5</w:t>
            </w:r>
          </w:p>
        </w:tc>
      </w:tr>
      <w:tr w:rsidR="006818FC" w:rsidRPr="00FB07AC" w:rsidTr="00F53449">
        <w:trPr>
          <w:jc w:val="center"/>
        </w:trPr>
        <w:tc>
          <w:tcPr>
            <w:tcW w:w="2520" w:type="dxa"/>
          </w:tcPr>
          <w:p w:rsidR="006818FC" w:rsidRPr="00677D7A" w:rsidRDefault="006818FC" w:rsidP="00F53449">
            <w:pPr>
              <w:rPr>
                <w:noProof/>
              </w:rPr>
            </w:pPr>
            <w:r>
              <w:rPr>
                <w:noProof/>
              </w:rPr>
              <w:t>Internal Medicine</w:t>
            </w:r>
          </w:p>
        </w:tc>
        <w:tc>
          <w:tcPr>
            <w:tcW w:w="990" w:type="dxa"/>
          </w:tcPr>
          <w:p w:rsidR="006818FC" w:rsidRPr="00677D7A" w:rsidRDefault="006818FC" w:rsidP="00F53449">
            <w:pPr>
              <w:rPr>
                <w:noProof/>
              </w:rPr>
            </w:pPr>
            <w:r>
              <w:rPr>
                <w:noProof/>
              </w:rPr>
              <w:t>4</w:t>
            </w:r>
          </w:p>
        </w:tc>
      </w:tr>
      <w:tr w:rsidR="006818FC" w:rsidRPr="00FB07AC" w:rsidTr="00F53449">
        <w:trPr>
          <w:jc w:val="center"/>
        </w:trPr>
        <w:tc>
          <w:tcPr>
            <w:tcW w:w="2520" w:type="dxa"/>
          </w:tcPr>
          <w:p w:rsidR="006818FC" w:rsidRPr="00677D7A" w:rsidRDefault="006818FC" w:rsidP="00F53449">
            <w:pPr>
              <w:rPr>
                <w:noProof/>
              </w:rPr>
            </w:pPr>
            <w:r>
              <w:rPr>
                <w:noProof/>
              </w:rPr>
              <w:t>Pediatrics</w:t>
            </w:r>
          </w:p>
        </w:tc>
        <w:tc>
          <w:tcPr>
            <w:tcW w:w="990" w:type="dxa"/>
          </w:tcPr>
          <w:p w:rsidR="006818FC" w:rsidRPr="00677D7A" w:rsidRDefault="006818FC" w:rsidP="00F53449">
            <w:pPr>
              <w:rPr>
                <w:noProof/>
              </w:rPr>
            </w:pPr>
            <w:r>
              <w:rPr>
                <w:noProof/>
              </w:rPr>
              <w:t>3</w:t>
            </w:r>
          </w:p>
        </w:tc>
      </w:tr>
      <w:tr w:rsidR="006818FC" w:rsidRPr="00FB07AC" w:rsidTr="00F53449">
        <w:trPr>
          <w:jc w:val="center"/>
        </w:trPr>
        <w:tc>
          <w:tcPr>
            <w:tcW w:w="2520" w:type="dxa"/>
          </w:tcPr>
          <w:p w:rsidR="006818FC" w:rsidRPr="00677D7A" w:rsidRDefault="006818FC" w:rsidP="00F53449">
            <w:pPr>
              <w:rPr>
                <w:noProof/>
              </w:rPr>
            </w:pPr>
            <w:r>
              <w:rPr>
                <w:noProof/>
              </w:rPr>
              <w:t>Obstetrics and Gynecology</w:t>
            </w:r>
          </w:p>
        </w:tc>
        <w:tc>
          <w:tcPr>
            <w:tcW w:w="990" w:type="dxa"/>
          </w:tcPr>
          <w:p w:rsidR="006818FC" w:rsidRPr="00677D7A" w:rsidRDefault="006818FC" w:rsidP="00F53449">
            <w:pPr>
              <w:rPr>
                <w:noProof/>
              </w:rPr>
            </w:pPr>
            <w:r>
              <w:rPr>
                <w:noProof/>
              </w:rPr>
              <w:t>3</w:t>
            </w:r>
          </w:p>
        </w:tc>
      </w:tr>
      <w:tr w:rsidR="006818FC" w:rsidRPr="00FB07AC" w:rsidTr="00F53449">
        <w:trPr>
          <w:jc w:val="center"/>
        </w:trPr>
        <w:tc>
          <w:tcPr>
            <w:tcW w:w="2520" w:type="dxa"/>
          </w:tcPr>
          <w:p w:rsidR="006818FC" w:rsidRPr="00677D7A" w:rsidRDefault="006818FC" w:rsidP="00F53449">
            <w:pPr>
              <w:rPr>
                <w:noProof/>
              </w:rPr>
            </w:pPr>
            <w:r>
              <w:rPr>
                <w:noProof/>
              </w:rPr>
              <w:t>Hematology and Oncology</w:t>
            </w:r>
          </w:p>
        </w:tc>
        <w:tc>
          <w:tcPr>
            <w:tcW w:w="990" w:type="dxa"/>
          </w:tcPr>
          <w:p w:rsidR="006818FC" w:rsidRPr="00677D7A" w:rsidRDefault="006818FC" w:rsidP="00F53449">
            <w:pPr>
              <w:rPr>
                <w:noProof/>
              </w:rPr>
            </w:pPr>
            <w:r>
              <w:rPr>
                <w:noProof/>
              </w:rPr>
              <w:t>3</w:t>
            </w:r>
          </w:p>
        </w:tc>
      </w:tr>
      <w:tr w:rsidR="006818FC" w:rsidRPr="00FB07AC" w:rsidTr="00F53449">
        <w:trPr>
          <w:jc w:val="center"/>
        </w:trPr>
        <w:tc>
          <w:tcPr>
            <w:tcW w:w="2520" w:type="dxa"/>
          </w:tcPr>
          <w:p w:rsidR="006818FC" w:rsidRPr="00677D7A" w:rsidRDefault="006818FC" w:rsidP="00F53449">
            <w:pPr>
              <w:rPr>
                <w:noProof/>
              </w:rPr>
            </w:pPr>
            <w:r>
              <w:rPr>
                <w:noProof/>
              </w:rPr>
              <w:t>Urgent Care</w:t>
            </w:r>
          </w:p>
        </w:tc>
        <w:tc>
          <w:tcPr>
            <w:tcW w:w="990" w:type="dxa"/>
          </w:tcPr>
          <w:p w:rsidR="006818FC" w:rsidRPr="00677D7A" w:rsidRDefault="006818FC" w:rsidP="00F53449">
            <w:pPr>
              <w:rPr>
                <w:noProof/>
              </w:rPr>
            </w:pPr>
            <w:r>
              <w:rPr>
                <w:noProof/>
              </w:rPr>
              <w:t>3</w:t>
            </w:r>
          </w:p>
        </w:tc>
      </w:tr>
      <w:tr w:rsidR="006818FC" w:rsidRPr="00FB07AC" w:rsidTr="00F53449">
        <w:trPr>
          <w:jc w:val="center"/>
        </w:trPr>
        <w:tc>
          <w:tcPr>
            <w:tcW w:w="2520" w:type="dxa"/>
          </w:tcPr>
          <w:p w:rsidR="006818FC" w:rsidRDefault="006818FC" w:rsidP="00F53449">
            <w:pPr>
              <w:rPr>
                <w:noProof/>
              </w:rPr>
            </w:pPr>
            <w:r>
              <w:rPr>
                <w:noProof/>
              </w:rPr>
              <w:t>Physical Therapy</w:t>
            </w:r>
          </w:p>
        </w:tc>
        <w:tc>
          <w:tcPr>
            <w:tcW w:w="990" w:type="dxa"/>
          </w:tcPr>
          <w:p w:rsidR="006818FC" w:rsidRDefault="006818FC" w:rsidP="00F53449">
            <w:pPr>
              <w:rPr>
                <w:noProof/>
              </w:rPr>
            </w:pPr>
            <w:r>
              <w:rPr>
                <w:noProof/>
              </w:rPr>
              <w:t>3</w:t>
            </w:r>
          </w:p>
        </w:tc>
      </w:tr>
      <w:tr w:rsidR="006818FC" w:rsidRPr="00FB07AC" w:rsidTr="00F53449">
        <w:trPr>
          <w:jc w:val="center"/>
        </w:trPr>
        <w:tc>
          <w:tcPr>
            <w:tcW w:w="2520" w:type="dxa"/>
          </w:tcPr>
          <w:p w:rsidR="006818FC" w:rsidRDefault="006818FC" w:rsidP="00F53449">
            <w:pPr>
              <w:rPr>
                <w:noProof/>
              </w:rPr>
            </w:pPr>
            <w:r>
              <w:rPr>
                <w:noProof/>
              </w:rPr>
              <w:t>Cardiovascular Disease</w:t>
            </w:r>
          </w:p>
        </w:tc>
        <w:tc>
          <w:tcPr>
            <w:tcW w:w="990" w:type="dxa"/>
          </w:tcPr>
          <w:p w:rsidR="006818FC" w:rsidRDefault="006818FC" w:rsidP="00F53449">
            <w:pPr>
              <w:rPr>
                <w:noProof/>
              </w:rPr>
            </w:pPr>
            <w:r>
              <w:rPr>
                <w:noProof/>
              </w:rPr>
              <w:t>3</w:t>
            </w:r>
          </w:p>
        </w:tc>
      </w:tr>
      <w:tr w:rsidR="006818FC" w:rsidRPr="00FB07AC" w:rsidTr="00F53449">
        <w:trPr>
          <w:jc w:val="center"/>
        </w:trPr>
        <w:tc>
          <w:tcPr>
            <w:tcW w:w="2520" w:type="dxa"/>
            <w:tcBorders>
              <w:bottom w:val="single" w:sz="4" w:space="0" w:color="auto"/>
            </w:tcBorders>
          </w:tcPr>
          <w:p w:rsidR="006818FC" w:rsidRDefault="006818FC" w:rsidP="00F53449">
            <w:pPr>
              <w:rPr>
                <w:noProof/>
              </w:rPr>
            </w:pPr>
            <w:r>
              <w:rPr>
                <w:noProof/>
              </w:rPr>
              <w:t>13 other departments</w:t>
            </w:r>
          </w:p>
        </w:tc>
        <w:tc>
          <w:tcPr>
            <w:tcW w:w="990" w:type="dxa"/>
            <w:tcBorders>
              <w:bottom w:val="single" w:sz="4" w:space="0" w:color="auto"/>
            </w:tcBorders>
          </w:tcPr>
          <w:p w:rsidR="006818FC" w:rsidRDefault="006818FC" w:rsidP="00F53449">
            <w:pPr>
              <w:rPr>
                <w:noProof/>
              </w:rPr>
            </w:pPr>
            <w:r>
              <w:rPr>
                <w:noProof/>
              </w:rPr>
              <w:t>1 each</w:t>
            </w:r>
          </w:p>
        </w:tc>
      </w:tr>
    </w:tbl>
    <w:p w:rsidR="00D16AAA" w:rsidRDefault="00D16AAA" w:rsidP="00D16AAA">
      <w:pPr>
        <w:pStyle w:val="CLevelThreeHeader"/>
      </w:pPr>
      <w:r>
        <w:t>Manual Annotation of Sentences</w:t>
      </w:r>
    </w:p>
    <w:p w:rsidR="00D16AAA" w:rsidRDefault="00D16AAA" w:rsidP="00D82265">
      <w:pPr>
        <w:pStyle w:val="DBodyText"/>
      </w:pPr>
      <w:r>
        <w:t xml:space="preserve">The manual annotation of sentences was performed in the BRAT Rapid Annotation Tool </w:t>
      </w:r>
      <w:r>
        <w:fldChar w:fldCharType="begin" w:fldLock="1"/>
      </w:r>
      <w:r w:rsidR="007E2ED1">
        <w:instrText>ADDIN CSL_CITATION {"citationItems":[{"id":"ITEM-1","itemData":{"URL":"http://brat.nlplab.org/","accessed":{"date-parts":[["2018","11","15"]]},"id":"ITEM-1","issued":{"date-parts":[["0"]]},"title":"brat rapid annotation tool","type":"webpage"},"uris":["http://www.mendeley.com/documents/?uuid=f2fe2876-998e-3626-b769-ce1906016fd0"]}],"mendeley":{"formattedCitation":"[15]","plainTextFormattedCitation":"[15]","previouslyFormattedCitation":"[14]"},"properties":{"noteIndex":0},"schema":"https://github.com/citation-style-language/schema/raw/master/csl-citation.json"}</w:instrText>
      </w:r>
      <w:r>
        <w:fldChar w:fldCharType="separate"/>
      </w:r>
      <w:r w:rsidR="007E2ED1" w:rsidRPr="007E2ED1">
        <w:rPr>
          <w:noProof/>
        </w:rPr>
        <w:t>[15]</w:t>
      </w:r>
      <w:r>
        <w:fldChar w:fldCharType="end"/>
      </w:r>
      <w:r>
        <w:t xml:space="preserve"> by a pair of trained annotators. Annotators were instructed to label all complete thoughts, section headers, item labels, list items, and fragments using a “Sentence” annotation. For any data that was not groupable into sentence-like units (e.g., purely numeric tables, lists of laboratory data, lines of vital signs measures, and metadata tables such as those in header information),</w:t>
      </w:r>
      <w:r w:rsidRPr="00E47AA2">
        <w:t xml:space="preserve"> </w:t>
      </w:r>
      <w:r>
        <w:t>or for any other areas of text for which annotators had low confidence in their ability to correctly label sentences, annotators were instructed to use an “Unsure” annotation. After sentences were manually annotated, the documents were tokenized and converted to tagged sequences where ‘B’ was applied to the first token in every sentence, ‘I’ was applied to the rest of the tokens in the sentence, and ‘O’ was applied to all of the tokens in the “Unsure” category.</w:t>
      </w:r>
    </w:p>
    <w:p w:rsidR="006818FC" w:rsidRDefault="006818FC" w:rsidP="006818FC">
      <w:pPr>
        <w:pStyle w:val="CLevelThreeHeader"/>
      </w:pPr>
      <w:r>
        <w:t>Cross-validation structure</w:t>
      </w:r>
    </w:p>
    <w:p w:rsidR="006818FC" w:rsidRDefault="556AA545" w:rsidP="006818FC">
      <w:pPr>
        <w:pStyle w:val="DBodyText"/>
      </w:pPr>
      <w:r>
        <w:t>To evaluate generalization error a cross-validation structure was used where 100% of the MIMIC data was used for cross-validation with 80% as a training split and 20% as a validation split; for the FV data 50% was used for cross-validation (again using an 80-20 training-validation split) and 50% was held out as an unseen test corpus. For architecture and hyper-parameter tuning, the MIMIC validation split was used. The FV cross-validation set was used for training models alone or augmenting MIMIC-trained models</w:t>
      </w:r>
      <w:r w:rsidR="00BC7535">
        <w:t>.</w:t>
      </w:r>
      <w:r>
        <w:t xml:space="preserve"> </w:t>
      </w:r>
      <w:r w:rsidR="009B2BE4">
        <w:t>During training</w:t>
      </w:r>
      <w:r w:rsidR="00FB646E">
        <w:t>,</w:t>
      </w:r>
      <w:r w:rsidR="00BC7535">
        <w:t xml:space="preserve"> the </w:t>
      </w:r>
      <w:r>
        <w:t xml:space="preserve">validation data </w:t>
      </w:r>
      <w:r w:rsidR="00BC7535">
        <w:t xml:space="preserve">was used to provide </w:t>
      </w:r>
      <w:r>
        <w:t>validation loss</w:t>
      </w:r>
      <w:r w:rsidR="00F61FAC">
        <w:t xml:space="preserve"> as an estimation of generalization error</w:t>
      </w:r>
      <w:r>
        <w:t xml:space="preserve"> </w:t>
      </w:r>
      <w:r w:rsidR="006C005D">
        <w:t>to determine when the model has stopped improving</w:t>
      </w:r>
      <w:r w:rsidR="005F22A3">
        <w:t xml:space="preserve"> </w:t>
      </w:r>
      <w:r w:rsidR="00C37E7C">
        <w:t xml:space="preserve">and training </w:t>
      </w:r>
      <w:r w:rsidR="00D31F93">
        <w:t>could</w:t>
      </w:r>
      <w:r w:rsidR="00C37E7C">
        <w:t xml:space="preserve"> be halted.</w:t>
      </w:r>
    </w:p>
    <w:p w:rsidR="003B10A3" w:rsidRDefault="003B10A3" w:rsidP="006818FC">
      <w:pPr>
        <w:pStyle w:val="BLevelTwoHeader"/>
      </w:pPr>
      <w:r>
        <w:t>Model Architecture</w:t>
      </w:r>
    </w:p>
    <w:p w:rsidR="003B10A3" w:rsidRDefault="00F1246B" w:rsidP="003B10A3">
      <w:pPr>
        <w:pStyle w:val="DBodyText"/>
      </w:pPr>
      <w:r>
        <w:t xml:space="preserve">Words </w:t>
      </w:r>
      <w:r w:rsidR="003B10A3">
        <w:t xml:space="preserve">were </w:t>
      </w:r>
      <w:r>
        <w:t xml:space="preserve">tokenized according to rules that </w:t>
      </w:r>
      <w:r w:rsidR="003B10A3">
        <w:t xml:space="preserve">split whenever </w:t>
      </w:r>
      <w:r w:rsidR="00025139">
        <w:t>any</w:t>
      </w:r>
      <w:r w:rsidR="003B10A3">
        <w:t xml:space="preserve"> whitespace, any symbols</w:t>
      </w:r>
      <w:r w:rsidR="00A805F2">
        <w:t>,</w:t>
      </w:r>
      <w:r w:rsidR="003B10A3">
        <w:t xml:space="preserve"> or</w:t>
      </w:r>
      <w:r w:rsidR="00A805F2">
        <w:t xml:space="preserve"> any</w:t>
      </w:r>
      <w:r w:rsidR="003B10A3">
        <w:t xml:space="preserve"> digits</w:t>
      </w:r>
      <w:r w:rsidR="00025139">
        <w:t xml:space="preserve"> are encountered</w:t>
      </w:r>
      <w:r w:rsidR="003B10A3">
        <w:t xml:space="preserve">. Words were represented using a 300-dimension word embedding trained using the Facebook </w:t>
      </w:r>
      <w:proofErr w:type="spellStart"/>
      <w:r w:rsidR="003B10A3">
        <w:t>fastText</w:t>
      </w:r>
      <w:proofErr w:type="spellEnd"/>
      <w:r w:rsidR="003B10A3">
        <w:t xml:space="preserve"> software package </w:t>
      </w:r>
      <w:r w:rsidR="00C83BD7">
        <w:fldChar w:fldCharType="begin" w:fldLock="1"/>
      </w:r>
      <w:r w:rsidR="007E2ED1">
        <w:instrText>ADDIN CSL_CITATION {"citationItems":[{"id":"ITEM-1","itemData":{"author":[{"dropping-particle":"","family":"Bojanowski","given":"Piotr","non-dropping-particle":"","parse-names":false,"suffix":""},{"dropping-particle":"","family":"Grave","given":"Edouard","non-dropping-particle":"","parse-names":false,"suffix":""},{"dropping-particle":"","family":"Joulin","given":"Armand","non-dropping-particle":"","parse-names":false,"suffix":""},{"dropping-particle":"","family":"Mikolov","given":"Tomas","non-dropping-particle":"","parse-names":false,"suffix":""}],"container-title":"CoRR","id":"ITEM-1","issued":{"date-parts":[["2016"]]},"title":"Enriching Word Vectors with Subword Information","type":"article-journal","volume":"abs/1607.0"},"uris":["http://www.mendeley.com/documents/?uuid=3fae8ae1-07f8-4ded-9434-f288a32a95ae"]}],"mendeley":{"formattedCitation":"[16]","plainTextFormattedCitation":"[16]","previouslyFormattedCitation":"[15]"},"properties":{"noteIndex":0},"schema":"https://github.com/citation-style-language/schema/raw/master/csl-citation.json"}</w:instrText>
      </w:r>
      <w:r w:rsidR="00C83BD7">
        <w:fldChar w:fldCharType="separate"/>
      </w:r>
      <w:r w:rsidR="007E2ED1" w:rsidRPr="007E2ED1">
        <w:rPr>
          <w:noProof/>
        </w:rPr>
        <w:t>[16]</w:t>
      </w:r>
      <w:r w:rsidR="00C83BD7">
        <w:fldChar w:fldCharType="end"/>
      </w:r>
      <w:r w:rsidR="00A805F2">
        <w:t xml:space="preserve"> on the entire MIMIC-III corpus</w:t>
      </w:r>
      <w:r w:rsidR="00C77049">
        <w:t xml:space="preserve"> preprocessed to </w:t>
      </w:r>
      <w:r w:rsidR="00FA2210">
        <w:t>replace</w:t>
      </w:r>
      <w:r w:rsidR="00C77049">
        <w:t xml:space="preserve"> any symbols</w:t>
      </w:r>
      <w:r w:rsidR="00FA2210">
        <w:t xml:space="preserve"> with spaces</w:t>
      </w:r>
      <w:r w:rsidR="00C77049">
        <w:t xml:space="preserve">, </w:t>
      </w:r>
      <w:r w:rsidR="00361341">
        <w:t xml:space="preserve">to replace </w:t>
      </w:r>
      <w:r w:rsidR="00B16F9F">
        <w:t xml:space="preserve">digits </w:t>
      </w:r>
      <w:r w:rsidR="00C77049">
        <w:t>with their English names</w:t>
      </w:r>
      <w:r w:rsidR="00B16F9F">
        <w:t xml:space="preserve"> in separate words</w:t>
      </w:r>
      <w:r w:rsidR="003B365C">
        <w:t xml:space="preserve">, i.e. “1.23” to “one two three”, and </w:t>
      </w:r>
      <w:r w:rsidR="00361341">
        <w:t xml:space="preserve">to lowercase </w:t>
      </w:r>
      <w:r w:rsidR="00FA2210">
        <w:t>all letters</w:t>
      </w:r>
      <w:r w:rsidR="003B10A3">
        <w:t>. These word embeddings are enriched by summing with the results of a convolutional neural network (CNN) on 30-dimension character embeddings which are learned during training</w:t>
      </w:r>
      <w:r w:rsidR="00925455">
        <w:t xml:space="preserve"> on the SBD tagging task</w:t>
      </w:r>
      <w:r w:rsidR="003B10A3">
        <w:t xml:space="preserve">. The CNN is made up of one convolutional layer with 300 filters, each looking at </w:t>
      </w:r>
      <w:r w:rsidR="00FA2210">
        <w:t xml:space="preserve">the </w:t>
      </w:r>
      <w:r w:rsidR="003B10A3">
        <w:t xml:space="preserve">sequences of </w:t>
      </w:r>
      <w:r w:rsidR="00FA2210">
        <w:t xml:space="preserve">the embeddings of </w:t>
      </w:r>
      <w:r w:rsidR="00E03661">
        <w:t>four</w:t>
      </w:r>
      <w:r w:rsidR="00FA2210">
        <w:t xml:space="preserve"> </w:t>
      </w:r>
      <w:r w:rsidR="003B10A3">
        <w:t>characte</w:t>
      </w:r>
      <w:r w:rsidR="00FA2210">
        <w:t>rs</w:t>
      </w:r>
      <w:r w:rsidR="003B10A3">
        <w:t>, followed by global max pooling. The results of the CNN func</w:t>
      </w:r>
      <w:r w:rsidR="003B10A3">
        <w:lastRenderedPageBreak/>
        <w:t xml:space="preserve">tion as an adjustment vector to the original word vector for the sentence </w:t>
      </w:r>
      <w:r w:rsidR="00FA2210">
        <w:t>tagging</w:t>
      </w:r>
      <w:r w:rsidR="003B10A3">
        <w:t xml:space="preserve"> task. The input of the character CNN is all characters of the word (including symbols and whitespace) along with a context of up to seven characters between the previous word and the word; and up to seven characters between the word and the next word. Special characters were inserted for the end of the previous word, the beginning of the next word, the beginning and end of the word, as well as the beginning and end of the </w:t>
      </w:r>
      <w:r w:rsidR="00925455">
        <w:t>document</w:t>
      </w:r>
      <w:r w:rsidR="003B10A3">
        <w:t xml:space="preserve"> if those fell into the context. Using all of the original characters, including whitespace, allows structural information about the document’s formatting to be used for </w:t>
      </w:r>
      <w:r w:rsidR="006818FC">
        <w:t>SBD</w:t>
      </w:r>
      <w:r w:rsidR="003B10A3">
        <w:t xml:space="preserve"> decisions.</w:t>
      </w:r>
      <w:r w:rsidR="001644E8">
        <w:t xml:space="preserve"> After the word representation is constructed the results are batch-normalized before </w:t>
      </w:r>
      <w:r>
        <w:t xml:space="preserve">passing to the </w:t>
      </w:r>
      <w:r w:rsidR="006818FC">
        <w:t xml:space="preserve">next </w:t>
      </w:r>
      <w:r>
        <w:t>layer.</w:t>
      </w:r>
      <w:r w:rsidR="003C0603">
        <w:t xml:space="preserve"> The architecture of the word representation layer is shown in Figure 1.</w:t>
      </w:r>
    </w:p>
    <w:p w:rsidR="00D16AAA" w:rsidRDefault="00D16AAA" w:rsidP="00D16AAA">
      <w:pPr>
        <w:pStyle w:val="DFigureLegend"/>
      </w:pPr>
      <w:r>
        <w:rPr>
          <w:lang w:eastAsia="en-US"/>
        </w:rPr>
        <w:drawing>
          <wp:inline distT="0" distB="0" distL="0" distR="0" wp14:anchorId="2B238A23" wp14:editId="0D77279A">
            <wp:extent cx="3195955" cy="2016760"/>
            <wp:effectExtent l="0" t="0" r="4445" b="2540"/>
            <wp:docPr id="7" name="picture"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195955" cy="2016760"/>
                    </a:xfrm>
                    <a:prstGeom prst="rect">
                      <a:avLst/>
                    </a:prstGeom>
                  </pic:spPr>
                </pic:pic>
              </a:graphicData>
            </a:graphic>
          </wp:inline>
        </w:drawing>
      </w:r>
      <w:r>
        <w:t>Figure 1 – Word Representation Layer</w:t>
      </w:r>
    </w:p>
    <w:p w:rsidR="00D16AAA" w:rsidRDefault="003B10A3" w:rsidP="00D16AAA">
      <w:pPr>
        <w:pStyle w:val="DBodyText"/>
      </w:pPr>
      <w:r>
        <w:t xml:space="preserve">To encode contextual word representations, we use a bi-directional long short-term memory (LSTM) </w:t>
      </w:r>
      <w:r w:rsidR="00277EAA">
        <w:t>layer.</w:t>
      </w:r>
      <w:r>
        <w:t xml:space="preserve"> LSTM </w:t>
      </w:r>
      <w:r w:rsidR="00CC5AFB">
        <w:t xml:space="preserve">units </w:t>
      </w:r>
      <w:r w:rsidR="00BB17A4">
        <w:t>are iteratively run on time-series dat</w:t>
      </w:r>
      <w:r w:rsidR="00C9071A">
        <w:t>a</w:t>
      </w:r>
      <w:r w:rsidR="004E4B4A">
        <w:t xml:space="preserve"> (sequences of words in the case of text)</w:t>
      </w:r>
      <w:r w:rsidR="00C9071A">
        <w:t xml:space="preserve">, </w:t>
      </w:r>
      <w:r w:rsidR="00E94212">
        <w:t xml:space="preserve">maintaining </w:t>
      </w:r>
      <w:r w:rsidR="00C9071A">
        <w:t>an internal cell state as it moves from one input to the next</w:t>
      </w:r>
      <w:r>
        <w:t xml:space="preserve">. </w:t>
      </w:r>
      <w:r w:rsidR="00554ADD">
        <w:t xml:space="preserve">LSTMs are optimized during training to learn what information is important to remember from previous </w:t>
      </w:r>
      <w:r w:rsidR="007718ED">
        <w:t xml:space="preserve">inputs to the cell. </w:t>
      </w:r>
      <w:r w:rsidR="00266089">
        <w:t xml:space="preserve">A LSTM layer is parameterized by the number of LSTM units, each contributing one output dimension. </w:t>
      </w:r>
      <w:r>
        <w:t xml:space="preserve">In a bi-directional LSTM layer, the inputs are run both ways through the layer, with </w:t>
      </w:r>
      <w:r w:rsidR="00D7735E">
        <w:t>one</w:t>
      </w:r>
      <w:r w:rsidR="00464E08">
        <w:t xml:space="preserve"> </w:t>
      </w:r>
      <w:r w:rsidR="00D7735E">
        <w:t>set</w:t>
      </w:r>
      <w:r w:rsidR="00464E08">
        <w:t xml:space="preserve"> of </w:t>
      </w:r>
      <w:r w:rsidR="006025E4">
        <w:t>LSTM units</w:t>
      </w:r>
      <w:r w:rsidR="00464E08">
        <w:t xml:space="preserve"> responsible for seeing the data in </w:t>
      </w:r>
      <w:r w:rsidR="00D7735E">
        <w:t>order and one set responsible for seeing the data in reverse</w:t>
      </w:r>
      <w:r>
        <w:t>.</w:t>
      </w:r>
      <w:r w:rsidR="00F8036D">
        <w:t xml:space="preserve"> </w:t>
      </w:r>
      <w:r w:rsidR="00466D05">
        <w:t>D</w:t>
      </w:r>
      <w:r w:rsidR="001B3CBF">
        <w:t xml:space="preserve">ropout </w:t>
      </w:r>
      <w:r w:rsidR="00BA074A">
        <w:t xml:space="preserve">and </w:t>
      </w:r>
      <w:r w:rsidR="00CE2065">
        <w:t>r</w:t>
      </w:r>
      <w:r w:rsidR="00BA074A">
        <w:t xml:space="preserve">ecurrent dropout </w:t>
      </w:r>
      <w:r w:rsidR="00CE2065">
        <w:fldChar w:fldCharType="begin" w:fldLock="1"/>
      </w:r>
      <w:r w:rsidR="007E2ED1">
        <w:instrText>ADDIN CSL_CITATION {"citationItems":[{"id":"ITEM-1","itemData":{"author":[{"dropping-particle":"","family":"Semeniuta","given":"Stanislau","non-dropping-particle":"","parse-names":false,"suffix":""},{"dropping-particle":"","family":"Severyn","given":"Aliaksei","non-dropping-particle":"","parse-names":false,"suffix":""},{"dropping-particle":"","family":"Barth","given":"Erhardt","non-dropping-particle":"","parse-names":false,"suffix":""}],"container-title":"CoRR","id":"ITEM-1","issued":{"date-parts":[["2016"]]},"title":"Recurrent Dropout without Memory Loss","type":"article-journal","volume":"abs/1603.0"},"uris":["http://www.mendeley.com/documents/?uuid=0c1fe2df-e2a8-45b0-bb8e-6c26ed594a3b"]}],"mendeley":{"formattedCitation":"[17]","plainTextFormattedCitation":"[17]","previouslyFormattedCitation":"[16]"},"properties":{"noteIndex":0},"schema":"https://github.com/citation-style-language/schema/raw/master/csl-citation.json"}</w:instrText>
      </w:r>
      <w:r w:rsidR="00CE2065">
        <w:fldChar w:fldCharType="separate"/>
      </w:r>
      <w:r w:rsidR="007E2ED1" w:rsidRPr="007E2ED1">
        <w:rPr>
          <w:noProof/>
        </w:rPr>
        <w:t>[17]</w:t>
      </w:r>
      <w:r w:rsidR="00CE2065">
        <w:fldChar w:fldCharType="end"/>
      </w:r>
      <w:r w:rsidR="00003E65">
        <w:t xml:space="preserve"> </w:t>
      </w:r>
      <w:r w:rsidR="00BA074A">
        <w:t xml:space="preserve">were used </w:t>
      </w:r>
      <w:r w:rsidR="00003E65">
        <w:t>to provide regularization of the learned weights and prevent overfitting.</w:t>
      </w:r>
      <w:r w:rsidR="00905557">
        <w:t xml:space="preserve"> The results of the bi-LSTM layer are batch-normalized </w:t>
      </w:r>
      <w:r w:rsidR="001644E8">
        <w:t>before being passed to the inference layer.</w:t>
      </w:r>
      <w:r w:rsidR="00277EAA">
        <w:t xml:space="preserve"> In Figure 2, </w:t>
      </w:r>
      <w:r w:rsidR="00476C33">
        <w:t xml:space="preserve">computation of a bi-LSTM on time series data is shown, each </w:t>
      </w:r>
      <w:r w:rsidR="00E47E1E">
        <w:t xml:space="preserve">node labeled </w:t>
      </w:r>
      <w:r w:rsidR="00476C33">
        <w:t>LSTM-F and LSTM-R</w:t>
      </w:r>
      <w:r w:rsidR="00544C15">
        <w:t xml:space="preserve"> </w:t>
      </w:r>
      <w:r w:rsidR="00476C33">
        <w:t xml:space="preserve">is the same </w:t>
      </w:r>
      <w:r w:rsidR="001E6F66">
        <w:t xml:space="preserve">set of </w:t>
      </w:r>
      <w:r w:rsidR="00925455">
        <w:t>units</w:t>
      </w:r>
      <w:r w:rsidR="001E6F66">
        <w:t xml:space="preserve"> at different points in the time series</w:t>
      </w:r>
      <w:r w:rsidR="006204A1">
        <w:t xml:space="preserve">, and the lines drawn between nodes represent the propagation of internal </w:t>
      </w:r>
      <w:r w:rsidR="00925455">
        <w:t xml:space="preserve">memory </w:t>
      </w:r>
      <w:r w:rsidR="006204A1">
        <w:t>state</w:t>
      </w:r>
      <w:r w:rsidR="00925455">
        <w:t>s</w:t>
      </w:r>
      <w:r w:rsidR="006204A1">
        <w:t xml:space="preserve"> to the next item in the time series.</w:t>
      </w:r>
      <w:r w:rsidR="00466D05">
        <w:t xml:space="preserve"> The </w:t>
      </w:r>
      <w:r w:rsidR="006C453E">
        <w:t xml:space="preserve">outputs from the forward and backward LSTMs are concatenated to a single </w:t>
      </w:r>
      <w:r w:rsidR="00466D05">
        <w:t>contextual word representation, an embedding of the word and surrounding words.</w:t>
      </w:r>
    </w:p>
    <w:p w:rsidR="00D16AAA" w:rsidRDefault="00D16AAA" w:rsidP="00D16AAA">
      <w:pPr>
        <w:pStyle w:val="DBodyText"/>
      </w:pPr>
      <w:r>
        <w:rPr>
          <w:noProof/>
          <w:lang w:eastAsia="en-US"/>
        </w:rPr>
        <w:drawing>
          <wp:inline distT="0" distB="0" distL="0" distR="0" wp14:anchorId="73056645" wp14:editId="31315323">
            <wp:extent cx="3195955" cy="1484630"/>
            <wp:effectExtent l="0" t="0" r="4445" b="127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195955" cy="1484630"/>
                    </a:xfrm>
                    <a:prstGeom prst="rect">
                      <a:avLst/>
                    </a:prstGeom>
                  </pic:spPr>
                </pic:pic>
              </a:graphicData>
            </a:graphic>
          </wp:inline>
        </w:drawing>
      </w:r>
    </w:p>
    <w:p w:rsidR="00D16AAA" w:rsidRDefault="00D16AAA" w:rsidP="00AA632C">
      <w:pPr>
        <w:pStyle w:val="DFigureLegend"/>
      </w:pPr>
      <w:r>
        <w:t>Figure 2 – Bi-directional LSTM</w:t>
      </w:r>
    </w:p>
    <w:p w:rsidR="00E26FD8" w:rsidRDefault="003B10A3" w:rsidP="00E66A3E">
      <w:pPr>
        <w:pStyle w:val="DBodyText"/>
      </w:pPr>
      <w:r>
        <w:t xml:space="preserve">After the bi-directional </w:t>
      </w:r>
      <w:r w:rsidR="006429DA">
        <w:t>LSTM</w:t>
      </w:r>
      <w:r>
        <w:t xml:space="preserve"> laye</w:t>
      </w:r>
      <w:r w:rsidR="00905557">
        <w:t>r</w:t>
      </w:r>
      <w:r>
        <w:t>,</w:t>
      </w:r>
      <w:r w:rsidR="004A21D9">
        <w:t xml:space="preserve"> </w:t>
      </w:r>
      <w:r>
        <w:t>a sigmoid-activated dense</w:t>
      </w:r>
      <w:r w:rsidR="0080362B">
        <w:t xml:space="preserve"> NN</w:t>
      </w:r>
      <w:r>
        <w:t xml:space="preserve"> </w:t>
      </w:r>
      <w:r w:rsidR="009B09E6">
        <w:t>prediction</w:t>
      </w:r>
      <w:r>
        <w:t xml:space="preserve"> layer is used on each contextual word embedding to output the log-probability that the word </w:t>
      </w:r>
      <w:r w:rsidR="006429DA">
        <w:t>is the beginning of a sentence.</w:t>
      </w:r>
      <w:r w:rsidR="00A152F3">
        <w:t xml:space="preserve"> Lasso</w:t>
      </w:r>
      <w:r w:rsidR="0090329A">
        <w:t xml:space="preserve"> or L1-norm</w:t>
      </w:r>
      <w:r w:rsidR="00A152F3">
        <w:t xml:space="preserve"> regularization was used </w:t>
      </w:r>
      <w:r w:rsidR="00752FDA">
        <w:t xml:space="preserve">on the weights of the </w:t>
      </w:r>
      <w:r w:rsidR="009B09E6">
        <w:t>prediction</w:t>
      </w:r>
      <w:r w:rsidR="00752FDA">
        <w:t xml:space="preserve"> layer to </w:t>
      </w:r>
      <w:r w:rsidR="0090329A">
        <w:t>prevent overfitting</w:t>
      </w:r>
      <w:r w:rsidR="00752FDA">
        <w:t>.</w:t>
      </w:r>
      <w:r w:rsidR="00556834">
        <w:t xml:space="preserve"> </w:t>
      </w:r>
      <w:r w:rsidR="003C0603">
        <w:t>The complete graph of our architecture is shown in Figure 3.</w:t>
      </w:r>
    </w:p>
    <w:p w:rsidR="00D16AAA" w:rsidRDefault="00D16AAA" w:rsidP="00D16AAA">
      <w:pPr>
        <w:pStyle w:val="DFigureLegend"/>
      </w:pPr>
      <w:r>
        <w:rPr>
          <w:lang w:eastAsia="en-US"/>
        </w:rPr>
        <w:drawing>
          <wp:inline distT="0" distB="0" distL="0" distR="0" wp14:anchorId="71F8FEE4" wp14:editId="78576078">
            <wp:extent cx="2113890" cy="2190750"/>
            <wp:effectExtent l="0" t="0" r="1270" b="0"/>
            <wp:docPr id="6" name="picture"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45045" cy="2223038"/>
                    </a:xfrm>
                    <a:prstGeom prst="rect">
                      <a:avLst/>
                    </a:prstGeom>
                  </pic:spPr>
                </pic:pic>
              </a:graphicData>
            </a:graphic>
          </wp:inline>
        </w:drawing>
      </w:r>
    </w:p>
    <w:p w:rsidR="00D16AAA" w:rsidRDefault="00D16AAA" w:rsidP="00AA632C">
      <w:pPr>
        <w:pStyle w:val="DFigureLegend"/>
      </w:pPr>
      <w:r>
        <w:t>Figure 3 – Complete Model Graph</w:t>
      </w:r>
    </w:p>
    <w:p w:rsidR="003B10A3" w:rsidRDefault="00176662" w:rsidP="003B10A3">
      <w:pPr>
        <w:pStyle w:val="CLevelThreeHeader"/>
      </w:pPr>
      <w:r>
        <w:t>Domain Adaptation</w:t>
      </w:r>
    </w:p>
    <w:p w:rsidR="00ED6A7D" w:rsidRDefault="556AA545" w:rsidP="00603B9F">
      <w:pPr>
        <w:pStyle w:val="DBodyText"/>
      </w:pPr>
      <w:r>
        <w:t xml:space="preserve">In addition to using models trained on each individual corpus, we evaluated three methods for </w:t>
      </w:r>
      <w:r w:rsidR="00176662">
        <w:t>domain adaptation of models trained on MIMIC to the FV hold-out test set</w:t>
      </w:r>
      <w:r>
        <w:t>. First, we looked at merging the cross-validation data from both corpora. Second, we looked at resuming training of the network trained on the MIMIC cross-validation data with the FV cross-validation data. Third, we looked at using an ensemble stacking method for transfer learning where the hidden-layer contextual word representations of the network trained on MIMIC were summed with the contextual word representations of a new network before the sigmoid dense NN prediction layer. In this architecture the output of the second network functions as corrections to the first network for the FV training data. This stacked network architecture is shown in Figure 4.</w:t>
      </w:r>
    </w:p>
    <w:p w:rsidR="00603B9F" w:rsidRDefault="00ED6A7D" w:rsidP="00ED6A7D">
      <w:pPr>
        <w:pStyle w:val="DBodyText"/>
        <w:jc w:val="center"/>
      </w:pPr>
      <w:r>
        <w:rPr>
          <w:noProof/>
          <w:lang w:eastAsia="en-US"/>
        </w:rPr>
        <w:drawing>
          <wp:inline distT="0" distB="0" distL="0" distR="0" wp14:anchorId="1B9E6E01" wp14:editId="1C40C776">
            <wp:extent cx="2216441" cy="2205872"/>
            <wp:effectExtent l="0" t="0" r="0" b="4445"/>
            <wp:docPr id="2095536657" name="picture"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253046" cy="2242303"/>
                    </a:xfrm>
                    <a:prstGeom prst="rect">
                      <a:avLst/>
                    </a:prstGeom>
                  </pic:spPr>
                </pic:pic>
              </a:graphicData>
            </a:graphic>
          </wp:inline>
        </w:drawing>
      </w:r>
    </w:p>
    <w:p w:rsidR="00ED6A7D" w:rsidRDefault="00ED6A7D" w:rsidP="00ED6A7D">
      <w:pPr>
        <w:pStyle w:val="DFigureLegend"/>
      </w:pPr>
      <w:r>
        <w:t xml:space="preserve">Figure 4 </w:t>
      </w:r>
      <w:r w:rsidR="00122940">
        <w:t>–</w:t>
      </w:r>
      <w:r>
        <w:t xml:space="preserve"> </w:t>
      </w:r>
      <w:r w:rsidR="00122940">
        <w:t>Ensemble of Two Networks</w:t>
      </w:r>
    </w:p>
    <w:p w:rsidR="00D16AAA" w:rsidRDefault="006818FC" w:rsidP="00690E60">
      <w:pPr>
        <w:pStyle w:val="BLevelTwoHeader"/>
      </w:pPr>
      <w:r>
        <w:t>Training</w:t>
      </w:r>
    </w:p>
    <w:p w:rsidR="00690E60" w:rsidRDefault="00D17FB7" w:rsidP="00AA632C">
      <w:pPr>
        <w:pStyle w:val="DBodyText"/>
      </w:pPr>
      <w:r>
        <w:t xml:space="preserve">Based on the results of tuning using CV on the MIMIC corpus, </w:t>
      </w:r>
      <w:r w:rsidR="009A7F3B">
        <w:t xml:space="preserve">we </w:t>
      </w:r>
      <w:r>
        <w:t xml:space="preserve">selected the </w:t>
      </w:r>
      <w:r w:rsidR="006818FC">
        <w:t>gradient descent variant ADAM (Adaptive Moment Estimation)</w:t>
      </w:r>
      <w:r>
        <w:t xml:space="preserve"> </w:t>
      </w:r>
      <w:r>
        <w:fldChar w:fldCharType="begin" w:fldLock="1"/>
      </w:r>
      <w:r w:rsidR="007E2ED1">
        <w:instrText>ADDIN CSL_CITATION {"citationItems":[{"id":"ITEM-1","itemData":{"author":[{"dropping-particle":"","family":"Kingma","given":"Diederik P","non-dropping-particle":"","parse-names":false,"suffix":""},{"dropping-particle":"","family":"Ba","given":"Jimmy","non-dropping-particle":"","parse-names":false,"suffix":""}],"container-title":"CoRR","id":"ITEM-1","issued":{"date-parts":[["2014"]]},"title":"Adam: A Method for Stochastic Optimization","type":"article-journal","volume":"abs/1412.6"},"uris":["http://www.mendeley.com/documents/?uuid=099d0c1a-24f1-4403-b943-e0a65a19e57f"]}],"mendeley":{"formattedCitation":"[18]","plainTextFormattedCitation":"[18]","previouslyFormattedCitation":"[17]"},"properties":{"noteIndex":0},"schema":"https://github.com/citation-style-language/schema/raw/master/csl-citation.json"}</w:instrText>
      </w:r>
      <w:r>
        <w:fldChar w:fldCharType="separate"/>
      </w:r>
      <w:r w:rsidR="007E2ED1" w:rsidRPr="007E2ED1">
        <w:rPr>
          <w:noProof/>
        </w:rPr>
        <w:t>[18]</w:t>
      </w:r>
      <w:r>
        <w:fldChar w:fldCharType="end"/>
      </w:r>
      <w:r>
        <w:t xml:space="preserve"> as the optimizer of network weights</w:t>
      </w:r>
      <w:r w:rsidR="006818FC">
        <w:t xml:space="preserve">. </w:t>
      </w:r>
      <w:r w:rsidR="004A4A4A">
        <w:t>During training, o</w:t>
      </w:r>
      <w:r w:rsidR="0093168D">
        <w:t xml:space="preserve">nly models that were improvements on validation loss were saved, and after </w:t>
      </w:r>
      <w:r w:rsidR="00CA1970">
        <w:t>5</w:t>
      </w:r>
      <w:r w:rsidR="0093168D">
        <w:t xml:space="preserve"> epochs with no im</w:t>
      </w:r>
      <w:r w:rsidR="005871A9">
        <w:lastRenderedPageBreak/>
        <w:t>provement training was terminated.</w:t>
      </w:r>
      <w:r w:rsidR="00982CF6">
        <w:t xml:space="preserve"> </w:t>
      </w:r>
      <w:r w:rsidR="00ED4633">
        <w:t xml:space="preserve">Binary cross-entropy loss was used for training, and loss values were </w:t>
      </w:r>
      <w:r w:rsidR="004B2A11">
        <w:t xml:space="preserve">weighted by </w:t>
      </w:r>
      <w:r w:rsidR="008A17CB">
        <w:t xml:space="preserve">the ratio between the target tag probability and an equal distribution of </w:t>
      </w:r>
      <w:r w:rsidR="00ED2B00">
        <w:t>tags</w:t>
      </w:r>
      <w:r w:rsidR="005912B4">
        <w:t>, shown in the equation in Figure 5</w:t>
      </w:r>
      <w:r w:rsidR="004B2A11">
        <w:t>.</w:t>
      </w:r>
      <w:r w:rsidR="00281CFB">
        <w:t xml:space="preserve"> Mini-batching </w:t>
      </w:r>
      <w:r w:rsidR="000B77D9">
        <w:t xml:space="preserve">was used for training, </w:t>
      </w:r>
      <w:r w:rsidR="0093078E">
        <w:t xml:space="preserve">sequences of </w:t>
      </w:r>
      <w:r w:rsidR="00FE00F7">
        <w:t xml:space="preserve">32 </w:t>
      </w:r>
      <w:r w:rsidR="0093078E">
        <w:t>words w</w:t>
      </w:r>
      <w:r w:rsidR="00FE00F7">
        <w:t>ere batched into groups of 32 for gradient optimization.</w:t>
      </w:r>
    </w:p>
    <w:p w:rsidR="00690E60" w:rsidRPr="005912B4" w:rsidRDefault="00690E60" w:rsidP="00690E60">
      <w:pPr>
        <w:pStyle w:val="DBodyText"/>
        <w:rPr>
          <w:rFonts w:ascii="Cambria Math" w:hAnsi="Cambria Math"/>
          <w:oMath/>
        </w:rPr>
      </w:pPr>
      <m:oMathPara>
        <m:oMath>
          <m:r>
            <w:rPr>
              <w:rFonts w:ascii="Cambria Math" w:hAnsi="Cambria Math"/>
            </w:rPr>
            <m:t>weigh</m:t>
          </m:r>
          <m:sSub>
            <m:sSubPr>
              <m:ctrlPr>
                <w:rPr>
                  <w:rFonts w:ascii="Cambria Math" w:hAnsi="Cambria Math"/>
                  <w:i/>
                </w:rPr>
              </m:ctrlPr>
            </m:sSubPr>
            <m:e>
              <m:r>
                <w:rPr>
                  <w:rFonts w:ascii="Cambria Math" w:hAnsi="Cambria Math"/>
                </w:rPr>
                <m:t>t</m:t>
              </m:r>
            </m:e>
            <m:sub>
              <m:r>
                <w:rPr>
                  <w:rFonts w:ascii="Cambria Math" w:hAnsi="Cambria Math"/>
                </w:rPr>
                <m:t>class</m:t>
              </m:r>
            </m:sub>
          </m:sSub>
          <m:r>
            <w:rPr>
              <w:rFonts w:ascii="Cambria Math" w:hAnsi="Cambria Math"/>
            </w:rPr>
            <m:t>=</m:t>
          </m:r>
          <m:f>
            <m:fPr>
              <m:ctrlPr>
                <w:rPr>
                  <w:rFonts w:ascii="Cambria Math" w:hAnsi="Cambria Math"/>
                  <w:i/>
                </w:rPr>
              </m:ctrlPr>
            </m:fPr>
            <m:num>
              <m:r>
                <w:rPr>
                  <w:rFonts w:ascii="Cambria Math" w:hAnsi="Cambria Math"/>
                </w:rPr>
                <m:t>sample</m:t>
              </m:r>
              <m:sSub>
                <m:sSubPr>
                  <m:ctrlPr>
                    <w:rPr>
                      <w:rFonts w:ascii="Cambria Math" w:hAnsi="Cambria Math"/>
                      <w:i/>
                    </w:rPr>
                  </m:ctrlPr>
                </m:sSubPr>
                <m:e>
                  <m:r>
                    <w:rPr>
                      <w:rFonts w:ascii="Cambria Math" w:hAnsi="Cambria Math"/>
                    </w:rPr>
                    <m:t>s</m:t>
                  </m:r>
                </m:e>
                <m:sub>
                  <m:r>
                    <w:rPr>
                      <w:rFonts w:ascii="Cambria Math" w:hAnsi="Cambria Math"/>
                    </w:rPr>
                    <m:t>total</m:t>
                  </m:r>
                </m:sub>
              </m:sSub>
            </m:num>
            <m:den>
              <m:sSub>
                <m:sSubPr>
                  <m:ctrlPr>
                    <w:rPr>
                      <w:rFonts w:ascii="Cambria Math" w:hAnsi="Cambria Math"/>
                      <w:i/>
                    </w:rPr>
                  </m:ctrlPr>
                </m:sSubPr>
                <m:e>
                  <m:r>
                    <w:rPr>
                      <w:rFonts w:ascii="Cambria Math" w:hAnsi="Cambria Math"/>
                    </w:rPr>
                    <m:t>n</m:t>
                  </m:r>
                </m:e>
                <m:sub>
                  <m:r>
                    <w:rPr>
                      <w:rFonts w:ascii="Cambria Math" w:hAnsi="Cambria Math"/>
                    </w:rPr>
                    <m:t>classes</m:t>
                  </m:r>
                </m:sub>
              </m:sSub>
              <m:r>
                <w:rPr>
                  <w:rFonts w:ascii="Cambria Math" w:hAnsi="Cambria Math"/>
                </w:rPr>
                <m:t>×sample</m:t>
              </m:r>
              <m:sSub>
                <m:sSubPr>
                  <m:ctrlPr>
                    <w:rPr>
                      <w:rFonts w:ascii="Cambria Math" w:hAnsi="Cambria Math"/>
                      <w:i/>
                    </w:rPr>
                  </m:ctrlPr>
                </m:sSubPr>
                <m:e>
                  <m:r>
                    <w:rPr>
                      <w:rFonts w:ascii="Cambria Math" w:hAnsi="Cambria Math"/>
                    </w:rPr>
                    <m:t>s</m:t>
                  </m:r>
                </m:e>
                <m:sub>
                  <m:r>
                    <w:rPr>
                      <w:rFonts w:ascii="Cambria Math" w:hAnsi="Cambria Math"/>
                    </w:rPr>
                    <m:t>class</m:t>
                  </m:r>
                </m:sub>
              </m:sSub>
            </m:den>
          </m:f>
        </m:oMath>
      </m:oMathPara>
    </w:p>
    <w:p w:rsidR="00690E60" w:rsidRPr="00A859D2" w:rsidRDefault="00690E60" w:rsidP="00AA632C">
      <w:pPr>
        <w:pStyle w:val="DFigureLegend"/>
      </w:pPr>
      <w:r>
        <w:t>Figure 5 – Weighting of classes</w:t>
      </w:r>
    </w:p>
    <w:p w:rsidR="003B10A3" w:rsidRPr="00FB07AC" w:rsidRDefault="003B10A3" w:rsidP="003B10A3">
      <w:pPr>
        <w:pStyle w:val="ALevelOneHeader"/>
      </w:pPr>
      <w:r>
        <w:t>Results</w:t>
      </w:r>
    </w:p>
    <w:p w:rsidR="00376AFA" w:rsidRDefault="00D16AAA" w:rsidP="00AA632C">
      <w:pPr>
        <w:pStyle w:val="BLevelTwoHeader"/>
      </w:pPr>
      <w:r>
        <w:t>Manually Annotated Corpora</w:t>
      </w:r>
    </w:p>
    <w:p w:rsidR="00376AFA" w:rsidRDefault="00376AFA" w:rsidP="00376AFA">
      <w:pPr>
        <w:pStyle w:val="DBodyText"/>
      </w:pPr>
      <w:r>
        <w:t xml:space="preserve">On an overlap of 100 MIMIC notes annotated by both annotators, ignoring </w:t>
      </w:r>
      <w:r w:rsidR="00D16AAA">
        <w:t>“</w:t>
      </w:r>
      <w:r>
        <w:t>Unsure</w:t>
      </w:r>
      <w:r w:rsidR="00D16AAA">
        <w:t>”</w:t>
      </w:r>
      <w:r>
        <w:t xml:space="preserve"> annotations, the Cohen’s kappa of Sentence annotations was computed as 0.957 using the </w:t>
      </w:r>
      <w:proofErr w:type="spellStart"/>
      <w:r>
        <w:t>irr</w:t>
      </w:r>
      <w:proofErr w:type="spellEnd"/>
      <w:r>
        <w:t xml:space="preserve"> library in R version 3.4.4. The agreement between annotators on “Unsure” annotations was 0.646.</w:t>
      </w:r>
      <w:r w:rsidDel="00087407">
        <w:t xml:space="preserve"> </w:t>
      </w:r>
      <w:r>
        <w:t xml:space="preserve">After conversion, on the subset of 100 notes labeled by both annotators Cohen’s kappa was 0.71 for all tags and 0.95 after excluding items labeled as ‘O’ by either annotator. Tables 4 and 5 describe the distribution of </w:t>
      </w:r>
      <w:r w:rsidR="00E26FD8">
        <w:t>‘</w:t>
      </w:r>
      <w:r>
        <w:t>B</w:t>
      </w:r>
      <w:r w:rsidR="00E26FD8">
        <w:t>’</w:t>
      </w:r>
      <w:r>
        <w:t xml:space="preserve">, </w:t>
      </w:r>
      <w:r w:rsidR="00E26FD8">
        <w:t>‘</w:t>
      </w:r>
      <w:r>
        <w:t>I</w:t>
      </w:r>
      <w:r w:rsidR="00E26FD8">
        <w:t>’</w:t>
      </w:r>
      <w:r>
        <w:t xml:space="preserve">, and </w:t>
      </w:r>
      <w:r w:rsidR="00E26FD8">
        <w:t>‘</w:t>
      </w:r>
      <w:r>
        <w:t>O</w:t>
      </w:r>
      <w:r w:rsidR="00E26FD8">
        <w:t>’</w:t>
      </w:r>
      <w:r>
        <w:t xml:space="preserve"> tags after this conversion.</w:t>
      </w:r>
    </w:p>
    <w:p w:rsidR="00376AFA" w:rsidRDefault="00376AFA" w:rsidP="00376AFA">
      <w:pPr>
        <w:pStyle w:val="DTableTitle"/>
      </w:pPr>
      <w:r>
        <w:t>Table 4 – Distribution of Tags in MIMIC</w:t>
      </w:r>
    </w:p>
    <w:tbl>
      <w:tblPr>
        <w:tblW w:w="0" w:type="auto"/>
        <w:jc w:val="center"/>
        <w:tblLayout w:type="fixed"/>
        <w:tblLook w:val="0000" w:firstRow="0" w:lastRow="0" w:firstColumn="0" w:lastColumn="0" w:noHBand="0" w:noVBand="0"/>
      </w:tblPr>
      <w:tblGrid>
        <w:gridCol w:w="720"/>
        <w:gridCol w:w="900"/>
        <w:gridCol w:w="1170"/>
      </w:tblGrid>
      <w:tr w:rsidR="00376AFA" w:rsidRPr="00FB07AC" w:rsidTr="00741504">
        <w:trPr>
          <w:jc w:val="center"/>
        </w:trPr>
        <w:tc>
          <w:tcPr>
            <w:tcW w:w="720" w:type="dxa"/>
            <w:tcBorders>
              <w:top w:val="single" w:sz="4" w:space="0" w:color="auto"/>
              <w:bottom w:val="single" w:sz="4" w:space="0" w:color="auto"/>
            </w:tcBorders>
            <w:vAlign w:val="bottom"/>
          </w:tcPr>
          <w:p w:rsidR="00376AFA" w:rsidRPr="00677D7A" w:rsidRDefault="00376AFA" w:rsidP="00741504">
            <w:pPr>
              <w:rPr>
                <w:b/>
                <w:noProof/>
              </w:rPr>
            </w:pPr>
            <w:r>
              <w:rPr>
                <w:b/>
                <w:noProof/>
              </w:rPr>
              <w:t>Tag</w:t>
            </w:r>
          </w:p>
        </w:tc>
        <w:tc>
          <w:tcPr>
            <w:tcW w:w="900" w:type="dxa"/>
            <w:tcBorders>
              <w:top w:val="single" w:sz="4" w:space="0" w:color="auto"/>
              <w:bottom w:val="single" w:sz="4" w:space="0" w:color="auto"/>
            </w:tcBorders>
            <w:vAlign w:val="bottom"/>
          </w:tcPr>
          <w:p w:rsidR="00376AFA" w:rsidRPr="00677D7A" w:rsidRDefault="00376AFA" w:rsidP="00741504">
            <w:pPr>
              <w:rPr>
                <w:b/>
                <w:noProof/>
              </w:rPr>
            </w:pPr>
            <w:r>
              <w:rPr>
                <w:b/>
                <w:noProof/>
              </w:rPr>
              <w:t>Count</w:t>
            </w:r>
          </w:p>
        </w:tc>
        <w:tc>
          <w:tcPr>
            <w:tcW w:w="1170" w:type="dxa"/>
            <w:tcBorders>
              <w:top w:val="single" w:sz="4" w:space="0" w:color="auto"/>
              <w:bottom w:val="single" w:sz="4" w:space="0" w:color="auto"/>
            </w:tcBorders>
          </w:tcPr>
          <w:p w:rsidR="00376AFA" w:rsidRDefault="00376AFA" w:rsidP="00741504">
            <w:pPr>
              <w:rPr>
                <w:b/>
                <w:noProof/>
              </w:rPr>
            </w:pPr>
            <w:r>
              <w:rPr>
                <w:b/>
                <w:noProof/>
              </w:rPr>
              <w:t>Percentage</w:t>
            </w:r>
          </w:p>
        </w:tc>
      </w:tr>
      <w:tr w:rsidR="00376AFA" w:rsidRPr="00FB07AC" w:rsidTr="00741504">
        <w:trPr>
          <w:jc w:val="center"/>
        </w:trPr>
        <w:tc>
          <w:tcPr>
            <w:tcW w:w="720" w:type="dxa"/>
            <w:tcBorders>
              <w:bottom w:val="single" w:sz="4" w:space="0" w:color="auto"/>
            </w:tcBorders>
          </w:tcPr>
          <w:p w:rsidR="00376AFA" w:rsidRDefault="00376AFA" w:rsidP="00741504">
            <w:pPr>
              <w:rPr>
                <w:noProof/>
              </w:rPr>
            </w:pPr>
            <w:r>
              <w:rPr>
                <w:noProof/>
              </w:rPr>
              <w:t>B</w:t>
            </w:r>
          </w:p>
          <w:p w:rsidR="00376AFA" w:rsidRDefault="00376AFA" w:rsidP="00741504">
            <w:pPr>
              <w:rPr>
                <w:noProof/>
              </w:rPr>
            </w:pPr>
            <w:r>
              <w:rPr>
                <w:noProof/>
              </w:rPr>
              <w:t>I</w:t>
            </w:r>
          </w:p>
          <w:p w:rsidR="00376AFA" w:rsidRDefault="00376AFA" w:rsidP="00741504">
            <w:pPr>
              <w:rPr>
                <w:noProof/>
              </w:rPr>
            </w:pPr>
            <w:r>
              <w:rPr>
                <w:noProof/>
              </w:rPr>
              <w:t>O</w:t>
            </w:r>
          </w:p>
        </w:tc>
        <w:tc>
          <w:tcPr>
            <w:tcW w:w="900" w:type="dxa"/>
            <w:tcBorders>
              <w:bottom w:val="single" w:sz="4" w:space="0" w:color="auto"/>
            </w:tcBorders>
          </w:tcPr>
          <w:p w:rsidR="00376AFA" w:rsidRDefault="00376AFA" w:rsidP="00741504">
            <w:pPr>
              <w:rPr>
                <w:noProof/>
              </w:rPr>
            </w:pPr>
            <w:r>
              <w:rPr>
                <w:noProof/>
              </w:rPr>
              <w:t>23,648</w:t>
            </w:r>
          </w:p>
          <w:p w:rsidR="00376AFA" w:rsidRDefault="00376AFA" w:rsidP="00741504">
            <w:pPr>
              <w:rPr>
                <w:noProof/>
              </w:rPr>
            </w:pPr>
            <w:r>
              <w:rPr>
                <w:noProof/>
              </w:rPr>
              <w:t>200,272</w:t>
            </w:r>
          </w:p>
          <w:p w:rsidR="00376AFA" w:rsidRDefault="00376AFA" w:rsidP="00741504">
            <w:pPr>
              <w:rPr>
                <w:noProof/>
              </w:rPr>
            </w:pPr>
            <w:r>
              <w:rPr>
                <w:noProof/>
              </w:rPr>
              <w:t>91,877</w:t>
            </w:r>
          </w:p>
        </w:tc>
        <w:tc>
          <w:tcPr>
            <w:tcW w:w="1170" w:type="dxa"/>
            <w:tcBorders>
              <w:bottom w:val="single" w:sz="4" w:space="0" w:color="auto"/>
            </w:tcBorders>
          </w:tcPr>
          <w:p w:rsidR="00376AFA" w:rsidRDefault="00376AFA" w:rsidP="00741504">
            <w:pPr>
              <w:rPr>
                <w:noProof/>
              </w:rPr>
            </w:pPr>
            <w:r>
              <w:rPr>
                <w:noProof/>
              </w:rPr>
              <w:t>7.5%</w:t>
            </w:r>
          </w:p>
          <w:p w:rsidR="00376AFA" w:rsidRDefault="00376AFA" w:rsidP="00741504">
            <w:pPr>
              <w:rPr>
                <w:noProof/>
              </w:rPr>
            </w:pPr>
            <w:r>
              <w:rPr>
                <w:noProof/>
              </w:rPr>
              <w:t>63.4%</w:t>
            </w:r>
          </w:p>
          <w:p w:rsidR="00376AFA" w:rsidRDefault="00376AFA" w:rsidP="00741504">
            <w:pPr>
              <w:rPr>
                <w:noProof/>
              </w:rPr>
            </w:pPr>
            <w:r>
              <w:rPr>
                <w:noProof/>
              </w:rPr>
              <w:t>29.1%</w:t>
            </w:r>
          </w:p>
        </w:tc>
      </w:tr>
    </w:tbl>
    <w:p w:rsidR="00376AFA" w:rsidRDefault="00376AFA" w:rsidP="00376AFA">
      <w:pPr>
        <w:pStyle w:val="DTableTitle"/>
      </w:pPr>
      <w:r>
        <w:t>Table 5 – Distribution of Tags in FV</w:t>
      </w:r>
    </w:p>
    <w:tbl>
      <w:tblPr>
        <w:tblW w:w="0" w:type="auto"/>
        <w:jc w:val="center"/>
        <w:tblLayout w:type="fixed"/>
        <w:tblLook w:val="0000" w:firstRow="0" w:lastRow="0" w:firstColumn="0" w:lastColumn="0" w:noHBand="0" w:noVBand="0"/>
      </w:tblPr>
      <w:tblGrid>
        <w:gridCol w:w="720"/>
        <w:gridCol w:w="900"/>
        <w:gridCol w:w="1170"/>
      </w:tblGrid>
      <w:tr w:rsidR="00376AFA" w:rsidRPr="00FB07AC" w:rsidTr="00741504">
        <w:trPr>
          <w:jc w:val="center"/>
        </w:trPr>
        <w:tc>
          <w:tcPr>
            <w:tcW w:w="720" w:type="dxa"/>
            <w:tcBorders>
              <w:top w:val="single" w:sz="4" w:space="0" w:color="auto"/>
              <w:bottom w:val="single" w:sz="4" w:space="0" w:color="auto"/>
            </w:tcBorders>
            <w:vAlign w:val="bottom"/>
          </w:tcPr>
          <w:p w:rsidR="00376AFA" w:rsidRPr="00677D7A" w:rsidRDefault="00376AFA" w:rsidP="00741504">
            <w:pPr>
              <w:rPr>
                <w:b/>
                <w:noProof/>
              </w:rPr>
            </w:pPr>
            <w:r>
              <w:rPr>
                <w:b/>
                <w:noProof/>
              </w:rPr>
              <w:t>Tag</w:t>
            </w:r>
          </w:p>
        </w:tc>
        <w:tc>
          <w:tcPr>
            <w:tcW w:w="900" w:type="dxa"/>
            <w:tcBorders>
              <w:top w:val="single" w:sz="4" w:space="0" w:color="auto"/>
              <w:bottom w:val="single" w:sz="4" w:space="0" w:color="auto"/>
            </w:tcBorders>
            <w:vAlign w:val="bottom"/>
          </w:tcPr>
          <w:p w:rsidR="00376AFA" w:rsidRPr="00677D7A" w:rsidRDefault="00376AFA" w:rsidP="00741504">
            <w:pPr>
              <w:rPr>
                <w:b/>
                <w:noProof/>
              </w:rPr>
            </w:pPr>
            <w:r>
              <w:rPr>
                <w:b/>
                <w:noProof/>
              </w:rPr>
              <w:t>Count</w:t>
            </w:r>
          </w:p>
        </w:tc>
        <w:tc>
          <w:tcPr>
            <w:tcW w:w="1170" w:type="dxa"/>
            <w:tcBorders>
              <w:top w:val="single" w:sz="4" w:space="0" w:color="auto"/>
              <w:bottom w:val="single" w:sz="4" w:space="0" w:color="auto"/>
            </w:tcBorders>
          </w:tcPr>
          <w:p w:rsidR="00376AFA" w:rsidRDefault="00376AFA" w:rsidP="00741504">
            <w:pPr>
              <w:rPr>
                <w:b/>
                <w:noProof/>
              </w:rPr>
            </w:pPr>
            <w:r>
              <w:rPr>
                <w:b/>
                <w:noProof/>
              </w:rPr>
              <w:t>Percentage</w:t>
            </w:r>
          </w:p>
        </w:tc>
      </w:tr>
      <w:tr w:rsidR="00376AFA" w:rsidRPr="00FB07AC" w:rsidTr="00741504">
        <w:trPr>
          <w:jc w:val="center"/>
        </w:trPr>
        <w:tc>
          <w:tcPr>
            <w:tcW w:w="720" w:type="dxa"/>
            <w:tcBorders>
              <w:bottom w:val="single" w:sz="4" w:space="0" w:color="auto"/>
            </w:tcBorders>
          </w:tcPr>
          <w:p w:rsidR="00376AFA" w:rsidRDefault="00376AFA" w:rsidP="00741504">
            <w:pPr>
              <w:rPr>
                <w:noProof/>
              </w:rPr>
            </w:pPr>
            <w:r>
              <w:rPr>
                <w:noProof/>
              </w:rPr>
              <w:t>B</w:t>
            </w:r>
          </w:p>
          <w:p w:rsidR="00376AFA" w:rsidRDefault="00376AFA" w:rsidP="00741504">
            <w:pPr>
              <w:rPr>
                <w:noProof/>
              </w:rPr>
            </w:pPr>
            <w:r>
              <w:rPr>
                <w:noProof/>
              </w:rPr>
              <w:t>I</w:t>
            </w:r>
          </w:p>
          <w:p w:rsidR="00376AFA" w:rsidRDefault="00376AFA" w:rsidP="00741504">
            <w:pPr>
              <w:rPr>
                <w:noProof/>
              </w:rPr>
            </w:pPr>
            <w:r>
              <w:rPr>
                <w:noProof/>
              </w:rPr>
              <w:t>O</w:t>
            </w:r>
          </w:p>
        </w:tc>
        <w:tc>
          <w:tcPr>
            <w:tcW w:w="900" w:type="dxa"/>
            <w:tcBorders>
              <w:bottom w:val="single" w:sz="4" w:space="0" w:color="auto"/>
            </w:tcBorders>
          </w:tcPr>
          <w:p w:rsidR="00376AFA" w:rsidRDefault="00376AFA" w:rsidP="00741504">
            <w:pPr>
              <w:rPr>
                <w:noProof/>
              </w:rPr>
            </w:pPr>
            <w:r>
              <w:rPr>
                <w:noProof/>
              </w:rPr>
              <w:t>43,636</w:t>
            </w:r>
          </w:p>
          <w:p w:rsidR="00376AFA" w:rsidRDefault="00376AFA" w:rsidP="00741504">
            <w:pPr>
              <w:rPr>
                <w:noProof/>
              </w:rPr>
            </w:pPr>
            <w:r>
              <w:rPr>
                <w:noProof/>
              </w:rPr>
              <w:t>336,018</w:t>
            </w:r>
          </w:p>
          <w:p w:rsidR="00376AFA" w:rsidRDefault="00376AFA" w:rsidP="00741504">
            <w:pPr>
              <w:rPr>
                <w:noProof/>
              </w:rPr>
            </w:pPr>
            <w:r>
              <w:rPr>
                <w:noProof/>
              </w:rPr>
              <w:t>35,458</w:t>
            </w:r>
          </w:p>
        </w:tc>
        <w:tc>
          <w:tcPr>
            <w:tcW w:w="1170" w:type="dxa"/>
            <w:tcBorders>
              <w:bottom w:val="single" w:sz="4" w:space="0" w:color="auto"/>
            </w:tcBorders>
          </w:tcPr>
          <w:p w:rsidR="00376AFA" w:rsidRDefault="00376AFA" w:rsidP="00741504">
            <w:pPr>
              <w:rPr>
                <w:noProof/>
              </w:rPr>
            </w:pPr>
            <w:r>
              <w:rPr>
                <w:noProof/>
              </w:rPr>
              <w:t>10.5%</w:t>
            </w:r>
          </w:p>
          <w:p w:rsidR="00376AFA" w:rsidRDefault="00376AFA" w:rsidP="00741504">
            <w:pPr>
              <w:rPr>
                <w:noProof/>
              </w:rPr>
            </w:pPr>
            <w:r>
              <w:rPr>
                <w:noProof/>
              </w:rPr>
              <w:t>80.9%</w:t>
            </w:r>
          </w:p>
          <w:p w:rsidR="00376AFA" w:rsidRDefault="00376AFA" w:rsidP="00741504">
            <w:pPr>
              <w:rPr>
                <w:noProof/>
              </w:rPr>
            </w:pPr>
            <w:r>
              <w:rPr>
                <w:noProof/>
              </w:rPr>
              <w:t>8.5%</w:t>
            </w:r>
          </w:p>
        </w:tc>
      </w:tr>
    </w:tbl>
    <w:p w:rsidR="00376AFA" w:rsidRDefault="00376AFA" w:rsidP="00376AFA">
      <w:pPr>
        <w:pStyle w:val="DBodyText"/>
      </w:pPr>
      <w:r>
        <w:t>In both of the source corpora, sentences not terminated by sentence boundary symbols are highly prevalent. Section headers and text labels were common and often ended by the colon sentence boundary symbol. Table 6 shows the quantity of sentences terminated by each symbol.</w:t>
      </w:r>
    </w:p>
    <w:p w:rsidR="00376AFA" w:rsidRPr="005C35B6" w:rsidRDefault="00376AFA" w:rsidP="00376AFA">
      <w:pPr>
        <w:pStyle w:val="DTableTitle"/>
      </w:pPr>
      <w:r>
        <w:t>Table 6 – Sentence Termination Type</w:t>
      </w:r>
    </w:p>
    <w:tbl>
      <w:tblPr>
        <w:tblW w:w="0" w:type="auto"/>
        <w:jc w:val="center"/>
        <w:tblLayout w:type="fixed"/>
        <w:tblLook w:val="0000" w:firstRow="0" w:lastRow="0" w:firstColumn="0" w:lastColumn="0" w:noHBand="0" w:noVBand="0"/>
      </w:tblPr>
      <w:tblGrid>
        <w:gridCol w:w="1783"/>
        <w:gridCol w:w="1530"/>
        <w:gridCol w:w="1530"/>
      </w:tblGrid>
      <w:tr w:rsidR="00376AFA" w:rsidRPr="00FB07AC" w:rsidTr="00741504">
        <w:trPr>
          <w:jc w:val="center"/>
        </w:trPr>
        <w:tc>
          <w:tcPr>
            <w:tcW w:w="1783" w:type="dxa"/>
            <w:tcBorders>
              <w:top w:val="single" w:sz="4" w:space="0" w:color="auto"/>
              <w:bottom w:val="single" w:sz="4" w:space="0" w:color="auto"/>
            </w:tcBorders>
            <w:vAlign w:val="bottom"/>
          </w:tcPr>
          <w:p w:rsidR="00376AFA" w:rsidRPr="00677D7A" w:rsidRDefault="00376AFA" w:rsidP="00741504">
            <w:pPr>
              <w:rPr>
                <w:b/>
                <w:noProof/>
              </w:rPr>
            </w:pPr>
            <w:r>
              <w:rPr>
                <w:b/>
                <w:noProof/>
              </w:rPr>
              <w:t>Type</w:t>
            </w:r>
          </w:p>
        </w:tc>
        <w:tc>
          <w:tcPr>
            <w:tcW w:w="1530" w:type="dxa"/>
            <w:tcBorders>
              <w:top w:val="single" w:sz="4" w:space="0" w:color="auto"/>
              <w:bottom w:val="single" w:sz="4" w:space="0" w:color="auto"/>
            </w:tcBorders>
            <w:vAlign w:val="bottom"/>
          </w:tcPr>
          <w:p w:rsidR="00376AFA" w:rsidRPr="00677D7A" w:rsidRDefault="00376AFA" w:rsidP="00741504">
            <w:pPr>
              <w:rPr>
                <w:b/>
                <w:noProof/>
              </w:rPr>
            </w:pPr>
            <w:r>
              <w:rPr>
                <w:b/>
                <w:noProof/>
              </w:rPr>
              <w:t>MIMIC</w:t>
            </w:r>
          </w:p>
        </w:tc>
        <w:tc>
          <w:tcPr>
            <w:tcW w:w="1530" w:type="dxa"/>
            <w:tcBorders>
              <w:top w:val="single" w:sz="4" w:space="0" w:color="auto"/>
              <w:bottom w:val="single" w:sz="4" w:space="0" w:color="auto"/>
            </w:tcBorders>
            <w:vAlign w:val="bottom"/>
          </w:tcPr>
          <w:p w:rsidR="00376AFA" w:rsidRPr="00677D7A" w:rsidRDefault="00376AFA" w:rsidP="00741504">
            <w:pPr>
              <w:rPr>
                <w:b/>
                <w:noProof/>
              </w:rPr>
            </w:pPr>
            <w:r>
              <w:rPr>
                <w:b/>
                <w:noProof/>
              </w:rPr>
              <w:t>FV</w:t>
            </w:r>
          </w:p>
        </w:tc>
      </w:tr>
      <w:tr w:rsidR="00376AFA" w:rsidRPr="00FB07AC" w:rsidTr="00741504">
        <w:trPr>
          <w:jc w:val="center"/>
        </w:trPr>
        <w:tc>
          <w:tcPr>
            <w:tcW w:w="1783" w:type="dxa"/>
            <w:tcBorders>
              <w:top w:val="single" w:sz="4" w:space="0" w:color="auto"/>
            </w:tcBorders>
          </w:tcPr>
          <w:p w:rsidR="00376AFA" w:rsidRPr="002E1356" w:rsidRDefault="00376AFA" w:rsidP="00741504">
            <w:pPr>
              <w:rPr>
                <w:noProof/>
              </w:rPr>
            </w:pPr>
            <w:r w:rsidRPr="002E1356">
              <w:rPr>
                <w:noProof/>
              </w:rPr>
              <w:t>Period</w:t>
            </w:r>
          </w:p>
        </w:tc>
        <w:tc>
          <w:tcPr>
            <w:tcW w:w="1530" w:type="dxa"/>
            <w:tcBorders>
              <w:top w:val="single" w:sz="4" w:space="0" w:color="auto"/>
            </w:tcBorders>
          </w:tcPr>
          <w:p w:rsidR="00376AFA" w:rsidRPr="002E1356" w:rsidRDefault="00376AFA" w:rsidP="00741504">
            <w:pPr>
              <w:rPr>
                <w:noProof/>
              </w:rPr>
            </w:pPr>
            <w:r w:rsidRPr="002E1356">
              <w:rPr>
                <w:noProof/>
              </w:rPr>
              <w:t>12,698 (53.7%)</w:t>
            </w:r>
          </w:p>
        </w:tc>
        <w:tc>
          <w:tcPr>
            <w:tcW w:w="1530" w:type="dxa"/>
            <w:tcBorders>
              <w:top w:val="single" w:sz="4" w:space="0" w:color="auto"/>
            </w:tcBorders>
          </w:tcPr>
          <w:p w:rsidR="00376AFA" w:rsidRPr="002E1356" w:rsidRDefault="00376AFA" w:rsidP="00741504">
            <w:pPr>
              <w:rPr>
                <w:noProof/>
              </w:rPr>
            </w:pPr>
            <w:r w:rsidRPr="002E1356">
              <w:rPr>
                <w:noProof/>
              </w:rPr>
              <w:t>13,619 (31.2%)</w:t>
            </w:r>
          </w:p>
        </w:tc>
      </w:tr>
      <w:tr w:rsidR="00376AFA" w:rsidRPr="00FB07AC" w:rsidTr="00741504">
        <w:trPr>
          <w:jc w:val="center"/>
        </w:trPr>
        <w:tc>
          <w:tcPr>
            <w:tcW w:w="1783" w:type="dxa"/>
          </w:tcPr>
          <w:p w:rsidR="00376AFA" w:rsidRPr="002E1356" w:rsidRDefault="00376AFA" w:rsidP="00741504">
            <w:pPr>
              <w:rPr>
                <w:noProof/>
              </w:rPr>
            </w:pPr>
            <w:r w:rsidRPr="002E1356">
              <w:rPr>
                <w:noProof/>
              </w:rPr>
              <w:t>Exclamation Point</w:t>
            </w:r>
          </w:p>
        </w:tc>
        <w:tc>
          <w:tcPr>
            <w:tcW w:w="1530" w:type="dxa"/>
          </w:tcPr>
          <w:p w:rsidR="00376AFA" w:rsidRPr="002E1356" w:rsidRDefault="00376AFA" w:rsidP="00741504">
            <w:pPr>
              <w:rPr>
                <w:noProof/>
              </w:rPr>
            </w:pPr>
            <w:r w:rsidRPr="002E1356">
              <w:rPr>
                <w:noProof/>
              </w:rPr>
              <w:t>4</w:t>
            </w:r>
          </w:p>
        </w:tc>
        <w:tc>
          <w:tcPr>
            <w:tcW w:w="1530" w:type="dxa"/>
          </w:tcPr>
          <w:p w:rsidR="00376AFA" w:rsidRPr="002E1356" w:rsidRDefault="00376AFA" w:rsidP="00741504">
            <w:pPr>
              <w:rPr>
                <w:noProof/>
              </w:rPr>
            </w:pPr>
            <w:r w:rsidRPr="002E1356">
              <w:rPr>
                <w:noProof/>
              </w:rPr>
              <w:t>19</w:t>
            </w:r>
          </w:p>
        </w:tc>
      </w:tr>
      <w:tr w:rsidR="00376AFA" w:rsidRPr="00FB07AC" w:rsidTr="00741504">
        <w:trPr>
          <w:jc w:val="center"/>
        </w:trPr>
        <w:tc>
          <w:tcPr>
            <w:tcW w:w="1783" w:type="dxa"/>
          </w:tcPr>
          <w:p w:rsidR="00376AFA" w:rsidRPr="002E1356" w:rsidRDefault="00376AFA" w:rsidP="00741504">
            <w:pPr>
              <w:rPr>
                <w:noProof/>
              </w:rPr>
            </w:pPr>
            <w:r w:rsidRPr="002E1356">
              <w:rPr>
                <w:noProof/>
              </w:rPr>
              <w:t>Question Mark</w:t>
            </w:r>
          </w:p>
        </w:tc>
        <w:tc>
          <w:tcPr>
            <w:tcW w:w="1530" w:type="dxa"/>
          </w:tcPr>
          <w:p w:rsidR="00376AFA" w:rsidRPr="002E1356" w:rsidRDefault="00376AFA" w:rsidP="00741504">
            <w:pPr>
              <w:rPr>
                <w:noProof/>
              </w:rPr>
            </w:pPr>
            <w:r w:rsidRPr="002E1356">
              <w:rPr>
                <w:noProof/>
              </w:rPr>
              <w:t>24 (0.1%)</w:t>
            </w:r>
          </w:p>
        </w:tc>
        <w:tc>
          <w:tcPr>
            <w:tcW w:w="1530" w:type="dxa"/>
          </w:tcPr>
          <w:p w:rsidR="00376AFA" w:rsidRPr="002E1356" w:rsidRDefault="00376AFA" w:rsidP="00741504">
            <w:pPr>
              <w:rPr>
                <w:noProof/>
              </w:rPr>
            </w:pPr>
            <w:r w:rsidRPr="002E1356">
              <w:rPr>
                <w:noProof/>
              </w:rPr>
              <w:t>261 (0.6%)</w:t>
            </w:r>
          </w:p>
        </w:tc>
      </w:tr>
      <w:tr w:rsidR="00376AFA" w:rsidRPr="00FB07AC" w:rsidTr="00741504">
        <w:trPr>
          <w:jc w:val="center"/>
        </w:trPr>
        <w:tc>
          <w:tcPr>
            <w:tcW w:w="1783" w:type="dxa"/>
          </w:tcPr>
          <w:p w:rsidR="00376AFA" w:rsidRPr="002E1356" w:rsidRDefault="00376AFA" w:rsidP="00741504">
            <w:pPr>
              <w:rPr>
                <w:noProof/>
              </w:rPr>
            </w:pPr>
            <w:r w:rsidRPr="002E1356">
              <w:rPr>
                <w:noProof/>
              </w:rPr>
              <w:t>Semi-colon</w:t>
            </w:r>
          </w:p>
        </w:tc>
        <w:tc>
          <w:tcPr>
            <w:tcW w:w="1530" w:type="dxa"/>
          </w:tcPr>
          <w:p w:rsidR="00376AFA" w:rsidRPr="002E1356" w:rsidRDefault="00376AFA" w:rsidP="00741504">
            <w:pPr>
              <w:rPr>
                <w:noProof/>
              </w:rPr>
            </w:pPr>
            <w:r w:rsidRPr="002E1356">
              <w:rPr>
                <w:noProof/>
              </w:rPr>
              <w:t>48 (0.2%)</w:t>
            </w:r>
          </w:p>
        </w:tc>
        <w:tc>
          <w:tcPr>
            <w:tcW w:w="1530" w:type="dxa"/>
          </w:tcPr>
          <w:p w:rsidR="00376AFA" w:rsidRPr="002E1356" w:rsidRDefault="00376AFA" w:rsidP="00741504">
            <w:pPr>
              <w:rPr>
                <w:noProof/>
              </w:rPr>
            </w:pPr>
            <w:r w:rsidRPr="002E1356">
              <w:rPr>
                <w:noProof/>
              </w:rPr>
              <w:t>10</w:t>
            </w:r>
          </w:p>
        </w:tc>
      </w:tr>
      <w:tr w:rsidR="00376AFA" w:rsidRPr="00FB07AC" w:rsidTr="00741504">
        <w:trPr>
          <w:jc w:val="center"/>
        </w:trPr>
        <w:tc>
          <w:tcPr>
            <w:tcW w:w="1783" w:type="dxa"/>
          </w:tcPr>
          <w:p w:rsidR="00376AFA" w:rsidRPr="002E1356" w:rsidRDefault="00376AFA" w:rsidP="00741504">
            <w:pPr>
              <w:rPr>
                <w:noProof/>
              </w:rPr>
            </w:pPr>
            <w:r w:rsidRPr="002E1356">
              <w:rPr>
                <w:noProof/>
              </w:rPr>
              <w:t>Colon</w:t>
            </w:r>
          </w:p>
        </w:tc>
        <w:tc>
          <w:tcPr>
            <w:tcW w:w="1530" w:type="dxa"/>
          </w:tcPr>
          <w:p w:rsidR="00376AFA" w:rsidRPr="002E1356" w:rsidRDefault="00376AFA" w:rsidP="00741504">
            <w:pPr>
              <w:rPr>
                <w:noProof/>
              </w:rPr>
            </w:pPr>
            <w:r w:rsidRPr="002E1356">
              <w:rPr>
                <w:noProof/>
              </w:rPr>
              <w:t>4,855 (20.5%)</w:t>
            </w:r>
          </w:p>
        </w:tc>
        <w:tc>
          <w:tcPr>
            <w:tcW w:w="1530" w:type="dxa"/>
          </w:tcPr>
          <w:p w:rsidR="00376AFA" w:rsidRPr="00D82265" w:rsidRDefault="00376AFA" w:rsidP="00741504">
            <w:r>
              <w:t>6,180 (14.2%)</w:t>
            </w:r>
          </w:p>
        </w:tc>
      </w:tr>
      <w:tr w:rsidR="00376AFA" w:rsidRPr="00FB07AC" w:rsidTr="00741504">
        <w:trPr>
          <w:jc w:val="center"/>
        </w:trPr>
        <w:tc>
          <w:tcPr>
            <w:tcW w:w="1783" w:type="dxa"/>
          </w:tcPr>
          <w:p w:rsidR="00376AFA" w:rsidRPr="002E1356" w:rsidRDefault="00376AFA" w:rsidP="00741504">
            <w:pPr>
              <w:rPr>
                <w:noProof/>
              </w:rPr>
            </w:pPr>
            <w:r w:rsidRPr="002E1356">
              <w:rPr>
                <w:noProof/>
              </w:rPr>
              <w:t>Quotation</w:t>
            </w:r>
          </w:p>
        </w:tc>
        <w:tc>
          <w:tcPr>
            <w:tcW w:w="1530" w:type="dxa"/>
          </w:tcPr>
          <w:p w:rsidR="00376AFA" w:rsidRPr="002E1356" w:rsidRDefault="00376AFA" w:rsidP="00741504">
            <w:pPr>
              <w:rPr>
                <w:noProof/>
              </w:rPr>
            </w:pPr>
            <w:r w:rsidRPr="002E1356">
              <w:rPr>
                <w:noProof/>
              </w:rPr>
              <w:t>4</w:t>
            </w:r>
          </w:p>
        </w:tc>
        <w:tc>
          <w:tcPr>
            <w:tcW w:w="1530" w:type="dxa"/>
          </w:tcPr>
          <w:p w:rsidR="00376AFA" w:rsidRPr="002E1356" w:rsidRDefault="00376AFA" w:rsidP="00741504">
            <w:pPr>
              <w:rPr>
                <w:noProof/>
              </w:rPr>
            </w:pPr>
            <w:r>
              <w:rPr>
                <w:noProof/>
              </w:rPr>
              <w:t>58 (0.1%)</w:t>
            </w:r>
          </w:p>
        </w:tc>
      </w:tr>
      <w:tr w:rsidR="00376AFA" w:rsidRPr="00FB07AC" w:rsidTr="00741504">
        <w:trPr>
          <w:jc w:val="center"/>
        </w:trPr>
        <w:tc>
          <w:tcPr>
            <w:tcW w:w="1783" w:type="dxa"/>
            <w:tcBorders>
              <w:bottom w:val="single" w:sz="4" w:space="0" w:color="auto"/>
            </w:tcBorders>
          </w:tcPr>
          <w:p w:rsidR="00376AFA" w:rsidRPr="002E1356" w:rsidRDefault="00376AFA" w:rsidP="00741504">
            <w:pPr>
              <w:rPr>
                <w:noProof/>
              </w:rPr>
            </w:pPr>
            <w:r w:rsidRPr="002E1356">
              <w:rPr>
                <w:noProof/>
              </w:rPr>
              <w:t>No symbol</w:t>
            </w:r>
          </w:p>
        </w:tc>
        <w:tc>
          <w:tcPr>
            <w:tcW w:w="1530" w:type="dxa"/>
            <w:tcBorders>
              <w:bottom w:val="single" w:sz="4" w:space="0" w:color="auto"/>
            </w:tcBorders>
          </w:tcPr>
          <w:p w:rsidR="00376AFA" w:rsidRPr="00D82265" w:rsidRDefault="00376AFA" w:rsidP="00741504">
            <w:r w:rsidRPr="00D82265">
              <w:rPr>
                <w:noProof/>
              </w:rPr>
              <w:t>6</w:t>
            </w:r>
            <w:r w:rsidRPr="002E1356">
              <w:rPr>
                <w:noProof/>
              </w:rPr>
              <w:t>,</w:t>
            </w:r>
            <w:r w:rsidRPr="00D82265">
              <w:rPr>
                <w:noProof/>
              </w:rPr>
              <w:t>018 (25.4%)</w:t>
            </w:r>
          </w:p>
        </w:tc>
        <w:tc>
          <w:tcPr>
            <w:tcW w:w="1530" w:type="dxa"/>
            <w:tcBorders>
              <w:bottom w:val="single" w:sz="4" w:space="0" w:color="auto"/>
            </w:tcBorders>
          </w:tcPr>
          <w:p w:rsidR="00376AFA" w:rsidRPr="002E1356" w:rsidRDefault="00376AFA" w:rsidP="00741504">
            <w:pPr>
              <w:rPr>
                <w:noProof/>
              </w:rPr>
            </w:pPr>
            <w:r>
              <w:rPr>
                <w:noProof/>
              </w:rPr>
              <w:t>23,506 (53.8%)</w:t>
            </w:r>
          </w:p>
        </w:tc>
      </w:tr>
    </w:tbl>
    <w:p w:rsidR="00376AFA" w:rsidRPr="00E26FD8" w:rsidRDefault="00376AFA" w:rsidP="00AA632C">
      <w:pPr>
        <w:pStyle w:val="BLevelTwoHeader"/>
      </w:pPr>
      <w:r w:rsidRPr="00E26FD8">
        <w:t>Evaluation of SBD Approaches</w:t>
      </w:r>
    </w:p>
    <w:p w:rsidR="005D2077" w:rsidRDefault="009A2AC4" w:rsidP="004D7ADD">
      <w:pPr>
        <w:pStyle w:val="DBodyText"/>
      </w:pPr>
      <w:r>
        <w:t xml:space="preserve">For our evaluation we ignored all tags that were labeled as ‘O’ both during training and during evaluation. </w:t>
      </w:r>
      <w:r w:rsidR="00B42540">
        <w:t>Thus, the recall</w:t>
      </w:r>
      <w:r w:rsidR="00530211">
        <w:t xml:space="preserve">, precision, and F1 for ‘B’ and ‘I’ are symmetric, every false positive </w:t>
      </w:r>
      <w:r w:rsidR="00A72BFB">
        <w:t xml:space="preserve">‘B’ is a </w:t>
      </w:r>
      <w:r w:rsidR="00CF799C">
        <w:t xml:space="preserve">false negative ‘I’ and every false negative ‘B’ is a false positive ‘I’. </w:t>
      </w:r>
      <w:r w:rsidR="00030F82">
        <w:t xml:space="preserve">We’ve reported only the ‘B’ scores as they are directly proportional to </w:t>
      </w:r>
      <w:r w:rsidR="0046187B">
        <w:t xml:space="preserve">the overall </w:t>
      </w:r>
      <w:r w:rsidR="00030F82">
        <w:t xml:space="preserve">accuracy </w:t>
      </w:r>
      <w:r w:rsidR="0046187B">
        <w:t xml:space="preserve">of detected sentences. </w:t>
      </w:r>
      <w:r w:rsidR="007F034C">
        <w:t xml:space="preserve">The best </w:t>
      </w:r>
      <w:r w:rsidR="00A20906">
        <w:t>architecture and hyper</w:t>
      </w:r>
      <w:r w:rsidR="00CB525F">
        <w:t>-</w:t>
      </w:r>
      <w:r w:rsidR="00A20906">
        <w:t xml:space="preserve">parameter tuned </w:t>
      </w:r>
      <w:r w:rsidR="007F034C">
        <w:t>models from cross validation achieved 98.6% F1</w:t>
      </w:r>
      <w:r w:rsidR="00E6188F">
        <w:t xml:space="preserve"> on both </w:t>
      </w:r>
      <w:r w:rsidR="000C6081">
        <w:t>‘</w:t>
      </w:r>
      <w:r w:rsidR="00E6188F">
        <w:t>B</w:t>
      </w:r>
      <w:r w:rsidR="000C6081">
        <w:t>’</w:t>
      </w:r>
      <w:r w:rsidR="00E6188F">
        <w:t xml:space="preserve"> and </w:t>
      </w:r>
      <w:r w:rsidR="000C6081">
        <w:t>‘</w:t>
      </w:r>
      <w:r w:rsidR="00E6188F">
        <w:t>I</w:t>
      </w:r>
      <w:r w:rsidR="000C6081">
        <w:t>’</w:t>
      </w:r>
      <w:r w:rsidR="00E6188F">
        <w:t xml:space="preserve"> tags on the MIMIC validation set</w:t>
      </w:r>
      <w:r w:rsidR="00E44A6F">
        <w:t xml:space="preserve"> and 99</w:t>
      </w:r>
      <w:r w:rsidR="0040508E">
        <w:t>.2</w:t>
      </w:r>
      <w:r w:rsidR="00E44A6F">
        <w:t>%</w:t>
      </w:r>
      <w:r w:rsidR="00982CF6">
        <w:t xml:space="preserve"> F1 on </w:t>
      </w:r>
      <w:r w:rsidR="000C6081">
        <w:t>‘</w:t>
      </w:r>
      <w:r w:rsidR="004A24D0">
        <w:t>B</w:t>
      </w:r>
      <w:r w:rsidR="000C6081">
        <w:t>’</w:t>
      </w:r>
      <w:r w:rsidR="004A24D0">
        <w:t xml:space="preserve"> and </w:t>
      </w:r>
      <w:r w:rsidR="000C6081">
        <w:t>‘</w:t>
      </w:r>
      <w:r w:rsidR="004A24D0">
        <w:t>I</w:t>
      </w:r>
      <w:r w:rsidR="000C6081">
        <w:t>’</w:t>
      </w:r>
      <w:r w:rsidR="004A24D0">
        <w:t xml:space="preserve"> tags in </w:t>
      </w:r>
      <w:r w:rsidR="00982CF6">
        <w:t xml:space="preserve">the </w:t>
      </w:r>
      <w:r w:rsidR="0040508E">
        <w:t xml:space="preserve">FV </w:t>
      </w:r>
      <w:r w:rsidR="008337CD">
        <w:t xml:space="preserve">validation </w:t>
      </w:r>
      <w:r w:rsidR="0040508E">
        <w:t>set.</w:t>
      </w:r>
    </w:p>
    <w:p w:rsidR="00CF6976" w:rsidRDefault="008A1437" w:rsidP="00CF6976">
      <w:pPr>
        <w:pStyle w:val="DBodyText"/>
      </w:pPr>
      <w:r>
        <w:t>We evaluated our implementation</w:t>
      </w:r>
      <w:r w:rsidR="009874B1">
        <w:t xml:space="preserve"> of SBD</w:t>
      </w:r>
      <w:r>
        <w:t xml:space="preserve"> against the </w:t>
      </w:r>
      <w:r w:rsidR="00831B9B">
        <w:t>50%</w:t>
      </w:r>
      <w:r>
        <w:t xml:space="preserve"> FV hold-out data set</w:t>
      </w:r>
      <w:r w:rsidR="00831B9B">
        <w:t xml:space="preserve"> (476 notes)</w:t>
      </w:r>
      <w:r>
        <w:t xml:space="preserve">. </w:t>
      </w:r>
      <w:r w:rsidR="0073466E">
        <w:t xml:space="preserve">In addition to the architecture described above, we evaluated </w:t>
      </w:r>
      <w:r w:rsidR="003B63F3">
        <w:t>a</w:t>
      </w:r>
      <w:r w:rsidR="00ED0C41">
        <w:t xml:space="preserve"> </w:t>
      </w:r>
      <w:r w:rsidR="0016093B">
        <w:t>maximum entropy</w:t>
      </w:r>
      <w:r w:rsidR="009874B1">
        <w:t xml:space="preserve"> / logistic regression</w:t>
      </w:r>
      <w:r w:rsidR="0016093B">
        <w:t xml:space="preserve"> classifier</w:t>
      </w:r>
      <w:r w:rsidR="00ED0C41">
        <w:t xml:space="preserve"> </w:t>
      </w:r>
      <w:r w:rsidR="00C75A9B">
        <w:t>(listed as LR)</w:t>
      </w:r>
      <w:r w:rsidR="00ED0C41">
        <w:t xml:space="preserve"> </w:t>
      </w:r>
      <w:r w:rsidR="00591927">
        <w:t xml:space="preserve">using optimization of </w:t>
      </w:r>
      <w:r w:rsidR="009874B1">
        <w:t xml:space="preserve">a </w:t>
      </w:r>
      <w:r w:rsidR="0015188F">
        <w:t>sigmoid</w:t>
      </w:r>
      <w:r w:rsidR="009874B1">
        <w:t>-activated</w:t>
      </w:r>
      <w:r w:rsidR="0015188F">
        <w:t xml:space="preserve"> </w:t>
      </w:r>
      <w:r w:rsidR="00591927">
        <w:t xml:space="preserve">dense </w:t>
      </w:r>
      <w:r w:rsidR="0015188F">
        <w:t>NN</w:t>
      </w:r>
      <w:r w:rsidR="00591927">
        <w:t xml:space="preserve"> layer</w:t>
      </w:r>
      <w:r w:rsidR="0015188F">
        <w:t xml:space="preserve"> </w:t>
      </w:r>
      <w:r w:rsidR="009874B1">
        <w:t xml:space="preserve">on an </w:t>
      </w:r>
      <w:r w:rsidR="0015188F">
        <w:t>input of 7 characters</w:t>
      </w:r>
      <w:r w:rsidR="00D93D2F">
        <w:t xml:space="preserve"> before</w:t>
      </w:r>
      <w:r w:rsidR="0015188F">
        <w:t xml:space="preserve">, </w:t>
      </w:r>
      <w:r w:rsidR="00D93D2F">
        <w:t>at the beginning, at the end, and following every word</w:t>
      </w:r>
      <w:r w:rsidR="0015188F">
        <w:t>.</w:t>
      </w:r>
      <w:r w:rsidR="004240EC">
        <w:t xml:space="preserve"> This is an approach similar to, but not as tuned as </w:t>
      </w:r>
      <w:r w:rsidR="00760BCB">
        <w:t xml:space="preserve">individual </w:t>
      </w:r>
      <w:r w:rsidR="004240EC">
        <w:t>implementations of maximum entropy SBD.</w:t>
      </w:r>
      <w:r w:rsidR="00C643AE">
        <w:t xml:space="preserve"> The primary metric</w:t>
      </w:r>
      <w:r w:rsidR="00E173A8">
        <w:t>s</w:t>
      </w:r>
      <w:r w:rsidR="00C643AE">
        <w:t xml:space="preserve"> used for evaluation w</w:t>
      </w:r>
      <w:r w:rsidR="00E173A8">
        <w:t>ere</w:t>
      </w:r>
      <w:r w:rsidR="00C643AE">
        <w:t xml:space="preserve"> the </w:t>
      </w:r>
      <w:r w:rsidR="00E173A8">
        <w:t xml:space="preserve">precision, recall, and </w:t>
      </w:r>
      <w:r w:rsidR="00C643AE">
        <w:t xml:space="preserve">F1-score </w:t>
      </w:r>
      <w:r w:rsidR="00E173A8">
        <w:t>for</w:t>
      </w:r>
      <w:r w:rsidR="00C643AE">
        <w:t xml:space="preserve"> the </w:t>
      </w:r>
      <w:r w:rsidR="000F1000">
        <w:t xml:space="preserve">beginning of sentence </w:t>
      </w:r>
      <w:r w:rsidR="00C643AE">
        <w:t xml:space="preserve">class tag. </w:t>
      </w:r>
    </w:p>
    <w:p w:rsidR="00C643AE" w:rsidRDefault="00C857C5" w:rsidP="008A1437">
      <w:pPr>
        <w:pStyle w:val="DBodyText"/>
      </w:pPr>
      <w:r>
        <w:t xml:space="preserve">In addition to models trained </w:t>
      </w:r>
      <w:r w:rsidR="006E7CBA">
        <w:t>on MIMIC and FV individually,</w:t>
      </w:r>
      <w:r>
        <w:t xml:space="preserve"> </w:t>
      </w:r>
      <w:r w:rsidR="006E7CBA">
        <w:t>w</w:t>
      </w:r>
      <w:r w:rsidR="006A0E7B">
        <w:t xml:space="preserve">e evaluated three methods </w:t>
      </w:r>
      <w:r w:rsidR="00A2050A">
        <w:t xml:space="preserve">to test generalizability against the FV test corpus. </w:t>
      </w:r>
      <w:r w:rsidR="001A3AF8">
        <w:t xml:space="preserve">The models trained solely against one corpus are listed as </w:t>
      </w:r>
      <w:r w:rsidR="00524759">
        <w:t>“</w:t>
      </w:r>
      <w:r w:rsidR="001A3AF8">
        <w:t>MIMIC</w:t>
      </w:r>
      <w:r w:rsidR="00524759">
        <w:t>”</w:t>
      </w:r>
      <w:r w:rsidR="001A3AF8">
        <w:t xml:space="preserve"> and </w:t>
      </w:r>
      <w:r w:rsidR="00524759">
        <w:t>“</w:t>
      </w:r>
      <w:r w:rsidR="001A3AF8">
        <w:t>FV.</w:t>
      </w:r>
      <w:r w:rsidR="00524759">
        <w:t>”</w:t>
      </w:r>
      <w:r w:rsidR="001A3AF8">
        <w:t xml:space="preserve"> The results of </w:t>
      </w:r>
      <w:r w:rsidR="0002646C">
        <w:t xml:space="preserve">a model trained on a both corpora’s cross-validation set combined are </w:t>
      </w:r>
      <w:r w:rsidR="00327AB1">
        <w:t xml:space="preserve">listed as </w:t>
      </w:r>
      <w:r w:rsidR="00524759">
        <w:t>“</w:t>
      </w:r>
      <w:r w:rsidR="00327AB1">
        <w:t>MIMIC+FV.</w:t>
      </w:r>
      <w:r w:rsidR="00524759">
        <w:t>”</w:t>
      </w:r>
      <w:r w:rsidR="00327AB1">
        <w:t xml:space="preserve"> </w:t>
      </w:r>
      <w:r w:rsidR="00524759">
        <w:t xml:space="preserve">The continued training of one network is listed as “MIMIC then FV” and the ensemble model is listed as “Ensemble.” </w:t>
      </w:r>
      <w:r w:rsidR="006E7CBA">
        <w:t>Results of these evaluations are show in Table 6</w:t>
      </w:r>
      <w:r w:rsidR="00FE7CDD">
        <w:t xml:space="preserve"> with best results </w:t>
      </w:r>
      <w:r w:rsidR="00B34360">
        <w:t>in bold</w:t>
      </w:r>
      <w:r w:rsidR="00FE7CDD">
        <w:t>.</w:t>
      </w:r>
    </w:p>
    <w:p w:rsidR="006E7CBA" w:rsidRPr="005C35B6" w:rsidRDefault="006E7CBA" w:rsidP="006E7CBA">
      <w:pPr>
        <w:pStyle w:val="DTableTitle"/>
      </w:pPr>
      <w:r>
        <w:t xml:space="preserve">Table 6 </w:t>
      </w:r>
      <w:r w:rsidR="00647DF7">
        <w:t>–</w:t>
      </w:r>
      <w:r>
        <w:t xml:space="preserve"> </w:t>
      </w:r>
      <w:r w:rsidR="00D46813">
        <w:t>‘</w:t>
      </w:r>
      <w:r w:rsidR="00C960ED">
        <w:t>B</w:t>
      </w:r>
      <w:r w:rsidR="00D46813">
        <w:t xml:space="preserve">’ </w:t>
      </w:r>
      <w:r w:rsidR="00C960ED">
        <w:t xml:space="preserve">Tag </w:t>
      </w:r>
      <w:r w:rsidR="00212F04">
        <w:t>Accuracy</w:t>
      </w:r>
      <w:r w:rsidR="00647DF7">
        <w:t xml:space="preserve"> Against FV Hold-out</w:t>
      </w:r>
    </w:p>
    <w:tbl>
      <w:tblPr>
        <w:tblW w:w="0" w:type="auto"/>
        <w:jc w:val="center"/>
        <w:tblLayout w:type="fixed"/>
        <w:tblLook w:val="0000" w:firstRow="0" w:lastRow="0" w:firstColumn="0" w:lastColumn="0" w:noHBand="0" w:noVBand="0"/>
      </w:tblPr>
      <w:tblGrid>
        <w:gridCol w:w="1620"/>
        <w:gridCol w:w="1080"/>
        <w:gridCol w:w="990"/>
        <w:gridCol w:w="720"/>
      </w:tblGrid>
      <w:tr w:rsidR="006E7CBA" w:rsidRPr="00FB07AC" w:rsidTr="002B2965">
        <w:trPr>
          <w:jc w:val="center"/>
        </w:trPr>
        <w:tc>
          <w:tcPr>
            <w:tcW w:w="1620" w:type="dxa"/>
            <w:tcBorders>
              <w:top w:val="single" w:sz="4" w:space="0" w:color="auto"/>
              <w:bottom w:val="single" w:sz="4" w:space="0" w:color="auto"/>
            </w:tcBorders>
            <w:vAlign w:val="bottom"/>
          </w:tcPr>
          <w:p w:rsidR="006E7CBA" w:rsidRPr="00677D7A" w:rsidRDefault="00F46D43" w:rsidP="00F53449">
            <w:pPr>
              <w:rPr>
                <w:b/>
                <w:noProof/>
              </w:rPr>
            </w:pPr>
            <w:r>
              <w:rPr>
                <w:b/>
                <w:noProof/>
              </w:rPr>
              <w:t>Method</w:t>
            </w:r>
          </w:p>
        </w:tc>
        <w:tc>
          <w:tcPr>
            <w:tcW w:w="1080" w:type="dxa"/>
            <w:tcBorders>
              <w:top w:val="single" w:sz="4" w:space="0" w:color="auto"/>
              <w:bottom w:val="single" w:sz="4" w:space="0" w:color="auto"/>
            </w:tcBorders>
            <w:vAlign w:val="bottom"/>
          </w:tcPr>
          <w:p w:rsidR="006E7CBA" w:rsidRPr="00677D7A" w:rsidRDefault="00F46D43" w:rsidP="00F53449">
            <w:pPr>
              <w:rPr>
                <w:b/>
                <w:noProof/>
              </w:rPr>
            </w:pPr>
            <w:r>
              <w:rPr>
                <w:b/>
                <w:noProof/>
              </w:rPr>
              <w:t>Prec</w:t>
            </w:r>
            <w:r w:rsidR="001E7AFB">
              <w:rPr>
                <w:b/>
                <w:noProof/>
              </w:rPr>
              <w:t>ision</w:t>
            </w:r>
          </w:p>
        </w:tc>
        <w:tc>
          <w:tcPr>
            <w:tcW w:w="990" w:type="dxa"/>
            <w:tcBorders>
              <w:top w:val="single" w:sz="4" w:space="0" w:color="auto"/>
              <w:bottom w:val="single" w:sz="4" w:space="0" w:color="auto"/>
            </w:tcBorders>
            <w:vAlign w:val="bottom"/>
          </w:tcPr>
          <w:p w:rsidR="0039538E" w:rsidRPr="00677D7A" w:rsidRDefault="00F46D43" w:rsidP="00F53449">
            <w:pPr>
              <w:rPr>
                <w:b/>
                <w:noProof/>
              </w:rPr>
            </w:pPr>
            <w:r>
              <w:rPr>
                <w:b/>
                <w:noProof/>
              </w:rPr>
              <w:t>Recall</w:t>
            </w:r>
          </w:p>
        </w:tc>
        <w:tc>
          <w:tcPr>
            <w:tcW w:w="720" w:type="dxa"/>
            <w:tcBorders>
              <w:top w:val="single" w:sz="4" w:space="0" w:color="auto"/>
              <w:bottom w:val="single" w:sz="4" w:space="0" w:color="auto"/>
            </w:tcBorders>
            <w:vAlign w:val="bottom"/>
          </w:tcPr>
          <w:p w:rsidR="006E7CBA" w:rsidRPr="00677D7A" w:rsidRDefault="001E7AFB" w:rsidP="00F53449">
            <w:pPr>
              <w:rPr>
                <w:b/>
                <w:noProof/>
              </w:rPr>
            </w:pPr>
            <w:r>
              <w:rPr>
                <w:b/>
                <w:noProof/>
              </w:rPr>
              <w:t>F1</w:t>
            </w:r>
          </w:p>
        </w:tc>
      </w:tr>
      <w:tr w:rsidR="006E7CBA" w:rsidRPr="00FB07AC" w:rsidTr="002B2965">
        <w:trPr>
          <w:jc w:val="center"/>
        </w:trPr>
        <w:tc>
          <w:tcPr>
            <w:tcW w:w="1620" w:type="dxa"/>
            <w:tcBorders>
              <w:top w:val="single" w:sz="4" w:space="0" w:color="auto"/>
            </w:tcBorders>
          </w:tcPr>
          <w:p w:rsidR="006E7CBA" w:rsidRPr="00677D7A" w:rsidRDefault="00B051B2" w:rsidP="00F53449">
            <w:pPr>
              <w:rPr>
                <w:noProof/>
              </w:rPr>
            </w:pPr>
            <w:r>
              <w:rPr>
                <w:noProof/>
              </w:rPr>
              <w:t>LR</w:t>
            </w:r>
            <w:r w:rsidR="003B6448">
              <w:rPr>
                <w:noProof/>
              </w:rPr>
              <w:t>-MIMIC</w:t>
            </w:r>
          </w:p>
        </w:tc>
        <w:tc>
          <w:tcPr>
            <w:tcW w:w="1080" w:type="dxa"/>
            <w:tcBorders>
              <w:top w:val="single" w:sz="4" w:space="0" w:color="auto"/>
            </w:tcBorders>
          </w:tcPr>
          <w:p w:rsidR="006E7CBA" w:rsidRPr="00677D7A" w:rsidRDefault="00DF42F0" w:rsidP="00F53449">
            <w:pPr>
              <w:rPr>
                <w:noProof/>
              </w:rPr>
            </w:pPr>
            <w:r>
              <w:rPr>
                <w:noProof/>
              </w:rPr>
              <w:t>0.511</w:t>
            </w:r>
          </w:p>
        </w:tc>
        <w:tc>
          <w:tcPr>
            <w:tcW w:w="990" w:type="dxa"/>
            <w:tcBorders>
              <w:top w:val="single" w:sz="4" w:space="0" w:color="auto"/>
            </w:tcBorders>
          </w:tcPr>
          <w:p w:rsidR="006E7CBA" w:rsidRPr="00677D7A" w:rsidRDefault="006B5A6E" w:rsidP="00F53449">
            <w:pPr>
              <w:rPr>
                <w:noProof/>
              </w:rPr>
            </w:pPr>
            <w:r>
              <w:rPr>
                <w:noProof/>
              </w:rPr>
              <w:t>0.840</w:t>
            </w:r>
          </w:p>
        </w:tc>
        <w:tc>
          <w:tcPr>
            <w:tcW w:w="720" w:type="dxa"/>
            <w:tcBorders>
              <w:top w:val="single" w:sz="4" w:space="0" w:color="auto"/>
            </w:tcBorders>
          </w:tcPr>
          <w:p w:rsidR="006E7CBA" w:rsidRPr="00677D7A" w:rsidRDefault="00B81C0C" w:rsidP="00F53449">
            <w:pPr>
              <w:rPr>
                <w:noProof/>
              </w:rPr>
            </w:pPr>
            <w:r>
              <w:rPr>
                <w:noProof/>
              </w:rPr>
              <w:t>0.636</w:t>
            </w:r>
          </w:p>
        </w:tc>
      </w:tr>
      <w:tr w:rsidR="003B6448" w:rsidRPr="00FB07AC" w:rsidTr="002B2965">
        <w:trPr>
          <w:jc w:val="center"/>
        </w:trPr>
        <w:tc>
          <w:tcPr>
            <w:tcW w:w="1620" w:type="dxa"/>
          </w:tcPr>
          <w:p w:rsidR="003B6448" w:rsidRDefault="003B6448" w:rsidP="007B73CE">
            <w:pPr>
              <w:rPr>
                <w:noProof/>
              </w:rPr>
            </w:pPr>
            <w:r>
              <w:rPr>
                <w:noProof/>
              </w:rPr>
              <w:t>LR-FV</w:t>
            </w:r>
          </w:p>
        </w:tc>
        <w:tc>
          <w:tcPr>
            <w:tcW w:w="1080" w:type="dxa"/>
          </w:tcPr>
          <w:p w:rsidR="003B6448" w:rsidRDefault="006E48A6" w:rsidP="007B73CE">
            <w:pPr>
              <w:rPr>
                <w:noProof/>
              </w:rPr>
            </w:pPr>
            <w:r>
              <w:rPr>
                <w:noProof/>
              </w:rPr>
              <w:t>0.650</w:t>
            </w:r>
          </w:p>
        </w:tc>
        <w:tc>
          <w:tcPr>
            <w:tcW w:w="990" w:type="dxa"/>
          </w:tcPr>
          <w:p w:rsidR="003B6448" w:rsidRDefault="00FF3254" w:rsidP="007B73CE">
            <w:pPr>
              <w:rPr>
                <w:noProof/>
              </w:rPr>
            </w:pPr>
            <w:r>
              <w:rPr>
                <w:noProof/>
              </w:rPr>
              <w:t>0.948</w:t>
            </w:r>
          </w:p>
        </w:tc>
        <w:tc>
          <w:tcPr>
            <w:tcW w:w="720" w:type="dxa"/>
          </w:tcPr>
          <w:p w:rsidR="003B6448" w:rsidRDefault="00FF3254" w:rsidP="007B73CE">
            <w:pPr>
              <w:rPr>
                <w:noProof/>
              </w:rPr>
            </w:pPr>
            <w:r>
              <w:rPr>
                <w:noProof/>
              </w:rPr>
              <w:t>0.771</w:t>
            </w:r>
          </w:p>
        </w:tc>
      </w:tr>
      <w:tr w:rsidR="00B051B2" w:rsidRPr="00FB07AC" w:rsidTr="002B2965">
        <w:trPr>
          <w:jc w:val="center"/>
        </w:trPr>
        <w:tc>
          <w:tcPr>
            <w:tcW w:w="1620" w:type="dxa"/>
          </w:tcPr>
          <w:p w:rsidR="00B051B2" w:rsidRDefault="00B051B2" w:rsidP="00F53449">
            <w:pPr>
              <w:rPr>
                <w:noProof/>
              </w:rPr>
            </w:pPr>
            <w:r>
              <w:rPr>
                <w:noProof/>
              </w:rPr>
              <w:t>MIMIC</w:t>
            </w:r>
          </w:p>
        </w:tc>
        <w:tc>
          <w:tcPr>
            <w:tcW w:w="1080" w:type="dxa"/>
          </w:tcPr>
          <w:p w:rsidR="00B051B2" w:rsidRPr="00677D7A" w:rsidRDefault="00300605" w:rsidP="00F53449">
            <w:pPr>
              <w:rPr>
                <w:noProof/>
              </w:rPr>
            </w:pPr>
            <w:r>
              <w:rPr>
                <w:noProof/>
              </w:rPr>
              <w:t>0.</w:t>
            </w:r>
            <w:r w:rsidR="00111BCD">
              <w:rPr>
                <w:noProof/>
              </w:rPr>
              <w:t>829</w:t>
            </w:r>
          </w:p>
        </w:tc>
        <w:tc>
          <w:tcPr>
            <w:tcW w:w="990" w:type="dxa"/>
          </w:tcPr>
          <w:p w:rsidR="00B051B2" w:rsidRPr="00677D7A" w:rsidRDefault="00300605" w:rsidP="00F53449">
            <w:pPr>
              <w:rPr>
                <w:noProof/>
              </w:rPr>
            </w:pPr>
            <w:r>
              <w:rPr>
                <w:noProof/>
              </w:rPr>
              <w:t>0.</w:t>
            </w:r>
            <w:r w:rsidR="00111BCD">
              <w:rPr>
                <w:noProof/>
              </w:rPr>
              <w:t>971</w:t>
            </w:r>
          </w:p>
        </w:tc>
        <w:tc>
          <w:tcPr>
            <w:tcW w:w="720" w:type="dxa"/>
          </w:tcPr>
          <w:p w:rsidR="00B051B2" w:rsidRPr="00677D7A" w:rsidRDefault="00300605" w:rsidP="00F53449">
            <w:pPr>
              <w:rPr>
                <w:noProof/>
              </w:rPr>
            </w:pPr>
            <w:r>
              <w:rPr>
                <w:noProof/>
              </w:rPr>
              <w:t>0.</w:t>
            </w:r>
            <w:r w:rsidR="0022271B">
              <w:rPr>
                <w:noProof/>
              </w:rPr>
              <w:t>895</w:t>
            </w:r>
          </w:p>
        </w:tc>
      </w:tr>
      <w:tr w:rsidR="006E7CBA" w:rsidRPr="00FB07AC" w:rsidTr="002B2965">
        <w:trPr>
          <w:jc w:val="center"/>
        </w:trPr>
        <w:tc>
          <w:tcPr>
            <w:tcW w:w="1620" w:type="dxa"/>
          </w:tcPr>
          <w:p w:rsidR="006E7CBA" w:rsidRPr="00677D7A" w:rsidRDefault="00F46D43" w:rsidP="00F53449">
            <w:pPr>
              <w:rPr>
                <w:noProof/>
              </w:rPr>
            </w:pPr>
            <w:r>
              <w:rPr>
                <w:noProof/>
              </w:rPr>
              <w:t>FV</w:t>
            </w:r>
          </w:p>
        </w:tc>
        <w:tc>
          <w:tcPr>
            <w:tcW w:w="1080" w:type="dxa"/>
          </w:tcPr>
          <w:p w:rsidR="006E7CBA" w:rsidRPr="00677D7A" w:rsidRDefault="003008A9" w:rsidP="00F53449">
            <w:pPr>
              <w:rPr>
                <w:noProof/>
              </w:rPr>
            </w:pPr>
            <w:r>
              <w:rPr>
                <w:noProof/>
              </w:rPr>
              <w:t>0.</w:t>
            </w:r>
            <w:r w:rsidR="00C07E03">
              <w:rPr>
                <w:noProof/>
              </w:rPr>
              <w:t>923</w:t>
            </w:r>
          </w:p>
        </w:tc>
        <w:tc>
          <w:tcPr>
            <w:tcW w:w="990" w:type="dxa"/>
          </w:tcPr>
          <w:p w:rsidR="006E7CBA" w:rsidRPr="00677D7A" w:rsidRDefault="003008A9" w:rsidP="00F53449">
            <w:pPr>
              <w:rPr>
                <w:noProof/>
              </w:rPr>
            </w:pPr>
            <w:r>
              <w:rPr>
                <w:noProof/>
              </w:rPr>
              <w:t>0.</w:t>
            </w:r>
            <w:r w:rsidR="002B2965">
              <w:rPr>
                <w:noProof/>
              </w:rPr>
              <w:t>9</w:t>
            </w:r>
            <w:r w:rsidR="00C07E03">
              <w:rPr>
                <w:noProof/>
              </w:rPr>
              <w:t>91</w:t>
            </w:r>
          </w:p>
        </w:tc>
        <w:tc>
          <w:tcPr>
            <w:tcW w:w="720" w:type="dxa"/>
          </w:tcPr>
          <w:p w:rsidR="006E7CBA" w:rsidRPr="00677D7A" w:rsidRDefault="003008A9" w:rsidP="00F53449">
            <w:pPr>
              <w:rPr>
                <w:noProof/>
              </w:rPr>
            </w:pPr>
            <w:r>
              <w:rPr>
                <w:noProof/>
              </w:rPr>
              <w:t>0.</w:t>
            </w:r>
            <w:r w:rsidR="002B2965">
              <w:rPr>
                <w:noProof/>
              </w:rPr>
              <w:t>95</w:t>
            </w:r>
            <w:r w:rsidR="00C07E03">
              <w:rPr>
                <w:noProof/>
              </w:rPr>
              <w:t>6</w:t>
            </w:r>
          </w:p>
        </w:tc>
      </w:tr>
      <w:tr w:rsidR="006E7CBA" w:rsidRPr="00FB07AC" w:rsidTr="002B2965">
        <w:trPr>
          <w:jc w:val="center"/>
        </w:trPr>
        <w:tc>
          <w:tcPr>
            <w:tcW w:w="1620" w:type="dxa"/>
          </w:tcPr>
          <w:p w:rsidR="006E7CBA" w:rsidRPr="00677D7A" w:rsidRDefault="00F46D43" w:rsidP="00F53449">
            <w:pPr>
              <w:rPr>
                <w:noProof/>
              </w:rPr>
            </w:pPr>
            <w:r>
              <w:rPr>
                <w:noProof/>
              </w:rPr>
              <w:t>MIMIC+FV</w:t>
            </w:r>
          </w:p>
        </w:tc>
        <w:tc>
          <w:tcPr>
            <w:tcW w:w="1080" w:type="dxa"/>
          </w:tcPr>
          <w:p w:rsidR="006E7CBA" w:rsidRPr="00677D7A" w:rsidRDefault="00EA70C9" w:rsidP="00F53449">
            <w:pPr>
              <w:rPr>
                <w:noProof/>
              </w:rPr>
            </w:pPr>
            <w:r>
              <w:rPr>
                <w:noProof/>
              </w:rPr>
              <w:t>0</w:t>
            </w:r>
            <w:r w:rsidR="003D6EA2">
              <w:rPr>
                <w:noProof/>
              </w:rPr>
              <w:t>.</w:t>
            </w:r>
            <w:r w:rsidR="00BE1EBF">
              <w:rPr>
                <w:noProof/>
              </w:rPr>
              <w:t>919</w:t>
            </w:r>
          </w:p>
        </w:tc>
        <w:tc>
          <w:tcPr>
            <w:tcW w:w="990" w:type="dxa"/>
          </w:tcPr>
          <w:p w:rsidR="006E7CBA" w:rsidRPr="007B5BC2" w:rsidRDefault="003D6EA2" w:rsidP="00F53449">
            <w:pPr>
              <w:rPr>
                <w:b/>
              </w:rPr>
            </w:pPr>
            <w:r w:rsidRPr="007B5BC2">
              <w:rPr>
                <w:b/>
              </w:rPr>
              <w:t>0.</w:t>
            </w:r>
            <w:r w:rsidR="002B2965" w:rsidRPr="007B5BC2">
              <w:rPr>
                <w:b/>
              </w:rPr>
              <w:t>99</w:t>
            </w:r>
            <w:r w:rsidR="00BE1EBF" w:rsidRPr="007B5BC2">
              <w:rPr>
                <w:b/>
              </w:rPr>
              <w:t>5</w:t>
            </w:r>
          </w:p>
        </w:tc>
        <w:tc>
          <w:tcPr>
            <w:tcW w:w="720" w:type="dxa"/>
          </w:tcPr>
          <w:p w:rsidR="006E7CBA" w:rsidRPr="00677D7A" w:rsidRDefault="00577FE8" w:rsidP="00F53449">
            <w:pPr>
              <w:rPr>
                <w:noProof/>
              </w:rPr>
            </w:pPr>
            <w:r>
              <w:rPr>
                <w:noProof/>
              </w:rPr>
              <w:t>0.</w:t>
            </w:r>
            <w:r w:rsidR="002B2965">
              <w:rPr>
                <w:noProof/>
              </w:rPr>
              <w:t>9</w:t>
            </w:r>
            <w:r w:rsidR="00BE1EBF">
              <w:rPr>
                <w:noProof/>
              </w:rPr>
              <w:t>56</w:t>
            </w:r>
          </w:p>
        </w:tc>
      </w:tr>
      <w:tr w:rsidR="006E7CBA" w:rsidRPr="00FB07AC" w:rsidTr="002B2965">
        <w:trPr>
          <w:jc w:val="center"/>
        </w:trPr>
        <w:tc>
          <w:tcPr>
            <w:tcW w:w="1620" w:type="dxa"/>
          </w:tcPr>
          <w:p w:rsidR="006E7CBA" w:rsidRPr="00677D7A" w:rsidRDefault="00F46D43" w:rsidP="00F53449">
            <w:pPr>
              <w:rPr>
                <w:noProof/>
              </w:rPr>
            </w:pPr>
            <w:r>
              <w:rPr>
                <w:noProof/>
              </w:rPr>
              <w:t>MIMIC then FV</w:t>
            </w:r>
          </w:p>
        </w:tc>
        <w:tc>
          <w:tcPr>
            <w:tcW w:w="1080" w:type="dxa"/>
          </w:tcPr>
          <w:p w:rsidR="006E7CBA" w:rsidRPr="00677D7A" w:rsidRDefault="00DB5F0B" w:rsidP="00F53449">
            <w:pPr>
              <w:rPr>
                <w:noProof/>
              </w:rPr>
            </w:pPr>
            <w:r>
              <w:rPr>
                <w:noProof/>
              </w:rPr>
              <w:t>0.</w:t>
            </w:r>
            <w:r w:rsidR="00424CBA">
              <w:rPr>
                <w:noProof/>
              </w:rPr>
              <w:t>910</w:t>
            </w:r>
          </w:p>
        </w:tc>
        <w:tc>
          <w:tcPr>
            <w:tcW w:w="990" w:type="dxa"/>
          </w:tcPr>
          <w:p w:rsidR="006E7CBA" w:rsidRPr="00677D7A" w:rsidRDefault="00DB5F0B" w:rsidP="00F53449">
            <w:pPr>
              <w:rPr>
                <w:noProof/>
              </w:rPr>
            </w:pPr>
            <w:r>
              <w:rPr>
                <w:noProof/>
              </w:rPr>
              <w:t>0.</w:t>
            </w:r>
            <w:r w:rsidR="006157AE">
              <w:rPr>
                <w:noProof/>
              </w:rPr>
              <w:t>992</w:t>
            </w:r>
          </w:p>
        </w:tc>
        <w:tc>
          <w:tcPr>
            <w:tcW w:w="720" w:type="dxa"/>
          </w:tcPr>
          <w:p w:rsidR="006E7CBA" w:rsidRPr="00677D7A" w:rsidRDefault="00DB5F0B" w:rsidP="00F53449">
            <w:pPr>
              <w:rPr>
                <w:noProof/>
              </w:rPr>
            </w:pPr>
            <w:r>
              <w:rPr>
                <w:noProof/>
              </w:rPr>
              <w:t>0.</w:t>
            </w:r>
            <w:r w:rsidR="006157AE">
              <w:rPr>
                <w:noProof/>
              </w:rPr>
              <w:t>949</w:t>
            </w:r>
          </w:p>
        </w:tc>
      </w:tr>
      <w:tr w:rsidR="006E7CBA" w:rsidRPr="00FB07AC" w:rsidTr="002B2965">
        <w:trPr>
          <w:jc w:val="center"/>
        </w:trPr>
        <w:tc>
          <w:tcPr>
            <w:tcW w:w="1620" w:type="dxa"/>
            <w:tcBorders>
              <w:bottom w:val="single" w:sz="4" w:space="0" w:color="auto"/>
            </w:tcBorders>
          </w:tcPr>
          <w:p w:rsidR="006E7CBA" w:rsidRPr="00677D7A" w:rsidRDefault="001B4674" w:rsidP="00F53449">
            <w:pPr>
              <w:rPr>
                <w:noProof/>
              </w:rPr>
            </w:pPr>
            <w:r>
              <w:rPr>
                <w:noProof/>
              </w:rPr>
              <w:t>Ensemble</w:t>
            </w:r>
          </w:p>
        </w:tc>
        <w:tc>
          <w:tcPr>
            <w:tcW w:w="1080" w:type="dxa"/>
            <w:tcBorders>
              <w:bottom w:val="single" w:sz="4" w:space="0" w:color="auto"/>
            </w:tcBorders>
          </w:tcPr>
          <w:p w:rsidR="006E7CBA" w:rsidRPr="007B5BC2" w:rsidRDefault="00543F29" w:rsidP="00F53449">
            <w:pPr>
              <w:rPr>
                <w:b/>
              </w:rPr>
            </w:pPr>
            <w:r w:rsidRPr="007B5BC2">
              <w:rPr>
                <w:b/>
                <w:noProof/>
              </w:rPr>
              <w:t>0.933</w:t>
            </w:r>
          </w:p>
        </w:tc>
        <w:tc>
          <w:tcPr>
            <w:tcW w:w="990" w:type="dxa"/>
            <w:tcBorders>
              <w:bottom w:val="single" w:sz="4" w:space="0" w:color="auto"/>
            </w:tcBorders>
          </w:tcPr>
          <w:p w:rsidR="006E7CBA" w:rsidRPr="00677D7A" w:rsidRDefault="00543F29" w:rsidP="00F53449">
            <w:pPr>
              <w:rPr>
                <w:noProof/>
              </w:rPr>
            </w:pPr>
            <w:r>
              <w:rPr>
                <w:noProof/>
              </w:rPr>
              <w:t>0.</w:t>
            </w:r>
            <w:r w:rsidR="004F3C20">
              <w:rPr>
                <w:noProof/>
              </w:rPr>
              <w:t>989</w:t>
            </w:r>
          </w:p>
        </w:tc>
        <w:tc>
          <w:tcPr>
            <w:tcW w:w="720" w:type="dxa"/>
            <w:tcBorders>
              <w:bottom w:val="single" w:sz="4" w:space="0" w:color="auto"/>
            </w:tcBorders>
          </w:tcPr>
          <w:p w:rsidR="006E7CBA" w:rsidRPr="007B5BC2" w:rsidRDefault="004F3C20" w:rsidP="00F53449">
            <w:pPr>
              <w:rPr>
                <w:b/>
              </w:rPr>
            </w:pPr>
            <w:r w:rsidRPr="007B5BC2">
              <w:rPr>
                <w:b/>
                <w:noProof/>
              </w:rPr>
              <w:t>0.96</w:t>
            </w:r>
          </w:p>
        </w:tc>
      </w:tr>
    </w:tbl>
    <w:p w:rsidR="0054051E" w:rsidRDefault="003B10A3" w:rsidP="003B10A3">
      <w:pPr>
        <w:pStyle w:val="ALevelOneHeader"/>
      </w:pPr>
      <w:r>
        <w:t>Discussion</w:t>
      </w:r>
    </w:p>
    <w:p w:rsidR="0050396C" w:rsidRDefault="00087407" w:rsidP="00AA36A2">
      <w:pPr>
        <w:pStyle w:val="DBodyText"/>
      </w:pPr>
      <w:r>
        <w:t>The complexity, grammatic idiosyncrasies, and domain variability of clinical text lead to significant hurdles in designing and training generalizable models for NLP tasks. This common challenge necessitates the use high-capacity, complex machine learning models such as the deep neural network approach described here. Leveraging transfer learning</w:t>
      </w:r>
      <w:r w:rsidR="009A7F3B">
        <w:t xml:space="preserve"> and domain adaptatio</w:t>
      </w:r>
      <w:r w:rsidR="0050396C">
        <w:t>n</w:t>
      </w:r>
      <w:r w:rsidR="009A7F3B">
        <w:t xml:space="preserve">, such as the ensemble method used here, is an important tool to </w:t>
      </w:r>
      <w:r w:rsidR="0050396C">
        <w:t>regularize models created from smaller domain-specific corpora with data from external corpora. In the SBD task, the clinical-specific structuring of sentences in our target corpus led us to applying these approaches.</w:t>
      </w:r>
    </w:p>
    <w:p w:rsidR="00AA36A2" w:rsidRDefault="556AA545" w:rsidP="00AA36A2">
      <w:pPr>
        <w:pStyle w:val="DBodyText"/>
      </w:pPr>
      <w:r>
        <w:t xml:space="preserve">In all experiments, recall </w:t>
      </w:r>
      <w:r w:rsidR="002C08FD">
        <w:t>was</w:t>
      </w:r>
      <w:r>
        <w:t xml:space="preserve"> higher than precision, which can be explained by the class weighting structure. Models are penalized much higher for missing a ‘B’ tag than </w:t>
      </w:r>
      <w:r w:rsidR="009A2AC4">
        <w:t xml:space="preserve">for replacing an </w:t>
      </w:r>
      <w:r>
        <w:t>‘I’</w:t>
      </w:r>
      <w:r w:rsidR="009A2AC4">
        <w:t xml:space="preserve"> with a ‘B’</w:t>
      </w:r>
      <w:r>
        <w:t xml:space="preserve"> tag, leading to models being overeager in splitting sentences. Adaptation of models trained on one corpus to another corpus of text show clear but relatively small losses in performance—we can see that the MIMIC trained model has an F1-score approximately 0.06 lower than the FV trained model.</w:t>
      </w:r>
    </w:p>
    <w:p w:rsidR="008634B4" w:rsidRDefault="556AA545" w:rsidP="00AA36A2">
      <w:pPr>
        <w:pStyle w:val="DBodyText"/>
      </w:pPr>
      <w:r>
        <w:t>The ensemble method slightly improves the F1 score</w:t>
      </w:r>
      <w:r w:rsidR="00DF549E">
        <w:t xml:space="preserve"> against the other domain adaptation methods</w:t>
      </w:r>
      <w:r>
        <w:t>, increasing precision at a slight cost to recall. The ensemble method was the best performing overall with a 0.96 F1 score on B-tags. This F1-score is on par with the 0.957 Cohen’s Kappa inter-rater agreement on the MIMIC data that represents a “ceiling” for performance of SBD algorithms</w:t>
      </w:r>
      <w:r w:rsidR="00A9004E">
        <w:t xml:space="preserve">. </w:t>
      </w:r>
      <w:r>
        <w:t xml:space="preserve">As shown in the information about our corpora, the FV corpus has different distribution of </w:t>
      </w:r>
      <w:r w:rsidR="00290D67">
        <w:t xml:space="preserve">sentence </w:t>
      </w:r>
      <w:r w:rsidR="00DF549E">
        <w:t>‘B’</w:t>
      </w:r>
      <w:r w:rsidR="00290D67">
        <w:t xml:space="preserve">, </w:t>
      </w:r>
      <w:r w:rsidR="00DF549E">
        <w:t>‘I’</w:t>
      </w:r>
      <w:r w:rsidR="00290D67">
        <w:t xml:space="preserve">, </w:t>
      </w:r>
      <w:r w:rsidR="00DF549E">
        <w:t xml:space="preserve">and ‘O’ </w:t>
      </w:r>
      <w:r w:rsidR="00290D67">
        <w:t>tags</w:t>
      </w:r>
      <w:r>
        <w:t xml:space="preserve"> than the MIMIC corpus, </w:t>
      </w:r>
      <w:r w:rsidR="00093B32">
        <w:t xml:space="preserve">demonstrating </w:t>
      </w:r>
      <w:r>
        <w:t>that these methods are successful in adapting to a corpus with significant syntactic differences.</w:t>
      </w:r>
    </w:p>
    <w:p w:rsidR="00691CFF" w:rsidRDefault="00D26FD8" w:rsidP="00AA36A2">
      <w:pPr>
        <w:pStyle w:val="DBodyText"/>
      </w:pPr>
      <w:r>
        <w:lastRenderedPageBreak/>
        <w:t>There is</w:t>
      </w:r>
      <w:r w:rsidR="00691CFF">
        <w:t xml:space="preserve"> a loss in performance </w:t>
      </w:r>
      <w:r w:rsidR="001B6DBE">
        <w:t>in the continued training method v</w:t>
      </w:r>
      <w:r>
        <w:t>ersu</w:t>
      </w:r>
      <w:r w:rsidR="001B6DBE">
        <w:t xml:space="preserve">s the </w:t>
      </w:r>
      <w:r>
        <w:t xml:space="preserve">MIMIC+FV method. In this method, weights may not be able to recover from sub-optimal positions </w:t>
      </w:r>
      <w:r w:rsidR="00F44C7B">
        <w:t xml:space="preserve">for predicting FV data </w:t>
      </w:r>
      <w:r>
        <w:t>from the training on MIMIC data</w:t>
      </w:r>
      <w:r w:rsidR="005925B1">
        <w:t>. The gradient descent may not be able to find a path from the current position of the weights to the more optimal position of weights found by the FV-only and the MIMIC+FV trained models.</w:t>
      </w:r>
    </w:p>
    <w:p w:rsidR="003B10A3" w:rsidRDefault="003B10A3" w:rsidP="003B10A3">
      <w:pPr>
        <w:pStyle w:val="ALevelOneHeader"/>
      </w:pPr>
      <w:r>
        <w:t>Conclusions</w:t>
      </w:r>
    </w:p>
    <w:p w:rsidR="002D3998" w:rsidRDefault="00123EA6" w:rsidP="00087407">
      <w:pPr>
        <w:pStyle w:val="DBodyText"/>
      </w:pPr>
      <w:r>
        <w:t>Our study</w:t>
      </w:r>
      <w:r w:rsidR="001503EB">
        <w:t xml:space="preserve"> show</w:t>
      </w:r>
      <w:r>
        <w:t>s</w:t>
      </w:r>
      <w:r w:rsidR="001503EB">
        <w:t xml:space="preserve"> that </w:t>
      </w:r>
      <w:r w:rsidR="00C85F32">
        <w:t>there are improvements in SBD</w:t>
      </w:r>
      <w:r w:rsidR="008713BA">
        <w:t xml:space="preserve"> using deep networks over using traditional classification methods, and that these networks are capable of performing well even against different corpora and against corpora with large proportions of sentences that are not terminated by sentence boundary symbols.</w:t>
      </w:r>
      <w:r w:rsidR="00087407" w:rsidDel="00087407">
        <w:t xml:space="preserve"> </w:t>
      </w:r>
      <w:r w:rsidR="004D7ADD">
        <w:t>We’ve also shown that transfer learning approaches for domain adaptation such as the ensemble model have lower generalization error than combining training sets or continued training.</w:t>
      </w:r>
    </w:p>
    <w:p w:rsidR="00F52737" w:rsidRDefault="009E1D3A" w:rsidP="009E1D3A">
      <w:pPr>
        <w:pStyle w:val="BLevelTwoHeader"/>
      </w:pPr>
      <w:r>
        <w:t>Further Work</w:t>
      </w:r>
    </w:p>
    <w:p w:rsidR="009E1D3A" w:rsidRDefault="009E1D3A" w:rsidP="009E1D3A">
      <w:pPr>
        <w:pStyle w:val="DBodyText"/>
      </w:pPr>
      <w:r>
        <w:t xml:space="preserve">The </w:t>
      </w:r>
      <w:r w:rsidR="001914CE">
        <w:t xml:space="preserve">generalization </w:t>
      </w:r>
      <w:r>
        <w:t xml:space="preserve">performance gains from using a two-network ensemble </w:t>
      </w:r>
      <w:r w:rsidR="00CA72B7">
        <w:t>indicate</w:t>
      </w:r>
      <w:r w:rsidR="001914CE">
        <w:t xml:space="preserve"> </w:t>
      </w:r>
      <w:r w:rsidR="00CA72B7">
        <w:t>f</w:t>
      </w:r>
      <w:r w:rsidR="001914CE">
        <w:t xml:space="preserve">urther exploration </w:t>
      </w:r>
      <w:r w:rsidR="00CA72B7">
        <w:t>into meta-learning</w:t>
      </w:r>
      <w:r w:rsidR="00E379C2">
        <w:t xml:space="preserve"> and ensemble</w:t>
      </w:r>
      <w:r w:rsidR="00CA72B7">
        <w:t xml:space="preserve"> </w:t>
      </w:r>
      <w:r w:rsidR="009A7F3B">
        <w:t xml:space="preserve">approaches </w:t>
      </w:r>
      <w:r w:rsidR="00020203">
        <w:t xml:space="preserve">may be fruitful. </w:t>
      </w:r>
      <w:r w:rsidR="00F47407">
        <w:t>Furthermore, usage of t</w:t>
      </w:r>
      <w:r w:rsidR="009A7F3B">
        <w:t xml:space="preserve">his or other transfer learning </w:t>
      </w:r>
      <w:r w:rsidR="00F47407">
        <w:t>ensemble method</w:t>
      </w:r>
      <w:r w:rsidR="009A7F3B">
        <w:t>s</w:t>
      </w:r>
      <w:r w:rsidR="00F47407">
        <w:t xml:space="preserve"> with general</w:t>
      </w:r>
      <w:r w:rsidR="009A7F3B">
        <w:t>-domain</w:t>
      </w:r>
      <w:r w:rsidR="00F47407">
        <w:t xml:space="preserve"> English corpora </w:t>
      </w:r>
      <w:r w:rsidR="009A7F3B">
        <w:t xml:space="preserve">included as training data for base models </w:t>
      </w:r>
      <w:r w:rsidR="00E379C2">
        <w:t>remains an unexplored possibility.</w:t>
      </w:r>
    </w:p>
    <w:p w:rsidR="00B052CD" w:rsidRPr="00FB07AC" w:rsidRDefault="00061677" w:rsidP="00DF53B3">
      <w:pPr>
        <w:pStyle w:val="DBodyText"/>
      </w:pPr>
      <w:r>
        <w:t>The accuracy of automatically detected sentences can have substantial consequences on downstream components in a processing pipeline.</w:t>
      </w:r>
      <w:r w:rsidR="00A027A3">
        <w:t xml:space="preserve"> These benefits are significant on face but have not been formally quantified</w:t>
      </w:r>
      <w:r w:rsidR="007750D8">
        <w:t>,</w:t>
      </w:r>
      <w:r w:rsidR="00A027A3">
        <w:t xml:space="preserve"> and these effects are a potential target for future research.</w:t>
      </w:r>
      <w:r w:rsidR="00EE6124">
        <w:t xml:space="preserve"> </w:t>
      </w:r>
    </w:p>
    <w:p w:rsidR="003B10A3" w:rsidRDefault="003B10A3" w:rsidP="003B10A3">
      <w:pPr>
        <w:pStyle w:val="ALevelOneHeader"/>
      </w:pPr>
      <w:r>
        <w:t>Acknowledgements</w:t>
      </w:r>
    </w:p>
    <w:p w:rsidR="003B10A3" w:rsidRPr="00D82265" w:rsidRDefault="006D3695" w:rsidP="00D82265">
      <w:pPr>
        <w:overflowPunct/>
        <w:autoSpaceDE/>
        <w:autoSpaceDN/>
        <w:adjustRightInd/>
        <w:textAlignment w:val="auto"/>
        <w:rPr>
          <w:sz w:val="24"/>
          <w:szCs w:val="24"/>
          <w:lang w:eastAsia="en-US"/>
        </w:rPr>
      </w:pPr>
      <w:r>
        <w:t xml:space="preserve">We would like to acknowledge Michael </w:t>
      </w:r>
      <w:proofErr w:type="spellStart"/>
      <w:r>
        <w:t>Hietpas</w:t>
      </w:r>
      <w:proofErr w:type="spellEnd"/>
      <w:r>
        <w:t>,</w:t>
      </w:r>
      <w:r w:rsidR="00F72BC4">
        <w:t xml:space="preserve"> </w:t>
      </w:r>
      <w:r w:rsidR="0050396C">
        <w:t>one of the annotators for our data</w:t>
      </w:r>
      <w:r w:rsidR="00E95472">
        <w:t>.</w:t>
      </w:r>
      <w:r w:rsidR="00CA5CAA">
        <w:t xml:space="preserve"> </w:t>
      </w:r>
      <w:r w:rsidR="00485B87">
        <w:t xml:space="preserve">This research was supported in part by </w:t>
      </w:r>
      <w:r w:rsidR="00DD56B4">
        <w:t>NIH/NCATS</w:t>
      </w:r>
      <w:r w:rsidR="00485B87">
        <w:t xml:space="preserve"> UL1TR002494</w:t>
      </w:r>
      <w:r w:rsidR="00087407">
        <w:t xml:space="preserve">, NIH/NCATS </w:t>
      </w:r>
      <w:r w:rsidR="00087407" w:rsidRPr="00087407">
        <w:rPr>
          <w:color w:val="222222"/>
          <w:shd w:val="clear" w:color="auto" w:fill="FFFFFF"/>
          <w:lang w:eastAsia="en-US"/>
        </w:rPr>
        <w:t>U01TR002062</w:t>
      </w:r>
      <w:r w:rsidR="00485B87">
        <w:t xml:space="preserve">, </w:t>
      </w:r>
      <w:r w:rsidR="00DD56B4">
        <w:t>NIH/NIGMS</w:t>
      </w:r>
      <w:r w:rsidR="00485B87">
        <w:t xml:space="preserve"> R01GM102282, and </w:t>
      </w:r>
      <w:r w:rsidR="00DD56B4">
        <w:t>AHRQ</w:t>
      </w:r>
      <w:r w:rsidR="00485B87">
        <w:t xml:space="preserve"> R01HS022085. </w:t>
      </w:r>
      <w:r w:rsidR="003E70AB">
        <w:t xml:space="preserve">The content is solely the responsibility of the authors and does not necessary represent the official views of the National Institutes of Health or the Agency for Healthcare Research and Quality. </w:t>
      </w:r>
    </w:p>
    <w:p w:rsidR="003B10A3" w:rsidRDefault="003B10A3" w:rsidP="003B10A3">
      <w:pPr>
        <w:pStyle w:val="ALevelOneHeader"/>
      </w:pPr>
      <w:r w:rsidRPr="00FB07AC">
        <w:t>Referenc</w:t>
      </w:r>
      <w:r>
        <w:t>es</w:t>
      </w:r>
    </w:p>
    <w:p w:rsidR="007E2ED1" w:rsidRPr="007E2ED1" w:rsidRDefault="001C3A36" w:rsidP="007E2ED1">
      <w:pPr>
        <w:widowControl w:val="0"/>
        <w:ind w:left="640" w:hanging="640"/>
        <w:rPr>
          <w:noProof/>
        </w:rPr>
      </w:pPr>
      <w:r>
        <w:rPr>
          <w:lang w:eastAsia="en-US"/>
        </w:rPr>
        <w:fldChar w:fldCharType="begin" w:fldLock="1"/>
      </w:r>
      <w:r>
        <w:rPr>
          <w:lang w:eastAsia="en-US"/>
        </w:rPr>
        <w:instrText xml:space="preserve">ADDIN Mendeley Bibliography CSL_BIBLIOGRAPHY </w:instrText>
      </w:r>
      <w:r>
        <w:rPr>
          <w:lang w:eastAsia="en-US"/>
        </w:rPr>
        <w:fldChar w:fldCharType="separate"/>
      </w:r>
      <w:r w:rsidR="007E2ED1" w:rsidRPr="007E2ED1">
        <w:rPr>
          <w:noProof/>
        </w:rPr>
        <w:t>[1]</w:t>
      </w:r>
      <w:r w:rsidR="007E2ED1" w:rsidRPr="007E2ED1">
        <w:rPr>
          <w:noProof/>
        </w:rPr>
        <w:tab/>
        <w:t xml:space="preserve">J. Donahue, Y. Jia, O. Vinyals, J. Hoffman, N. Zhang, E. Tzeng, and T. Darrell, DeCAF: A Deep Convolutional Activation Feature for Generic Visual Recognition, </w:t>
      </w:r>
      <w:r w:rsidR="007E2ED1" w:rsidRPr="007E2ED1">
        <w:rPr>
          <w:i/>
          <w:iCs/>
          <w:noProof/>
        </w:rPr>
        <w:t>CoRR</w:t>
      </w:r>
      <w:r w:rsidR="007E2ED1" w:rsidRPr="007E2ED1">
        <w:rPr>
          <w:noProof/>
        </w:rPr>
        <w:t xml:space="preserve">. </w:t>
      </w:r>
      <w:r w:rsidR="007E2ED1" w:rsidRPr="007E2ED1">
        <w:rPr>
          <w:b/>
          <w:bCs/>
          <w:noProof/>
        </w:rPr>
        <w:t>abs/1310.1</w:t>
      </w:r>
      <w:r w:rsidR="007E2ED1" w:rsidRPr="007E2ED1">
        <w:rPr>
          <w:noProof/>
        </w:rPr>
        <w:t xml:space="preserve"> (2013). http://arxiv.org/abs/1310.1531.</w:t>
      </w:r>
    </w:p>
    <w:p w:rsidR="007E2ED1" w:rsidRPr="007E2ED1" w:rsidRDefault="007E2ED1" w:rsidP="007E2ED1">
      <w:pPr>
        <w:widowControl w:val="0"/>
        <w:ind w:left="640" w:hanging="640"/>
        <w:rPr>
          <w:noProof/>
        </w:rPr>
      </w:pPr>
      <w:r w:rsidRPr="007E2ED1">
        <w:rPr>
          <w:noProof/>
        </w:rPr>
        <w:t>[2]</w:t>
      </w:r>
      <w:r w:rsidRPr="007E2ED1">
        <w:rPr>
          <w:noProof/>
        </w:rPr>
        <w:tab/>
        <w:t xml:space="preserve">E. Bauer, and R. Kohavi, An Empirical Comparison of Voting Classification Algorithms: Bagging, Boosting, and Variants, </w:t>
      </w:r>
      <w:r w:rsidRPr="007E2ED1">
        <w:rPr>
          <w:i/>
          <w:iCs/>
          <w:noProof/>
        </w:rPr>
        <w:t>Machine Learning</w:t>
      </w:r>
      <w:r w:rsidRPr="007E2ED1">
        <w:rPr>
          <w:noProof/>
        </w:rPr>
        <w:t xml:space="preserve">. </w:t>
      </w:r>
      <w:r w:rsidRPr="007E2ED1">
        <w:rPr>
          <w:b/>
          <w:bCs/>
          <w:noProof/>
        </w:rPr>
        <w:t>36</w:t>
      </w:r>
      <w:r w:rsidRPr="007E2ED1">
        <w:rPr>
          <w:noProof/>
        </w:rPr>
        <w:t xml:space="preserve"> (1999) 105–139. doi:10.1023/A:1007515423169.</w:t>
      </w:r>
    </w:p>
    <w:p w:rsidR="007E2ED1" w:rsidRPr="007E2ED1" w:rsidRDefault="007E2ED1" w:rsidP="007E2ED1">
      <w:pPr>
        <w:widowControl w:val="0"/>
        <w:ind w:left="640" w:hanging="640"/>
        <w:rPr>
          <w:noProof/>
        </w:rPr>
      </w:pPr>
      <w:r w:rsidRPr="007E2ED1">
        <w:rPr>
          <w:noProof/>
        </w:rPr>
        <w:t>[3]</w:t>
      </w:r>
      <w:r w:rsidRPr="007E2ED1">
        <w:rPr>
          <w:noProof/>
        </w:rPr>
        <w:tab/>
        <w:t>J.C. Reynar, and A. Ratnaparkhi, A maximum entropy approach to identifying sentence boundaries, in: Proceedings of the Fifth Conference on Applied Natural Language Processing, 1997: pp. 16–19.</w:t>
      </w:r>
    </w:p>
    <w:p w:rsidR="007E2ED1" w:rsidRPr="007E2ED1" w:rsidRDefault="007E2ED1" w:rsidP="007E2ED1">
      <w:pPr>
        <w:widowControl w:val="0"/>
        <w:ind w:left="640" w:hanging="640"/>
        <w:rPr>
          <w:noProof/>
        </w:rPr>
      </w:pPr>
      <w:r w:rsidRPr="007E2ED1">
        <w:rPr>
          <w:noProof/>
        </w:rPr>
        <w:t>[4]</w:t>
      </w:r>
      <w:r w:rsidRPr="007E2ED1">
        <w:rPr>
          <w:noProof/>
        </w:rPr>
        <w:tab/>
        <w:t xml:space="preserve">D. Griffis, C. Shivade, E. Fosler-Lussier, and A.M. Lai, A Quantitative and Qualitative Evaluation of Sentence Boundary Detection for the Clinical Domain., </w:t>
      </w:r>
      <w:r w:rsidRPr="007E2ED1">
        <w:rPr>
          <w:i/>
          <w:iCs/>
          <w:noProof/>
        </w:rPr>
        <w:t>AMIA Joint Summits on Translational Science Proceedings. AMIA Joint Summits on Translational Science</w:t>
      </w:r>
      <w:r w:rsidRPr="007E2ED1">
        <w:rPr>
          <w:noProof/>
        </w:rPr>
        <w:t xml:space="preserve">. </w:t>
      </w:r>
      <w:r w:rsidRPr="007E2ED1">
        <w:rPr>
          <w:b/>
          <w:bCs/>
          <w:noProof/>
        </w:rPr>
        <w:t>2016</w:t>
      </w:r>
      <w:r w:rsidRPr="007E2ED1">
        <w:rPr>
          <w:noProof/>
        </w:rPr>
        <w:t xml:space="preserve"> (2016) 88–97. http://www.ncbi.nlm.nih.gov/pubmed/27570656 </w:t>
      </w:r>
      <w:r w:rsidRPr="007E2ED1">
        <w:rPr>
          <w:noProof/>
        </w:rPr>
        <w:t>(accessed November 15, 2018).</w:t>
      </w:r>
    </w:p>
    <w:p w:rsidR="007E2ED1" w:rsidRPr="007E2ED1" w:rsidRDefault="007E2ED1" w:rsidP="007E2ED1">
      <w:pPr>
        <w:widowControl w:val="0"/>
        <w:ind w:left="640" w:hanging="640"/>
        <w:rPr>
          <w:noProof/>
        </w:rPr>
      </w:pPr>
      <w:r w:rsidRPr="007E2ED1">
        <w:rPr>
          <w:noProof/>
        </w:rPr>
        <w:t>[5]</w:t>
      </w:r>
      <w:r w:rsidRPr="007E2ED1">
        <w:rPr>
          <w:noProof/>
        </w:rPr>
        <w:tab/>
        <w:t xml:space="preserve">Y. Wang, L. Wang, M. Rastegar-Mojarad, S. Moon, F. Shen, N. Afzal, S. Liu, Y. Zeng, S. Mehrabi, S. Sohn, and H. Liu, Clinical information extraction applications: A literature review, </w:t>
      </w:r>
      <w:r w:rsidRPr="007E2ED1">
        <w:rPr>
          <w:i/>
          <w:iCs/>
          <w:noProof/>
        </w:rPr>
        <w:t>Journal of Biomedical Informatics</w:t>
      </w:r>
      <w:r w:rsidRPr="007E2ED1">
        <w:rPr>
          <w:noProof/>
        </w:rPr>
        <w:t xml:space="preserve">. </w:t>
      </w:r>
      <w:r w:rsidRPr="007E2ED1">
        <w:rPr>
          <w:b/>
          <w:bCs/>
          <w:noProof/>
        </w:rPr>
        <w:t>77</w:t>
      </w:r>
      <w:r w:rsidRPr="007E2ED1">
        <w:rPr>
          <w:noProof/>
        </w:rPr>
        <w:t xml:space="preserve"> (2018) 34–49. doi:10.1016/J.JBI.2017.11.011.</w:t>
      </w:r>
    </w:p>
    <w:p w:rsidR="007E2ED1" w:rsidRPr="007E2ED1" w:rsidRDefault="007E2ED1" w:rsidP="007E2ED1">
      <w:pPr>
        <w:widowControl w:val="0"/>
        <w:ind w:left="640" w:hanging="640"/>
        <w:rPr>
          <w:noProof/>
        </w:rPr>
      </w:pPr>
      <w:r w:rsidRPr="007E2ED1">
        <w:rPr>
          <w:noProof/>
        </w:rPr>
        <w:t>[6]</w:t>
      </w:r>
      <w:r w:rsidRPr="007E2ED1">
        <w:rPr>
          <w:noProof/>
        </w:rPr>
        <w:tab/>
        <w:t xml:space="preserve">C. Manning, M. Surdeanu, J. Bauer, J. Finkel, S. Bethard, and D. McClosky, The Stanford CoreNLP Natural Language Processing Toolkit, </w:t>
      </w:r>
      <w:r w:rsidRPr="007E2ED1">
        <w:rPr>
          <w:i/>
          <w:iCs/>
          <w:noProof/>
        </w:rPr>
        <w:t>Proceedings of 52nd Annual Meeting of the Association for Computational Linguistics: System Demonstrations</w:t>
      </w:r>
      <w:r w:rsidRPr="007E2ED1">
        <w:rPr>
          <w:noProof/>
        </w:rPr>
        <w:t>. (2014) 55–60. doi:10.3115/v1/P14-5010.</w:t>
      </w:r>
    </w:p>
    <w:p w:rsidR="007E2ED1" w:rsidRPr="007E2ED1" w:rsidRDefault="007E2ED1" w:rsidP="007E2ED1">
      <w:pPr>
        <w:widowControl w:val="0"/>
        <w:ind w:left="640" w:hanging="640"/>
        <w:rPr>
          <w:noProof/>
        </w:rPr>
      </w:pPr>
      <w:r w:rsidRPr="007E2ED1">
        <w:rPr>
          <w:noProof/>
        </w:rPr>
        <w:t>[7]</w:t>
      </w:r>
      <w:r w:rsidRPr="007E2ED1">
        <w:rPr>
          <w:noProof/>
        </w:rPr>
        <w:tab/>
        <w:t>S. Bird, E. Loper, and E. Klein, Natural Language Processing with Python, O’Reilly Media Inc, 2009.</w:t>
      </w:r>
    </w:p>
    <w:p w:rsidR="007E2ED1" w:rsidRPr="007E2ED1" w:rsidRDefault="007E2ED1" w:rsidP="007E2ED1">
      <w:pPr>
        <w:widowControl w:val="0"/>
        <w:ind w:left="640" w:hanging="640"/>
        <w:rPr>
          <w:noProof/>
        </w:rPr>
      </w:pPr>
      <w:r w:rsidRPr="007E2ED1">
        <w:rPr>
          <w:noProof/>
        </w:rPr>
        <w:t>[8]</w:t>
      </w:r>
      <w:r w:rsidRPr="007E2ED1">
        <w:rPr>
          <w:noProof/>
        </w:rPr>
        <w:tab/>
        <w:t xml:space="preserve">T. Kiss, and J. Strunk, Unsupervised Multilingual Sentence Boundary Detection, </w:t>
      </w:r>
      <w:r w:rsidRPr="007E2ED1">
        <w:rPr>
          <w:i/>
          <w:iCs/>
          <w:noProof/>
        </w:rPr>
        <w:t>Computational Linguistics</w:t>
      </w:r>
      <w:r w:rsidRPr="007E2ED1">
        <w:rPr>
          <w:noProof/>
        </w:rPr>
        <w:t xml:space="preserve">. </w:t>
      </w:r>
      <w:r w:rsidRPr="007E2ED1">
        <w:rPr>
          <w:b/>
          <w:bCs/>
          <w:noProof/>
        </w:rPr>
        <w:t>32</w:t>
      </w:r>
      <w:r w:rsidRPr="007E2ED1">
        <w:rPr>
          <w:noProof/>
        </w:rPr>
        <w:t xml:space="preserve"> (2006) 485–525. doi:10.1162/coli.2006.32.4.485.</w:t>
      </w:r>
    </w:p>
    <w:p w:rsidR="007E2ED1" w:rsidRPr="007E2ED1" w:rsidRDefault="007E2ED1" w:rsidP="007E2ED1">
      <w:pPr>
        <w:widowControl w:val="0"/>
        <w:ind w:left="640" w:hanging="640"/>
        <w:rPr>
          <w:noProof/>
        </w:rPr>
      </w:pPr>
      <w:r w:rsidRPr="007E2ED1">
        <w:rPr>
          <w:noProof/>
        </w:rPr>
        <w:t>[9]</w:t>
      </w:r>
      <w:r w:rsidRPr="007E2ED1">
        <w:rPr>
          <w:noProof/>
        </w:rPr>
        <w:tab/>
        <w:t>Apache OpenNLP, (n.d.). https://opennlp.apache.org/ (accessed November 15, 2018).</w:t>
      </w:r>
    </w:p>
    <w:p w:rsidR="007E2ED1" w:rsidRPr="007E2ED1" w:rsidRDefault="007E2ED1" w:rsidP="007E2ED1">
      <w:pPr>
        <w:widowControl w:val="0"/>
        <w:ind w:left="640" w:hanging="640"/>
        <w:rPr>
          <w:noProof/>
        </w:rPr>
      </w:pPr>
      <w:r w:rsidRPr="007E2ED1">
        <w:rPr>
          <w:noProof/>
        </w:rPr>
        <w:t>[10]</w:t>
      </w:r>
      <w:r w:rsidRPr="007E2ED1">
        <w:rPr>
          <w:noProof/>
        </w:rPr>
        <w:tab/>
        <w:t>Apache cTAKES</w:t>
      </w:r>
      <w:r w:rsidRPr="007E2ED1">
        <w:rPr>
          <w:noProof/>
          <w:vertAlign w:val="superscript"/>
        </w:rPr>
        <w:t>TM</w:t>
      </w:r>
      <w:r w:rsidRPr="007E2ED1">
        <w:rPr>
          <w:noProof/>
        </w:rPr>
        <w:t xml:space="preserve"> - clinical Text Analysis Knowledge Extraction System, (n.d.). http://ctakes.apache.org/ (accessed November 15, 2018).</w:t>
      </w:r>
    </w:p>
    <w:p w:rsidR="007E2ED1" w:rsidRPr="007E2ED1" w:rsidRDefault="007E2ED1" w:rsidP="007E2ED1">
      <w:pPr>
        <w:widowControl w:val="0"/>
        <w:ind w:left="640" w:hanging="640"/>
        <w:rPr>
          <w:noProof/>
        </w:rPr>
      </w:pPr>
      <w:r w:rsidRPr="007E2ED1">
        <w:rPr>
          <w:noProof/>
        </w:rPr>
        <w:t>[11]</w:t>
      </w:r>
      <w:r w:rsidRPr="007E2ED1">
        <w:rPr>
          <w:noProof/>
        </w:rPr>
        <w:tab/>
        <w:t xml:space="preserve">Z. Huang, W. Xu, and K. Yu, Bidirectional LSTM-CRF Models for Sequence Tagging, </w:t>
      </w:r>
      <w:r w:rsidRPr="007E2ED1">
        <w:rPr>
          <w:i/>
          <w:iCs/>
          <w:noProof/>
        </w:rPr>
        <w:t>CoRR</w:t>
      </w:r>
      <w:r w:rsidRPr="007E2ED1">
        <w:rPr>
          <w:noProof/>
        </w:rPr>
        <w:t xml:space="preserve">. </w:t>
      </w:r>
      <w:r w:rsidRPr="007E2ED1">
        <w:rPr>
          <w:b/>
          <w:bCs/>
          <w:noProof/>
        </w:rPr>
        <w:t>abs/1508.0</w:t>
      </w:r>
      <w:r w:rsidRPr="007E2ED1">
        <w:rPr>
          <w:noProof/>
        </w:rPr>
        <w:t xml:space="preserve"> (2015). doi:10.18653/v1/P16-1101.</w:t>
      </w:r>
    </w:p>
    <w:p w:rsidR="007E2ED1" w:rsidRPr="007E2ED1" w:rsidRDefault="007E2ED1" w:rsidP="007E2ED1">
      <w:pPr>
        <w:widowControl w:val="0"/>
        <w:ind w:left="640" w:hanging="640"/>
        <w:rPr>
          <w:noProof/>
        </w:rPr>
      </w:pPr>
      <w:r w:rsidRPr="007E2ED1">
        <w:rPr>
          <w:noProof/>
        </w:rPr>
        <w:t>[12]</w:t>
      </w:r>
      <w:r w:rsidRPr="007E2ED1">
        <w:rPr>
          <w:noProof/>
        </w:rPr>
        <w:tab/>
        <w:t xml:space="preserve">X. Ma, and E.H. Hovy, End-to-end Sequence Labeling via Bi-directional LSTM-CNNs-CRF, </w:t>
      </w:r>
      <w:r w:rsidRPr="007E2ED1">
        <w:rPr>
          <w:i/>
          <w:iCs/>
          <w:noProof/>
        </w:rPr>
        <w:t>CoRR</w:t>
      </w:r>
      <w:r w:rsidRPr="007E2ED1">
        <w:rPr>
          <w:noProof/>
        </w:rPr>
        <w:t xml:space="preserve">. </w:t>
      </w:r>
      <w:r w:rsidRPr="007E2ED1">
        <w:rPr>
          <w:b/>
          <w:bCs/>
          <w:noProof/>
        </w:rPr>
        <w:t>abs/1603.0</w:t>
      </w:r>
      <w:r w:rsidRPr="007E2ED1">
        <w:rPr>
          <w:noProof/>
        </w:rPr>
        <w:t xml:space="preserve"> (2016). http://arxiv.org/abs/1603.01354.</w:t>
      </w:r>
    </w:p>
    <w:p w:rsidR="007E2ED1" w:rsidRPr="007E2ED1" w:rsidRDefault="007E2ED1" w:rsidP="007E2ED1">
      <w:pPr>
        <w:widowControl w:val="0"/>
        <w:ind w:left="640" w:hanging="640"/>
        <w:rPr>
          <w:noProof/>
        </w:rPr>
      </w:pPr>
      <w:r w:rsidRPr="007E2ED1">
        <w:rPr>
          <w:noProof/>
        </w:rPr>
        <w:t>[13]</w:t>
      </w:r>
      <w:r w:rsidRPr="007E2ED1">
        <w:rPr>
          <w:noProof/>
        </w:rPr>
        <w:tab/>
        <w:t xml:space="preserve">A.E.W. Johnson, T.J. Pollard, L. Shen, L.H. Lehman, M. Feng, M. Ghassemi, B. Moody, P. Szolovits, L. Anthony Celi, and R.G. Mark, MIMIC-III, a freely accessible critical care database, </w:t>
      </w:r>
      <w:r w:rsidRPr="007E2ED1">
        <w:rPr>
          <w:i/>
          <w:iCs/>
          <w:noProof/>
        </w:rPr>
        <w:t>Scientific Data</w:t>
      </w:r>
      <w:r w:rsidRPr="007E2ED1">
        <w:rPr>
          <w:noProof/>
        </w:rPr>
        <w:t xml:space="preserve">. </w:t>
      </w:r>
      <w:r w:rsidRPr="007E2ED1">
        <w:rPr>
          <w:b/>
          <w:bCs/>
          <w:noProof/>
        </w:rPr>
        <w:t>3</w:t>
      </w:r>
      <w:r w:rsidRPr="007E2ED1">
        <w:rPr>
          <w:noProof/>
        </w:rPr>
        <w:t xml:space="preserve"> (2016) 160035. doi:10.1038/sdata.2016.35.</w:t>
      </w:r>
    </w:p>
    <w:p w:rsidR="007E2ED1" w:rsidRPr="007E2ED1" w:rsidRDefault="007E2ED1" w:rsidP="007E2ED1">
      <w:pPr>
        <w:widowControl w:val="0"/>
        <w:ind w:left="640" w:hanging="640"/>
        <w:rPr>
          <w:noProof/>
        </w:rPr>
      </w:pPr>
      <w:r w:rsidRPr="007E2ED1">
        <w:rPr>
          <w:noProof/>
        </w:rPr>
        <w:t>[14]</w:t>
      </w:r>
      <w:r w:rsidRPr="007E2ED1">
        <w:rPr>
          <w:noProof/>
        </w:rPr>
        <w:tab/>
        <w:t>BioMedICUS, (n.d.). https://nlpie.github.io/biomedicus/ (accessed November 17, 2018).</w:t>
      </w:r>
    </w:p>
    <w:p w:rsidR="007E2ED1" w:rsidRPr="007E2ED1" w:rsidRDefault="007E2ED1" w:rsidP="007E2ED1">
      <w:pPr>
        <w:widowControl w:val="0"/>
        <w:ind w:left="640" w:hanging="640"/>
        <w:rPr>
          <w:noProof/>
        </w:rPr>
      </w:pPr>
      <w:r w:rsidRPr="007E2ED1">
        <w:rPr>
          <w:noProof/>
        </w:rPr>
        <w:t>[15]</w:t>
      </w:r>
      <w:r w:rsidRPr="007E2ED1">
        <w:rPr>
          <w:noProof/>
        </w:rPr>
        <w:tab/>
        <w:t>brat rapid annotation tool, (n.d.). http://brat.nlplab.org/ (accessed November 15, 2018).</w:t>
      </w:r>
    </w:p>
    <w:p w:rsidR="007E2ED1" w:rsidRPr="007E2ED1" w:rsidRDefault="007E2ED1" w:rsidP="007E2ED1">
      <w:pPr>
        <w:widowControl w:val="0"/>
        <w:ind w:left="640" w:hanging="640"/>
        <w:rPr>
          <w:noProof/>
        </w:rPr>
      </w:pPr>
      <w:r w:rsidRPr="007E2ED1">
        <w:rPr>
          <w:noProof/>
        </w:rPr>
        <w:t>[16]</w:t>
      </w:r>
      <w:r w:rsidRPr="007E2ED1">
        <w:rPr>
          <w:noProof/>
        </w:rPr>
        <w:tab/>
        <w:t xml:space="preserve">P. Bojanowski, E. Grave, A. Joulin, and T. Mikolov, Enriching Word Vectors with Subword Information, </w:t>
      </w:r>
      <w:r w:rsidRPr="007E2ED1">
        <w:rPr>
          <w:i/>
          <w:iCs/>
          <w:noProof/>
        </w:rPr>
        <w:t>CoRR</w:t>
      </w:r>
      <w:r w:rsidRPr="007E2ED1">
        <w:rPr>
          <w:noProof/>
        </w:rPr>
        <w:t xml:space="preserve">. </w:t>
      </w:r>
      <w:r w:rsidRPr="007E2ED1">
        <w:rPr>
          <w:b/>
          <w:bCs/>
          <w:noProof/>
        </w:rPr>
        <w:t>abs/1607.0</w:t>
      </w:r>
      <w:r w:rsidRPr="007E2ED1">
        <w:rPr>
          <w:noProof/>
        </w:rPr>
        <w:t xml:space="preserve"> (2016). http://arxiv.org/abs/1607.04606.</w:t>
      </w:r>
    </w:p>
    <w:p w:rsidR="007E2ED1" w:rsidRPr="007E2ED1" w:rsidRDefault="007E2ED1" w:rsidP="007E2ED1">
      <w:pPr>
        <w:widowControl w:val="0"/>
        <w:ind w:left="640" w:hanging="640"/>
        <w:rPr>
          <w:noProof/>
        </w:rPr>
      </w:pPr>
      <w:r w:rsidRPr="007E2ED1">
        <w:rPr>
          <w:noProof/>
        </w:rPr>
        <w:t>[17]</w:t>
      </w:r>
      <w:r w:rsidRPr="007E2ED1">
        <w:rPr>
          <w:noProof/>
        </w:rPr>
        <w:tab/>
        <w:t xml:space="preserve">S. Semeniuta, A. Severyn, and E. Barth, Recurrent Dropout without Memory Loss, </w:t>
      </w:r>
      <w:r w:rsidRPr="007E2ED1">
        <w:rPr>
          <w:i/>
          <w:iCs/>
          <w:noProof/>
        </w:rPr>
        <w:t>CoRR</w:t>
      </w:r>
      <w:r w:rsidRPr="007E2ED1">
        <w:rPr>
          <w:noProof/>
        </w:rPr>
        <w:t xml:space="preserve">. </w:t>
      </w:r>
      <w:r w:rsidRPr="007E2ED1">
        <w:rPr>
          <w:b/>
          <w:bCs/>
          <w:noProof/>
        </w:rPr>
        <w:t>abs/1603.0</w:t>
      </w:r>
      <w:r w:rsidRPr="007E2ED1">
        <w:rPr>
          <w:noProof/>
        </w:rPr>
        <w:t xml:space="preserve"> (2016). http://arxiv.org/abs/1603.05118.</w:t>
      </w:r>
    </w:p>
    <w:p w:rsidR="007E2ED1" w:rsidRPr="007E2ED1" w:rsidRDefault="007E2ED1" w:rsidP="007E2ED1">
      <w:pPr>
        <w:widowControl w:val="0"/>
        <w:ind w:left="640" w:hanging="640"/>
        <w:rPr>
          <w:noProof/>
        </w:rPr>
      </w:pPr>
      <w:r w:rsidRPr="007E2ED1">
        <w:rPr>
          <w:noProof/>
        </w:rPr>
        <w:t>[18]</w:t>
      </w:r>
      <w:r w:rsidRPr="007E2ED1">
        <w:rPr>
          <w:noProof/>
        </w:rPr>
        <w:tab/>
        <w:t xml:space="preserve">D.P. Kingma, and J. Ba, Adam: A Method for Stochastic Optimization, </w:t>
      </w:r>
      <w:r w:rsidRPr="007E2ED1">
        <w:rPr>
          <w:i/>
          <w:iCs/>
          <w:noProof/>
        </w:rPr>
        <w:t>CoRR</w:t>
      </w:r>
      <w:r w:rsidRPr="007E2ED1">
        <w:rPr>
          <w:noProof/>
        </w:rPr>
        <w:t xml:space="preserve">. </w:t>
      </w:r>
      <w:r w:rsidRPr="007E2ED1">
        <w:rPr>
          <w:b/>
          <w:bCs/>
          <w:noProof/>
        </w:rPr>
        <w:t>abs/1412.6</w:t>
      </w:r>
      <w:r w:rsidRPr="007E2ED1">
        <w:rPr>
          <w:noProof/>
        </w:rPr>
        <w:t xml:space="preserve"> (2014). http://arxiv.org/abs/1412.6980.</w:t>
      </w:r>
    </w:p>
    <w:p w:rsidR="003B10A3" w:rsidRDefault="001C3A36" w:rsidP="007E2ED1">
      <w:pPr>
        <w:widowControl w:val="0"/>
        <w:ind w:left="640" w:hanging="640"/>
        <w:rPr>
          <w:lang w:eastAsia="en-US"/>
        </w:rPr>
      </w:pPr>
      <w:r>
        <w:rPr>
          <w:lang w:eastAsia="en-US"/>
        </w:rPr>
        <w:fldChar w:fldCharType="end"/>
      </w:r>
    </w:p>
    <w:p w:rsidR="003B10A3" w:rsidRDefault="003B10A3" w:rsidP="003B10A3">
      <w:pPr>
        <w:ind w:left="270" w:hanging="270"/>
        <w:rPr>
          <w:lang w:eastAsia="en-US"/>
        </w:rPr>
      </w:pPr>
    </w:p>
    <w:p w:rsidR="003B10A3" w:rsidRDefault="003B10A3" w:rsidP="003B10A3">
      <w:pPr>
        <w:rPr>
          <w:b/>
        </w:rPr>
      </w:pPr>
      <w:r>
        <w:rPr>
          <w:b/>
        </w:rPr>
        <w:t>Address for correspondence</w:t>
      </w:r>
    </w:p>
    <w:p w:rsidR="003B10A3" w:rsidRDefault="00485B87" w:rsidP="003B10A3">
      <w:r>
        <w:t xml:space="preserve">Serguei </w:t>
      </w:r>
      <w:proofErr w:type="spellStart"/>
      <w:r>
        <w:t>Pakhomov</w:t>
      </w:r>
      <w:proofErr w:type="spellEnd"/>
      <w:r w:rsidR="003E70AB">
        <w:t>, PhD</w:t>
      </w:r>
    </w:p>
    <w:p w:rsidR="003E70AB" w:rsidRDefault="003E70AB" w:rsidP="003B10A3">
      <w:r>
        <w:t>Department of Pharmaceutical Care and Health Systems</w:t>
      </w:r>
    </w:p>
    <w:p w:rsidR="003E70AB" w:rsidRDefault="003E70AB" w:rsidP="003B10A3">
      <w:r>
        <w:t>College of Pharmacy</w:t>
      </w:r>
    </w:p>
    <w:p w:rsidR="003E70AB" w:rsidRDefault="003E70AB" w:rsidP="003B10A3">
      <w:r>
        <w:t>University of Minnesota</w:t>
      </w:r>
    </w:p>
    <w:p w:rsidR="003E70AB" w:rsidRDefault="003E70AB" w:rsidP="003B10A3">
      <w:r>
        <w:t>5-130 WDH 1332A</w:t>
      </w:r>
    </w:p>
    <w:p w:rsidR="003E70AB" w:rsidRDefault="003E70AB" w:rsidP="003B10A3">
      <w:r>
        <w:t>308 Harvard St SE</w:t>
      </w:r>
    </w:p>
    <w:p w:rsidR="003E70AB" w:rsidRDefault="003E70AB" w:rsidP="003B10A3">
      <w:r>
        <w:t>Minneapolis, MN 55455</w:t>
      </w:r>
    </w:p>
    <w:p w:rsidR="00086506" w:rsidRPr="003B10A3" w:rsidRDefault="003E70AB" w:rsidP="003B10A3">
      <w:r>
        <w:t>Pakh0002@umn.edu</w:t>
      </w:r>
    </w:p>
    <w:sectPr w:rsidR="00086506" w:rsidRPr="003B10A3" w:rsidSect="007F64F2">
      <w:type w:val="continuous"/>
      <w:pgSz w:w="11907" w:h="16840" w:code="9"/>
      <w:pgMar w:top="562" w:right="567" w:bottom="562" w:left="567" w:header="0" w:footer="1440" w:gutter="0"/>
      <w:cols w:num="2" w:space="706"/>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CED" w:rsidRDefault="00743CED">
      <w:r>
        <w:separator/>
      </w:r>
    </w:p>
  </w:endnote>
  <w:endnote w:type="continuationSeparator" w:id="0">
    <w:p w:rsidR="00743CED" w:rsidRDefault="00743CED">
      <w:r>
        <w:continuationSeparator/>
      </w:r>
    </w:p>
  </w:endnote>
  <w:endnote w:type="continuationNotice" w:id="1">
    <w:p w:rsidR="00743CED" w:rsidRDefault="00743C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G Times">
    <w:altName w:val="Times New Roman"/>
    <w:panose1 w:val="020B0604020202020204"/>
    <w:charset w:val="00"/>
    <w:family w:val="roman"/>
    <w:notTrueType/>
    <w:pitch w:val="variable"/>
    <w:sig w:usb0="00000003" w:usb1="00000000" w:usb2="00000000" w:usb3="00000000" w:csb0="00000001"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CED" w:rsidRDefault="00743CED">
      <w:r>
        <w:separator/>
      </w:r>
    </w:p>
  </w:footnote>
  <w:footnote w:type="continuationSeparator" w:id="0">
    <w:p w:rsidR="00743CED" w:rsidRDefault="00743CED">
      <w:r>
        <w:continuationSeparator/>
      </w:r>
    </w:p>
  </w:footnote>
  <w:footnote w:type="continuationNotice" w:id="1">
    <w:p w:rsidR="00743CED" w:rsidRDefault="00743C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F6A3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6C6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BCB4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1E4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E616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A2E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BE23E9C"/>
    <w:lvl w:ilvl="0">
      <w:numFmt w:val="bullet"/>
      <w:pStyle w:val="DBulletlevel2"/>
      <w:lvlText w:val="*"/>
      <w:lvlJc w:val="left"/>
    </w:lvl>
  </w:abstractNum>
  <w:abstractNum w:abstractNumId="11" w15:restartNumberingAfterBreak="0">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15:restartNumberingAfterBreak="0">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embedSystemFonts/>
  <w:proofState w:spelling="clean" w:grammar="clean"/>
  <w:attachedTemplate r:id="rId1"/>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uppressTopSpacing/>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2NjeyMDczMTU2NrRU0lEKTi0uzszPAykwrgUAbFfqzCwAAAA="/>
    <w:docVar w:name="EN.InstantFormat" w:val="&lt;ENInstantFormat&gt;&lt;Enabled&gt;1&lt;/Enabled&gt;&lt;ScanUnformatted&gt;1&lt;/ScanUnformatted&gt;&lt;ScanChanges&gt;1&lt;/ScanChanges&gt;&lt;Suspended&gt;0&lt;/Suspended&gt;&lt;/ENInstantFormat&gt;"/>
    <w:docVar w:name="EN.Layout" w:val="&lt;ENLayout&gt;&lt;Style&gt;IOS Pres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wd959zcpewzdedessp9wzv02dexav0fwew&quot;&gt;My EndNote Library&lt;record-ids&gt;&lt;item&gt;1&lt;/item&gt;&lt;item&gt;2&lt;/item&gt;&lt;/record-ids&gt;&lt;/item&gt;&lt;/Libraries&gt;"/>
  </w:docVars>
  <w:rsids>
    <w:rsidRoot w:val="000E727A"/>
    <w:rsid w:val="00000351"/>
    <w:rsid w:val="00003E65"/>
    <w:rsid w:val="00004192"/>
    <w:rsid w:val="000041FD"/>
    <w:rsid w:val="000076DB"/>
    <w:rsid w:val="0001095E"/>
    <w:rsid w:val="00013012"/>
    <w:rsid w:val="00014443"/>
    <w:rsid w:val="000151C8"/>
    <w:rsid w:val="00017487"/>
    <w:rsid w:val="00020203"/>
    <w:rsid w:val="00020304"/>
    <w:rsid w:val="00020C7F"/>
    <w:rsid w:val="00025139"/>
    <w:rsid w:val="0002646C"/>
    <w:rsid w:val="00030F7F"/>
    <w:rsid w:val="00030F82"/>
    <w:rsid w:val="00034915"/>
    <w:rsid w:val="0003515E"/>
    <w:rsid w:val="000361BD"/>
    <w:rsid w:val="000369BF"/>
    <w:rsid w:val="00036C21"/>
    <w:rsid w:val="00040FBA"/>
    <w:rsid w:val="000414DC"/>
    <w:rsid w:val="00044567"/>
    <w:rsid w:val="0004626E"/>
    <w:rsid w:val="00047183"/>
    <w:rsid w:val="000603CE"/>
    <w:rsid w:val="00061677"/>
    <w:rsid w:val="00064126"/>
    <w:rsid w:val="00065B30"/>
    <w:rsid w:val="00066665"/>
    <w:rsid w:val="00066820"/>
    <w:rsid w:val="000675B1"/>
    <w:rsid w:val="000732BA"/>
    <w:rsid w:val="000736A3"/>
    <w:rsid w:val="00074739"/>
    <w:rsid w:val="0008203E"/>
    <w:rsid w:val="0008256F"/>
    <w:rsid w:val="00083C8D"/>
    <w:rsid w:val="0008413F"/>
    <w:rsid w:val="000850DB"/>
    <w:rsid w:val="00085FFC"/>
    <w:rsid w:val="00086506"/>
    <w:rsid w:val="00086CE1"/>
    <w:rsid w:val="00087407"/>
    <w:rsid w:val="000926EE"/>
    <w:rsid w:val="00092E19"/>
    <w:rsid w:val="00093B32"/>
    <w:rsid w:val="00094F50"/>
    <w:rsid w:val="000A0412"/>
    <w:rsid w:val="000B18F4"/>
    <w:rsid w:val="000B1D12"/>
    <w:rsid w:val="000B3E23"/>
    <w:rsid w:val="000B77D9"/>
    <w:rsid w:val="000C0D57"/>
    <w:rsid w:val="000C2055"/>
    <w:rsid w:val="000C57D1"/>
    <w:rsid w:val="000C5C92"/>
    <w:rsid w:val="000C6081"/>
    <w:rsid w:val="000C6542"/>
    <w:rsid w:val="000D32E7"/>
    <w:rsid w:val="000D3B40"/>
    <w:rsid w:val="000E0207"/>
    <w:rsid w:val="000E2020"/>
    <w:rsid w:val="000E20C4"/>
    <w:rsid w:val="000E25A7"/>
    <w:rsid w:val="000E4302"/>
    <w:rsid w:val="000E641C"/>
    <w:rsid w:val="000E727A"/>
    <w:rsid w:val="000F0B0B"/>
    <w:rsid w:val="000F1000"/>
    <w:rsid w:val="000F1108"/>
    <w:rsid w:val="000F1486"/>
    <w:rsid w:val="000F16D3"/>
    <w:rsid w:val="000F59AF"/>
    <w:rsid w:val="000F5C99"/>
    <w:rsid w:val="000F6DB2"/>
    <w:rsid w:val="000F720A"/>
    <w:rsid w:val="0010044F"/>
    <w:rsid w:val="00104050"/>
    <w:rsid w:val="00104975"/>
    <w:rsid w:val="00105E10"/>
    <w:rsid w:val="0011056A"/>
    <w:rsid w:val="00111BCD"/>
    <w:rsid w:val="00112467"/>
    <w:rsid w:val="001124BF"/>
    <w:rsid w:val="00112FA9"/>
    <w:rsid w:val="00113E24"/>
    <w:rsid w:val="00114A25"/>
    <w:rsid w:val="00115CC3"/>
    <w:rsid w:val="00116055"/>
    <w:rsid w:val="00116B1A"/>
    <w:rsid w:val="001205A6"/>
    <w:rsid w:val="00122348"/>
    <w:rsid w:val="0012276C"/>
    <w:rsid w:val="00122940"/>
    <w:rsid w:val="00123B02"/>
    <w:rsid w:val="00123C45"/>
    <w:rsid w:val="00123D06"/>
    <w:rsid w:val="00123EA6"/>
    <w:rsid w:val="001269DD"/>
    <w:rsid w:val="001304D6"/>
    <w:rsid w:val="00130D6F"/>
    <w:rsid w:val="00135DB2"/>
    <w:rsid w:val="00137B76"/>
    <w:rsid w:val="00143E7F"/>
    <w:rsid w:val="00143F1C"/>
    <w:rsid w:val="0014450A"/>
    <w:rsid w:val="001449D0"/>
    <w:rsid w:val="00146DA9"/>
    <w:rsid w:val="00146EC0"/>
    <w:rsid w:val="00150199"/>
    <w:rsid w:val="001503EB"/>
    <w:rsid w:val="0015188F"/>
    <w:rsid w:val="00151BBB"/>
    <w:rsid w:val="00154B51"/>
    <w:rsid w:val="0016093B"/>
    <w:rsid w:val="00160CA4"/>
    <w:rsid w:val="00160CF9"/>
    <w:rsid w:val="00162571"/>
    <w:rsid w:val="00162A4B"/>
    <w:rsid w:val="00162CE2"/>
    <w:rsid w:val="0016341C"/>
    <w:rsid w:val="001644E8"/>
    <w:rsid w:val="00165B35"/>
    <w:rsid w:val="001660C2"/>
    <w:rsid w:val="001662B2"/>
    <w:rsid w:val="0017289A"/>
    <w:rsid w:val="00172B11"/>
    <w:rsid w:val="001751EF"/>
    <w:rsid w:val="00176662"/>
    <w:rsid w:val="00177508"/>
    <w:rsid w:val="00180180"/>
    <w:rsid w:val="0018118A"/>
    <w:rsid w:val="0018560A"/>
    <w:rsid w:val="001879F3"/>
    <w:rsid w:val="00187D93"/>
    <w:rsid w:val="00187ECA"/>
    <w:rsid w:val="0019072E"/>
    <w:rsid w:val="001914CE"/>
    <w:rsid w:val="00192711"/>
    <w:rsid w:val="00193085"/>
    <w:rsid w:val="00196BEB"/>
    <w:rsid w:val="001972E5"/>
    <w:rsid w:val="001A0571"/>
    <w:rsid w:val="001A2BB4"/>
    <w:rsid w:val="001A3AF8"/>
    <w:rsid w:val="001A3EC0"/>
    <w:rsid w:val="001A5F8B"/>
    <w:rsid w:val="001A6E20"/>
    <w:rsid w:val="001A761B"/>
    <w:rsid w:val="001B0972"/>
    <w:rsid w:val="001B27C2"/>
    <w:rsid w:val="001B3CBF"/>
    <w:rsid w:val="001B4674"/>
    <w:rsid w:val="001B62DA"/>
    <w:rsid w:val="001B6DBE"/>
    <w:rsid w:val="001C2EA3"/>
    <w:rsid w:val="001C3A36"/>
    <w:rsid w:val="001C50BB"/>
    <w:rsid w:val="001C5539"/>
    <w:rsid w:val="001C5F4E"/>
    <w:rsid w:val="001C7359"/>
    <w:rsid w:val="001D47E0"/>
    <w:rsid w:val="001D687F"/>
    <w:rsid w:val="001E0928"/>
    <w:rsid w:val="001E24E7"/>
    <w:rsid w:val="001E2F2B"/>
    <w:rsid w:val="001E534D"/>
    <w:rsid w:val="001E5546"/>
    <w:rsid w:val="001E6F66"/>
    <w:rsid w:val="001E6FEF"/>
    <w:rsid w:val="001E7AFB"/>
    <w:rsid w:val="001F0C1E"/>
    <w:rsid w:val="001F148D"/>
    <w:rsid w:val="001F1ADA"/>
    <w:rsid w:val="001F49F3"/>
    <w:rsid w:val="002027F0"/>
    <w:rsid w:val="00207215"/>
    <w:rsid w:val="00211E03"/>
    <w:rsid w:val="00212F04"/>
    <w:rsid w:val="00213526"/>
    <w:rsid w:val="00214927"/>
    <w:rsid w:val="00216C34"/>
    <w:rsid w:val="00217F78"/>
    <w:rsid w:val="0022032E"/>
    <w:rsid w:val="002218A8"/>
    <w:rsid w:val="0022271B"/>
    <w:rsid w:val="0022364C"/>
    <w:rsid w:val="0022532C"/>
    <w:rsid w:val="00226E54"/>
    <w:rsid w:val="002274F4"/>
    <w:rsid w:val="00231868"/>
    <w:rsid w:val="0024070B"/>
    <w:rsid w:val="00240ECA"/>
    <w:rsid w:val="002412C2"/>
    <w:rsid w:val="00241756"/>
    <w:rsid w:val="00243975"/>
    <w:rsid w:val="0024477F"/>
    <w:rsid w:val="00244F2D"/>
    <w:rsid w:val="00245B9A"/>
    <w:rsid w:val="00246F1C"/>
    <w:rsid w:val="00247D7C"/>
    <w:rsid w:val="00247E1E"/>
    <w:rsid w:val="00247EE9"/>
    <w:rsid w:val="00251D32"/>
    <w:rsid w:val="0025355E"/>
    <w:rsid w:val="0025631A"/>
    <w:rsid w:val="00265410"/>
    <w:rsid w:val="00266089"/>
    <w:rsid w:val="00266DC9"/>
    <w:rsid w:val="002715F8"/>
    <w:rsid w:val="0027374B"/>
    <w:rsid w:val="00274CF0"/>
    <w:rsid w:val="0027777A"/>
    <w:rsid w:val="00277EAA"/>
    <w:rsid w:val="00280722"/>
    <w:rsid w:val="00280EDB"/>
    <w:rsid w:val="00281339"/>
    <w:rsid w:val="00281CFB"/>
    <w:rsid w:val="002830C9"/>
    <w:rsid w:val="0028597D"/>
    <w:rsid w:val="002879F9"/>
    <w:rsid w:val="00290D67"/>
    <w:rsid w:val="00297324"/>
    <w:rsid w:val="00297C09"/>
    <w:rsid w:val="002A0370"/>
    <w:rsid w:val="002A4204"/>
    <w:rsid w:val="002A509D"/>
    <w:rsid w:val="002A57CE"/>
    <w:rsid w:val="002A77CC"/>
    <w:rsid w:val="002B2965"/>
    <w:rsid w:val="002B6ACD"/>
    <w:rsid w:val="002C0010"/>
    <w:rsid w:val="002C06BD"/>
    <w:rsid w:val="002C08FD"/>
    <w:rsid w:val="002C53DA"/>
    <w:rsid w:val="002C5888"/>
    <w:rsid w:val="002C6D1B"/>
    <w:rsid w:val="002C7B30"/>
    <w:rsid w:val="002D3998"/>
    <w:rsid w:val="002E1356"/>
    <w:rsid w:val="002E255E"/>
    <w:rsid w:val="002E3E86"/>
    <w:rsid w:val="002E6CAB"/>
    <w:rsid w:val="002F165F"/>
    <w:rsid w:val="002F6BF9"/>
    <w:rsid w:val="00300605"/>
    <w:rsid w:val="003008A9"/>
    <w:rsid w:val="00300FDC"/>
    <w:rsid w:val="003048DC"/>
    <w:rsid w:val="00310AAE"/>
    <w:rsid w:val="0031795D"/>
    <w:rsid w:val="00322460"/>
    <w:rsid w:val="00324311"/>
    <w:rsid w:val="00327AB1"/>
    <w:rsid w:val="003332C7"/>
    <w:rsid w:val="00337439"/>
    <w:rsid w:val="00340CE2"/>
    <w:rsid w:val="0034587F"/>
    <w:rsid w:val="00346A0C"/>
    <w:rsid w:val="003604DB"/>
    <w:rsid w:val="00361341"/>
    <w:rsid w:val="0036720D"/>
    <w:rsid w:val="003725D8"/>
    <w:rsid w:val="00373BDB"/>
    <w:rsid w:val="00375AD5"/>
    <w:rsid w:val="0037639A"/>
    <w:rsid w:val="00376AFA"/>
    <w:rsid w:val="003812E2"/>
    <w:rsid w:val="003845B8"/>
    <w:rsid w:val="00385519"/>
    <w:rsid w:val="00387A37"/>
    <w:rsid w:val="00387E45"/>
    <w:rsid w:val="00390DFA"/>
    <w:rsid w:val="00392AFA"/>
    <w:rsid w:val="003940F5"/>
    <w:rsid w:val="0039460E"/>
    <w:rsid w:val="0039538E"/>
    <w:rsid w:val="00395571"/>
    <w:rsid w:val="003A31D1"/>
    <w:rsid w:val="003B10A3"/>
    <w:rsid w:val="003B242E"/>
    <w:rsid w:val="003B3170"/>
    <w:rsid w:val="003B365C"/>
    <w:rsid w:val="003B3930"/>
    <w:rsid w:val="003B63F3"/>
    <w:rsid w:val="003B6448"/>
    <w:rsid w:val="003C0603"/>
    <w:rsid w:val="003C155A"/>
    <w:rsid w:val="003C30DB"/>
    <w:rsid w:val="003C388C"/>
    <w:rsid w:val="003C3DD9"/>
    <w:rsid w:val="003C3E8C"/>
    <w:rsid w:val="003C5798"/>
    <w:rsid w:val="003C61D4"/>
    <w:rsid w:val="003D12CB"/>
    <w:rsid w:val="003D2956"/>
    <w:rsid w:val="003D2F1A"/>
    <w:rsid w:val="003D356D"/>
    <w:rsid w:val="003D3E64"/>
    <w:rsid w:val="003D60B8"/>
    <w:rsid w:val="003D6EA2"/>
    <w:rsid w:val="003E70AB"/>
    <w:rsid w:val="003F144E"/>
    <w:rsid w:val="003F1B3D"/>
    <w:rsid w:val="003F570F"/>
    <w:rsid w:val="003F5727"/>
    <w:rsid w:val="0040508E"/>
    <w:rsid w:val="004105CF"/>
    <w:rsid w:val="00412607"/>
    <w:rsid w:val="0041763A"/>
    <w:rsid w:val="004178D9"/>
    <w:rsid w:val="00420B8F"/>
    <w:rsid w:val="00423A90"/>
    <w:rsid w:val="004240EC"/>
    <w:rsid w:val="00424CBA"/>
    <w:rsid w:val="004253A3"/>
    <w:rsid w:val="004260A7"/>
    <w:rsid w:val="00431F27"/>
    <w:rsid w:val="004322A9"/>
    <w:rsid w:val="00432452"/>
    <w:rsid w:val="00435104"/>
    <w:rsid w:val="00435150"/>
    <w:rsid w:val="004351B0"/>
    <w:rsid w:val="00436B89"/>
    <w:rsid w:val="00442CBB"/>
    <w:rsid w:val="0044305E"/>
    <w:rsid w:val="00445C01"/>
    <w:rsid w:val="00446D70"/>
    <w:rsid w:val="0045084E"/>
    <w:rsid w:val="00453307"/>
    <w:rsid w:val="004546B1"/>
    <w:rsid w:val="00454A83"/>
    <w:rsid w:val="00457EA3"/>
    <w:rsid w:val="0046187B"/>
    <w:rsid w:val="004649A9"/>
    <w:rsid w:val="00464E08"/>
    <w:rsid w:val="0046647F"/>
    <w:rsid w:val="00466D05"/>
    <w:rsid w:val="00474A4B"/>
    <w:rsid w:val="00476C33"/>
    <w:rsid w:val="00477073"/>
    <w:rsid w:val="00477F3C"/>
    <w:rsid w:val="00480690"/>
    <w:rsid w:val="004810E4"/>
    <w:rsid w:val="00482978"/>
    <w:rsid w:val="00483099"/>
    <w:rsid w:val="004846B1"/>
    <w:rsid w:val="00485B87"/>
    <w:rsid w:val="00487174"/>
    <w:rsid w:val="00491A02"/>
    <w:rsid w:val="00494B9D"/>
    <w:rsid w:val="0049672A"/>
    <w:rsid w:val="004A123D"/>
    <w:rsid w:val="004A21D9"/>
    <w:rsid w:val="004A24D0"/>
    <w:rsid w:val="004A38FE"/>
    <w:rsid w:val="004A4A4A"/>
    <w:rsid w:val="004A646A"/>
    <w:rsid w:val="004A7094"/>
    <w:rsid w:val="004B027F"/>
    <w:rsid w:val="004B2A10"/>
    <w:rsid w:val="004B2A11"/>
    <w:rsid w:val="004B55FB"/>
    <w:rsid w:val="004B58BF"/>
    <w:rsid w:val="004B663D"/>
    <w:rsid w:val="004B78C8"/>
    <w:rsid w:val="004B7E78"/>
    <w:rsid w:val="004C1D27"/>
    <w:rsid w:val="004C2579"/>
    <w:rsid w:val="004C25A7"/>
    <w:rsid w:val="004C4A64"/>
    <w:rsid w:val="004D0916"/>
    <w:rsid w:val="004D28C1"/>
    <w:rsid w:val="004D2C23"/>
    <w:rsid w:val="004D3954"/>
    <w:rsid w:val="004D7ADD"/>
    <w:rsid w:val="004E4B3C"/>
    <w:rsid w:val="004E4B4A"/>
    <w:rsid w:val="004E79CE"/>
    <w:rsid w:val="004F03F3"/>
    <w:rsid w:val="004F2409"/>
    <w:rsid w:val="004F2D90"/>
    <w:rsid w:val="004F388F"/>
    <w:rsid w:val="004F3AE0"/>
    <w:rsid w:val="004F3C20"/>
    <w:rsid w:val="00501903"/>
    <w:rsid w:val="00502875"/>
    <w:rsid w:val="0050396C"/>
    <w:rsid w:val="00507606"/>
    <w:rsid w:val="00507C78"/>
    <w:rsid w:val="00511081"/>
    <w:rsid w:val="00516896"/>
    <w:rsid w:val="00521765"/>
    <w:rsid w:val="00523215"/>
    <w:rsid w:val="00524759"/>
    <w:rsid w:val="00525498"/>
    <w:rsid w:val="005261DC"/>
    <w:rsid w:val="00526BDA"/>
    <w:rsid w:val="00530211"/>
    <w:rsid w:val="00531DE4"/>
    <w:rsid w:val="0054051E"/>
    <w:rsid w:val="00540546"/>
    <w:rsid w:val="00541129"/>
    <w:rsid w:val="00541801"/>
    <w:rsid w:val="00543BB4"/>
    <w:rsid w:val="00543F29"/>
    <w:rsid w:val="00544C15"/>
    <w:rsid w:val="00551141"/>
    <w:rsid w:val="0055234F"/>
    <w:rsid w:val="00552492"/>
    <w:rsid w:val="00554ADD"/>
    <w:rsid w:val="0055502A"/>
    <w:rsid w:val="00555AA1"/>
    <w:rsid w:val="00556834"/>
    <w:rsid w:val="00556981"/>
    <w:rsid w:val="005574B5"/>
    <w:rsid w:val="0055752B"/>
    <w:rsid w:val="00557802"/>
    <w:rsid w:val="00560AEC"/>
    <w:rsid w:val="00561EBD"/>
    <w:rsid w:val="00563DC2"/>
    <w:rsid w:val="005662CB"/>
    <w:rsid w:val="0056776A"/>
    <w:rsid w:val="00573B8F"/>
    <w:rsid w:val="00573D34"/>
    <w:rsid w:val="00576045"/>
    <w:rsid w:val="00577FE8"/>
    <w:rsid w:val="00581235"/>
    <w:rsid w:val="0058628D"/>
    <w:rsid w:val="00586C08"/>
    <w:rsid w:val="005871A9"/>
    <w:rsid w:val="005877E2"/>
    <w:rsid w:val="005905B8"/>
    <w:rsid w:val="005912B4"/>
    <w:rsid w:val="005916E7"/>
    <w:rsid w:val="00591927"/>
    <w:rsid w:val="005923B3"/>
    <w:rsid w:val="005925B1"/>
    <w:rsid w:val="0059647C"/>
    <w:rsid w:val="005964EE"/>
    <w:rsid w:val="0059676B"/>
    <w:rsid w:val="00596FBB"/>
    <w:rsid w:val="005978C7"/>
    <w:rsid w:val="005A336D"/>
    <w:rsid w:val="005A4261"/>
    <w:rsid w:val="005A62AF"/>
    <w:rsid w:val="005A6E25"/>
    <w:rsid w:val="005B624F"/>
    <w:rsid w:val="005B7514"/>
    <w:rsid w:val="005B7F23"/>
    <w:rsid w:val="005C0B18"/>
    <w:rsid w:val="005C1CE3"/>
    <w:rsid w:val="005C35B6"/>
    <w:rsid w:val="005C3FFA"/>
    <w:rsid w:val="005D2077"/>
    <w:rsid w:val="005D5684"/>
    <w:rsid w:val="005D61B2"/>
    <w:rsid w:val="005E14AB"/>
    <w:rsid w:val="005E2021"/>
    <w:rsid w:val="005E6901"/>
    <w:rsid w:val="005E75F6"/>
    <w:rsid w:val="005E797A"/>
    <w:rsid w:val="005F0A7D"/>
    <w:rsid w:val="005F1BE8"/>
    <w:rsid w:val="005F22A3"/>
    <w:rsid w:val="005F2DD2"/>
    <w:rsid w:val="0060188E"/>
    <w:rsid w:val="006024FE"/>
    <w:rsid w:val="006025E4"/>
    <w:rsid w:val="00602EF1"/>
    <w:rsid w:val="00603B9F"/>
    <w:rsid w:val="0060447D"/>
    <w:rsid w:val="0061081C"/>
    <w:rsid w:val="00614075"/>
    <w:rsid w:val="0061551C"/>
    <w:rsid w:val="006157AE"/>
    <w:rsid w:val="00616735"/>
    <w:rsid w:val="00617F60"/>
    <w:rsid w:val="006204A1"/>
    <w:rsid w:val="006206B5"/>
    <w:rsid w:val="0062181C"/>
    <w:rsid w:val="0062259D"/>
    <w:rsid w:val="00624553"/>
    <w:rsid w:val="00625405"/>
    <w:rsid w:val="0062629D"/>
    <w:rsid w:val="00637A96"/>
    <w:rsid w:val="00640C37"/>
    <w:rsid w:val="00640E66"/>
    <w:rsid w:val="0064221E"/>
    <w:rsid w:val="006429DA"/>
    <w:rsid w:val="00647C5B"/>
    <w:rsid w:val="00647DF7"/>
    <w:rsid w:val="006522AE"/>
    <w:rsid w:val="006523D0"/>
    <w:rsid w:val="00653615"/>
    <w:rsid w:val="0065421B"/>
    <w:rsid w:val="006549DA"/>
    <w:rsid w:val="00661ED8"/>
    <w:rsid w:val="00662D84"/>
    <w:rsid w:val="00664CE6"/>
    <w:rsid w:val="00666130"/>
    <w:rsid w:val="006661B4"/>
    <w:rsid w:val="00666690"/>
    <w:rsid w:val="00667629"/>
    <w:rsid w:val="006712C0"/>
    <w:rsid w:val="00671ABB"/>
    <w:rsid w:val="00672681"/>
    <w:rsid w:val="00672CFB"/>
    <w:rsid w:val="00675209"/>
    <w:rsid w:val="00676643"/>
    <w:rsid w:val="00677D7A"/>
    <w:rsid w:val="00680354"/>
    <w:rsid w:val="00680E6B"/>
    <w:rsid w:val="006818FC"/>
    <w:rsid w:val="00682543"/>
    <w:rsid w:val="006835D9"/>
    <w:rsid w:val="00684179"/>
    <w:rsid w:val="006841E4"/>
    <w:rsid w:val="00684517"/>
    <w:rsid w:val="00685600"/>
    <w:rsid w:val="006872A0"/>
    <w:rsid w:val="006878DD"/>
    <w:rsid w:val="00690780"/>
    <w:rsid w:val="00690E60"/>
    <w:rsid w:val="00691CFF"/>
    <w:rsid w:val="006920EF"/>
    <w:rsid w:val="00694F38"/>
    <w:rsid w:val="00696167"/>
    <w:rsid w:val="006A0457"/>
    <w:rsid w:val="006A0E7B"/>
    <w:rsid w:val="006A454D"/>
    <w:rsid w:val="006B0BA6"/>
    <w:rsid w:val="006B125F"/>
    <w:rsid w:val="006B1A36"/>
    <w:rsid w:val="006B28FB"/>
    <w:rsid w:val="006B3AC3"/>
    <w:rsid w:val="006B4931"/>
    <w:rsid w:val="006B4DBB"/>
    <w:rsid w:val="006B5A6E"/>
    <w:rsid w:val="006B5D5E"/>
    <w:rsid w:val="006B6C91"/>
    <w:rsid w:val="006C005D"/>
    <w:rsid w:val="006C0670"/>
    <w:rsid w:val="006C13B3"/>
    <w:rsid w:val="006C338A"/>
    <w:rsid w:val="006C453E"/>
    <w:rsid w:val="006D1D2A"/>
    <w:rsid w:val="006D1D3C"/>
    <w:rsid w:val="006D3695"/>
    <w:rsid w:val="006D3C1D"/>
    <w:rsid w:val="006D5091"/>
    <w:rsid w:val="006E0FDB"/>
    <w:rsid w:val="006E32DE"/>
    <w:rsid w:val="006E48A6"/>
    <w:rsid w:val="006E4E98"/>
    <w:rsid w:val="006E7CBA"/>
    <w:rsid w:val="006F0469"/>
    <w:rsid w:val="006F20A9"/>
    <w:rsid w:val="006F20EA"/>
    <w:rsid w:val="006F3545"/>
    <w:rsid w:val="00700F92"/>
    <w:rsid w:val="00704068"/>
    <w:rsid w:val="00707676"/>
    <w:rsid w:val="00712910"/>
    <w:rsid w:val="00712A61"/>
    <w:rsid w:val="00712A83"/>
    <w:rsid w:val="00713DF4"/>
    <w:rsid w:val="00716103"/>
    <w:rsid w:val="007172F4"/>
    <w:rsid w:val="00717EB8"/>
    <w:rsid w:val="00722228"/>
    <w:rsid w:val="00722FF6"/>
    <w:rsid w:val="00726B6A"/>
    <w:rsid w:val="007305FE"/>
    <w:rsid w:val="00730E73"/>
    <w:rsid w:val="00730F63"/>
    <w:rsid w:val="00731B25"/>
    <w:rsid w:val="0073466E"/>
    <w:rsid w:val="00736202"/>
    <w:rsid w:val="00741BD8"/>
    <w:rsid w:val="00743CED"/>
    <w:rsid w:val="0074588A"/>
    <w:rsid w:val="00747AD7"/>
    <w:rsid w:val="00747B08"/>
    <w:rsid w:val="00752FDA"/>
    <w:rsid w:val="00754233"/>
    <w:rsid w:val="00756EBC"/>
    <w:rsid w:val="00760BCB"/>
    <w:rsid w:val="0076158B"/>
    <w:rsid w:val="00763E91"/>
    <w:rsid w:val="00764E3C"/>
    <w:rsid w:val="00765C11"/>
    <w:rsid w:val="0077081A"/>
    <w:rsid w:val="0077147D"/>
    <w:rsid w:val="007718ED"/>
    <w:rsid w:val="00771F11"/>
    <w:rsid w:val="0077223C"/>
    <w:rsid w:val="007750D8"/>
    <w:rsid w:val="00776743"/>
    <w:rsid w:val="00776A27"/>
    <w:rsid w:val="00776E2A"/>
    <w:rsid w:val="00786342"/>
    <w:rsid w:val="00791595"/>
    <w:rsid w:val="00791A1C"/>
    <w:rsid w:val="007938BB"/>
    <w:rsid w:val="007967FA"/>
    <w:rsid w:val="007A0BC5"/>
    <w:rsid w:val="007A240D"/>
    <w:rsid w:val="007A2752"/>
    <w:rsid w:val="007B1B83"/>
    <w:rsid w:val="007B4AEE"/>
    <w:rsid w:val="007B5A3D"/>
    <w:rsid w:val="007B5BA7"/>
    <w:rsid w:val="007B5BC2"/>
    <w:rsid w:val="007B73CE"/>
    <w:rsid w:val="007C26D4"/>
    <w:rsid w:val="007C335A"/>
    <w:rsid w:val="007C41E8"/>
    <w:rsid w:val="007C4F3F"/>
    <w:rsid w:val="007D0ADE"/>
    <w:rsid w:val="007D3C32"/>
    <w:rsid w:val="007D750F"/>
    <w:rsid w:val="007D7ECF"/>
    <w:rsid w:val="007E2A0D"/>
    <w:rsid w:val="007E2ED1"/>
    <w:rsid w:val="007E56DC"/>
    <w:rsid w:val="007E79FA"/>
    <w:rsid w:val="007E7F70"/>
    <w:rsid w:val="007F034C"/>
    <w:rsid w:val="007F38FB"/>
    <w:rsid w:val="007F5064"/>
    <w:rsid w:val="007F621D"/>
    <w:rsid w:val="007F64F2"/>
    <w:rsid w:val="008028F3"/>
    <w:rsid w:val="00803584"/>
    <w:rsid w:val="0080362B"/>
    <w:rsid w:val="00805C4A"/>
    <w:rsid w:val="00807183"/>
    <w:rsid w:val="00810F57"/>
    <w:rsid w:val="00810FF7"/>
    <w:rsid w:val="0081586B"/>
    <w:rsid w:val="008170CD"/>
    <w:rsid w:val="00817863"/>
    <w:rsid w:val="008209EB"/>
    <w:rsid w:val="00821113"/>
    <w:rsid w:val="00821806"/>
    <w:rsid w:val="00822B9D"/>
    <w:rsid w:val="00822BA3"/>
    <w:rsid w:val="008256D1"/>
    <w:rsid w:val="0082649E"/>
    <w:rsid w:val="00826DE8"/>
    <w:rsid w:val="00827BDE"/>
    <w:rsid w:val="00831B9B"/>
    <w:rsid w:val="008337CD"/>
    <w:rsid w:val="00837AFC"/>
    <w:rsid w:val="00837FCB"/>
    <w:rsid w:val="0085261C"/>
    <w:rsid w:val="008573D0"/>
    <w:rsid w:val="00860E63"/>
    <w:rsid w:val="00861479"/>
    <w:rsid w:val="00862331"/>
    <w:rsid w:val="00862DE2"/>
    <w:rsid w:val="008634B4"/>
    <w:rsid w:val="008644C8"/>
    <w:rsid w:val="008663FC"/>
    <w:rsid w:val="00866808"/>
    <w:rsid w:val="00870233"/>
    <w:rsid w:val="008713BA"/>
    <w:rsid w:val="00871A1F"/>
    <w:rsid w:val="00872ABC"/>
    <w:rsid w:val="00876A67"/>
    <w:rsid w:val="00877B8D"/>
    <w:rsid w:val="00882F06"/>
    <w:rsid w:val="00883E21"/>
    <w:rsid w:val="00884831"/>
    <w:rsid w:val="008856D4"/>
    <w:rsid w:val="00890C91"/>
    <w:rsid w:val="00891340"/>
    <w:rsid w:val="00891830"/>
    <w:rsid w:val="0089417B"/>
    <w:rsid w:val="0089472C"/>
    <w:rsid w:val="00894E89"/>
    <w:rsid w:val="00896847"/>
    <w:rsid w:val="008A1414"/>
    <w:rsid w:val="008A1437"/>
    <w:rsid w:val="008A17CB"/>
    <w:rsid w:val="008A48F5"/>
    <w:rsid w:val="008A4E2A"/>
    <w:rsid w:val="008A6150"/>
    <w:rsid w:val="008B5715"/>
    <w:rsid w:val="008B5B2D"/>
    <w:rsid w:val="008B6FA9"/>
    <w:rsid w:val="008C01BA"/>
    <w:rsid w:val="008C1B18"/>
    <w:rsid w:val="008C1F6A"/>
    <w:rsid w:val="008C4796"/>
    <w:rsid w:val="008C4BD4"/>
    <w:rsid w:val="008C6EA1"/>
    <w:rsid w:val="008C7648"/>
    <w:rsid w:val="008D283F"/>
    <w:rsid w:val="008D2C6A"/>
    <w:rsid w:val="008D4326"/>
    <w:rsid w:val="008D5273"/>
    <w:rsid w:val="008D59A1"/>
    <w:rsid w:val="008D5E22"/>
    <w:rsid w:val="008D71DF"/>
    <w:rsid w:val="008D7BBC"/>
    <w:rsid w:val="008E0B1F"/>
    <w:rsid w:val="008E0C0D"/>
    <w:rsid w:val="008E495A"/>
    <w:rsid w:val="008E6E54"/>
    <w:rsid w:val="008F0BC2"/>
    <w:rsid w:val="008F137F"/>
    <w:rsid w:val="008F1B19"/>
    <w:rsid w:val="008F2292"/>
    <w:rsid w:val="008F30A7"/>
    <w:rsid w:val="008F3AF0"/>
    <w:rsid w:val="008F4126"/>
    <w:rsid w:val="008F660A"/>
    <w:rsid w:val="009009E6"/>
    <w:rsid w:val="00901D37"/>
    <w:rsid w:val="0090329A"/>
    <w:rsid w:val="00903EF3"/>
    <w:rsid w:val="00905557"/>
    <w:rsid w:val="009068DE"/>
    <w:rsid w:val="009070AC"/>
    <w:rsid w:val="00907D75"/>
    <w:rsid w:val="00910453"/>
    <w:rsid w:val="009108A8"/>
    <w:rsid w:val="00913ECE"/>
    <w:rsid w:val="00914B6F"/>
    <w:rsid w:val="00915EBF"/>
    <w:rsid w:val="00916C07"/>
    <w:rsid w:val="009222FB"/>
    <w:rsid w:val="009232C2"/>
    <w:rsid w:val="0092383D"/>
    <w:rsid w:val="00925455"/>
    <w:rsid w:val="00925D0D"/>
    <w:rsid w:val="00927FCC"/>
    <w:rsid w:val="0093078E"/>
    <w:rsid w:val="009315D8"/>
    <w:rsid w:val="0093168D"/>
    <w:rsid w:val="00931790"/>
    <w:rsid w:val="009349A2"/>
    <w:rsid w:val="00941349"/>
    <w:rsid w:val="0094325C"/>
    <w:rsid w:val="00945F16"/>
    <w:rsid w:val="0094740F"/>
    <w:rsid w:val="009603D5"/>
    <w:rsid w:val="00962A2E"/>
    <w:rsid w:val="00963024"/>
    <w:rsid w:val="0096388C"/>
    <w:rsid w:val="009641C4"/>
    <w:rsid w:val="00964C4F"/>
    <w:rsid w:val="00965B67"/>
    <w:rsid w:val="00966103"/>
    <w:rsid w:val="00966857"/>
    <w:rsid w:val="009671D0"/>
    <w:rsid w:val="009706C5"/>
    <w:rsid w:val="0097214D"/>
    <w:rsid w:val="00972752"/>
    <w:rsid w:val="00973252"/>
    <w:rsid w:val="00975606"/>
    <w:rsid w:val="00975ABC"/>
    <w:rsid w:val="00976CAF"/>
    <w:rsid w:val="00980168"/>
    <w:rsid w:val="00980DD0"/>
    <w:rsid w:val="00982A74"/>
    <w:rsid w:val="00982CF6"/>
    <w:rsid w:val="009874B1"/>
    <w:rsid w:val="009875E4"/>
    <w:rsid w:val="00990C63"/>
    <w:rsid w:val="00995DD8"/>
    <w:rsid w:val="00997E0F"/>
    <w:rsid w:val="009A2AC4"/>
    <w:rsid w:val="009A5482"/>
    <w:rsid w:val="009A56C2"/>
    <w:rsid w:val="009A6B2E"/>
    <w:rsid w:val="009A75D5"/>
    <w:rsid w:val="009A7F3B"/>
    <w:rsid w:val="009B09E6"/>
    <w:rsid w:val="009B1315"/>
    <w:rsid w:val="009B2BE4"/>
    <w:rsid w:val="009B45BB"/>
    <w:rsid w:val="009B7F7F"/>
    <w:rsid w:val="009C061E"/>
    <w:rsid w:val="009C06F0"/>
    <w:rsid w:val="009C5400"/>
    <w:rsid w:val="009C5AEB"/>
    <w:rsid w:val="009C5AF6"/>
    <w:rsid w:val="009D03C9"/>
    <w:rsid w:val="009D044E"/>
    <w:rsid w:val="009D0FE9"/>
    <w:rsid w:val="009D1364"/>
    <w:rsid w:val="009D2A29"/>
    <w:rsid w:val="009D4986"/>
    <w:rsid w:val="009D7A14"/>
    <w:rsid w:val="009E1D3A"/>
    <w:rsid w:val="009F0140"/>
    <w:rsid w:val="009F27E7"/>
    <w:rsid w:val="009F3ACA"/>
    <w:rsid w:val="009F548D"/>
    <w:rsid w:val="009F5F83"/>
    <w:rsid w:val="00A027A3"/>
    <w:rsid w:val="00A05FD2"/>
    <w:rsid w:val="00A07C4D"/>
    <w:rsid w:val="00A152F3"/>
    <w:rsid w:val="00A16E86"/>
    <w:rsid w:val="00A171E7"/>
    <w:rsid w:val="00A2050A"/>
    <w:rsid w:val="00A20906"/>
    <w:rsid w:val="00A20B1D"/>
    <w:rsid w:val="00A26CEF"/>
    <w:rsid w:val="00A30333"/>
    <w:rsid w:val="00A41081"/>
    <w:rsid w:val="00A415F1"/>
    <w:rsid w:val="00A41B22"/>
    <w:rsid w:val="00A420CA"/>
    <w:rsid w:val="00A47251"/>
    <w:rsid w:val="00A47A1F"/>
    <w:rsid w:val="00A50A6B"/>
    <w:rsid w:val="00A526CC"/>
    <w:rsid w:val="00A5323E"/>
    <w:rsid w:val="00A5481D"/>
    <w:rsid w:val="00A566D9"/>
    <w:rsid w:val="00A65A0D"/>
    <w:rsid w:val="00A66953"/>
    <w:rsid w:val="00A66E65"/>
    <w:rsid w:val="00A67F95"/>
    <w:rsid w:val="00A72B00"/>
    <w:rsid w:val="00A72BFB"/>
    <w:rsid w:val="00A73F8E"/>
    <w:rsid w:val="00A7554C"/>
    <w:rsid w:val="00A764A0"/>
    <w:rsid w:val="00A805F2"/>
    <w:rsid w:val="00A861E5"/>
    <w:rsid w:val="00A87B4E"/>
    <w:rsid w:val="00A9004E"/>
    <w:rsid w:val="00A9547A"/>
    <w:rsid w:val="00A95CDD"/>
    <w:rsid w:val="00A97BD0"/>
    <w:rsid w:val="00AA2C36"/>
    <w:rsid w:val="00AA36A2"/>
    <w:rsid w:val="00AA3A8A"/>
    <w:rsid w:val="00AA5E2C"/>
    <w:rsid w:val="00AA632C"/>
    <w:rsid w:val="00AB7EAE"/>
    <w:rsid w:val="00AC358F"/>
    <w:rsid w:val="00AC3ACC"/>
    <w:rsid w:val="00AC6589"/>
    <w:rsid w:val="00AC6C00"/>
    <w:rsid w:val="00AC7F7F"/>
    <w:rsid w:val="00AD2D3E"/>
    <w:rsid w:val="00AD2E32"/>
    <w:rsid w:val="00AD59A4"/>
    <w:rsid w:val="00AD79A0"/>
    <w:rsid w:val="00AD79E7"/>
    <w:rsid w:val="00AE0602"/>
    <w:rsid w:val="00AE0884"/>
    <w:rsid w:val="00AE2204"/>
    <w:rsid w:val="00AE244A"/>
    <w:rsid w:val="00AE24C6"/>
    <w:rsid w:val="00AE266E"/>
    <w:rsid w:val="00AE38F2"/>
    <w:rsid w:val="00AE69E6"/>
    <w:rsid w:val="00AF08E7"/>
    <w:rsid w:val="00AF0BCE"/>
    <w:rsid w:val="00AF1221"/>
    <w:rsid w:val="00AF16CD"/>
    <w:rsid w:val="00B0128C"/>
    <w:rsid w:val="00B051B2"/>
    <w:rsid w:val="00B052CD"/>
    <w:rsid w:val="00B053D7"/>
    <w:rsid w:val="00B06825"/>
    <w:rsid w:val="00B06DFF"/>
    <w:rsid w:val="00B07250"/>
    <w:rsid w:val="00B07296"/>
    <w:rsid w:val="00B124EE"/>
    <w:rsid w:val="00B129B0"/>
    <w:rsid w:val="00B1386E"/>
    <w:rsid w:val="00B16F9F"/>
    <w:rsid w:val="00B2011B"/>
    <w:rsid w:val="00B20B5A"/>
    <w:rsid w:val="00B22AC2"/>
    <w:rsid w:val="00B241AF"/>
    <w:rsid w:val="00B24673"/>
    <w:rsid w:val="00B25DA6"/>
    <w:rsid w:val="00B269DA"/>
    <w:rsid w:val="00B327CB"/>
    <w:rsid w:val="00B34360"/>
    <w:rsid w:val="00B40C11"/>
    <w:rsid w:val="00B41FBF"/>
    <w:rsid w:val="00B42540"/>
    <w:rsid w:val="00B4341D"/>
    <w:rsid w:val="00B46A83"/>
    <w:rsid w:val="00B47354"/>
    <w:rsid w:val="00B473CC"/>
    <w:rsid w:val="00B47C74"/>
    <w:rsid w:val="00B515F3"/>
    <w:rsid w:val="00B5286E"/>
    <w:rsid w:val="00B55A9C"/>
    <w:rsid w:val="00B56888"/>
    <w:rsid w:val="00B56EED"/>
    <w:rsid w:val="00B640AD"/>
    <w:rsid w:val="00B64EFD"/>
    <w:rsid w:val="00B64F02"/>
    <w:rsid w:val="00B65C9A"/>
    <w:rsid w:val="00B6688E"/>
    <w:rsid w:val="00B71050"/>
    <w:rsid w:val="00B72881"/>
    <w:rsid w:val="00B7367F"/>
    <w:rsid w:val="00B74081"/>
    <w:rsid w:val="00B80002"/>
    <w:rsid w:val="00B81C0C"/>
    <w:rsid w:val="00B83D96"/>
    <w:rsid w:val="00B85734"/>
    <w:rsid w:val="00B971D0"/>
    <w:rsid w:val="00BA074A"/>
    <w:rsid w:val="00BA1E0E"/>
    <w:rsid w:val="00BA21AB"/>
    <w:rsid w:val="00BA2E57"/>
    <w:rsid w:val="00BA358C"/>
    <w:rsid w:val="00BA534A"/>
    <w:rsid w:val="00BB17A4"/>
    <w:rsid w:val="00BB1E3E"/>
    <w:rsid w:val="00BB2665"/>
    <w:rsid w:val="00BB31A1"/>
    <w:rsid w:val="00BB4C23"/>
    <w:rsid w:val="00BB602C"/>
    <w:rsid w:val="00BB6A3A"/>
    <w:rsid w:val="00BB6D7E"/>
    <w:rsid w:val="00BB7899"/>
    <w:rsid w:val="00BC0854"/>
    <w:rsid w:val="00BC224D"/>
    <w:rsid w:val="00BC2728"/>
    <w:rsid w:val="00BC3F1E"/>
    <w:rsid w:val="00BC5E6D"/>
    <w:rsid w:val="00BC604A"/>
    <w:rsid w:val="00BC7535"/>
    <w:rsid w:val="00BD019E"/>
    <w:rsid w:val="00BD0864"/>
    <w:rsid w:val="00BD190F"/>
    <w:rsid w:val="00BD2431"/>
    <w:rsid w:val="00BD3174"/>
    <w:rsid w:val="00BD6D61"/>
    <w:rsid w:val="00BE1681"/>
    <w:rsid w:val="00BE1EBF"/>
    <w:rsid w:val="00BE4373"/>
    <w:rsid w:val="00BE4980"/>
    <w:rsid w:val="00BE4BE7"/>
    <w:rsid w:val="00BE53DD"/>
    <w:rsid w:val="00BE5DD9"/>
    <w:rsid w:val="00BE7D44"/>
    <w:rsid w:val="00BE7EDB"/>
    <w:rsid w:val="00BF04D7"/>
    <w:rsid w:val="00BF32D7"/>
    <w:rsid w:val="00BF33DA"/>
    <w:rsid w:val="00BF4811"/>
    <w:rsid w:val="00BF6C16"/>
    <w:rsid w:val="00BF720D"/>
    <w:rsid w:val="00C01A69"/>
    <w:rsid w:val="00C03464"/>
    <w:rsid w:val="00C03875"/>
    <w:rsid w:val="00C05CDB"/>
    <w:rsid w:val="00C062A4"/>
    <w:rsid w:val="00C065B3"/>
    <w:rsid w:val="00C07E03"/>
    <w:rsid w:val="00C203D0"/>
    <w:rsid w:val="00C226F1"/>
    <w:rsid w:val="00C22821"/>
    <w:rsid w:val="00C22B1C"/>
    <w:rsid w:val="00C22F42"/>
    <w:rsid w:val="00C24C84"/>
    <w:rsid w:val="00C26DD0"/>
    <w:rsid w:val="00C272DC"/>
    <w:rsid w:val="00C338FB"/>
    <w:rsid w:val="00C35628"/>
    <w:rsid w:val="00C37E7C"/>
    <w:rsid w:val="00C42439"/>
    <w:rsid w:val="00C42F73"/>
    <w:rsid w:val="00C43704"/>
    <w:rsid w:val="00C4452A"/>
    <w:rsid w:val="00C449B0"/>
    <w:rsid w:val="00C52B52"/>
    <w:rsid w:val="00C543F1"/>
    <w:rsid w:val="00C547DD"/>
    <w:rsid w:val="00C56048"/>
    <w:rsid w:val="00C56333"/>
    <w:rsid w:val="00C57791"/>
    <w:rsid w:val="00C609EF"/>
    <w:rsid w:val="00C60F53"/>
    <w:rsid w:val="00C631B0"/>
    <w:rsid w:val="00C643AE"/>
    <w:rsid w:val="00C64C9E"/>
    <w:rsid w:val="00C64CF4"/>
    <w:rsid w:val="00C67513"/>
    <w:rsid w:val="00C7083D"/>
    <w:rsid w:val="00C73601"/>
    <w:rsid w:val="00C7362C"/>
    <w:rsid w:val="00C75909"/>
    <w:rsid w:val="00C75A9B"/>
    <w:rsid w:val="00C76FC5"/>
    <w:rsid w:val="00C77049"/>
    <w:rsid w:val="00C77915"/>
    <w:rsid w:val="00C80C78"/>
    <w:rsid w:val="00C83061"/>
    <w:rsid w:val="00C83BD7"/>
    <w:rsid w:val="00C83EDD"/>
    <w:rsid w:val="00C8445F"/>
    <w:rsid w:val="00C857C5"/>
    <w:rsid w:val="00C85F32"/>
    <w:rsid w:val="00C876F3"/>
    <w:rsid w:val="00C9071A"/>
    <w:rsid w:val="00C91292"/>
    <w:rsid w:val="00C9133E"/>
    <w:rsid w:val="00C918D7"/>
    <w:rsid w:val="00C92778"/>
    <w:rsid w:val="00C93E5E"/>
    <w:rsid w:val="00C94318"/>
    <w:rsid w:val="00C955F4"/>
    <w:rsid w:val="00C960ED"/>
    <w:rsid w:val="00CA16F2"/>
    <w:rsid w:val="00CA1970"/>
    <w:rsid w:val="00CA1E45"/>
    <w:rsid w:val="00CA2982"/>
    <w:rsid w:val="00CA44C7"/>
    <w:rsid w:val="00CA5CAA"/>
    <w:rsid w:val="00CA72B7"/>
    <w:rsid w:val="00CA7E06"/>
    <w:rsid w:val="00CB097F"/>
    <w:rsid w:val="00CB15B2"/>
    <w:rsid w:val="00CB40C8"/>
    <w:rsid w:val="00CB525F"/>
    <w:rsid w:val="00CB5409"/>
    <w:rsid w:val="00CB6DF3"/>
    <w:rsid w:val="00CB71A6"/>
    <w:rsid w:val="00CB7DA0"/>
    <w:rsid w:val="00CC1025"/>
    <w:rsid w:val="00CC1257"/>
    <w:rsid w:val="00CC1C56"/>
    <w:rsid w:val="00CC5AFB"/>
    <w:rsid w:val="00CC6E54"/>
    <w:rsid w:val="00CC77F6"/>
    <w:rsid w:val="00CC7FE7"/>
    <w:rsid w:val="00CD1E6F"/>
    <w:rsid w:val="00CD1F3E"/>
    <w:rsid w:val="00CD6464"/>
    <w:rsid w:val="00CD71F5"/>
    <w:rsid w:val="00CD79AE"/>
    <w:rsid w:val="00CE078F"/>
    <w:rsid w:val="00CE1705"/>
    <w:rsid w:val="00CE2065"/>
    <w:rsid w:val="00CE40D0"/>
    <w:rsid w:val="00CE4CCE"/>
    <w:rsid w:val="00CF0CF6"/>
    <w:rsid w:val="00CF1733"/>
    <w:rsid w:val="00CF2D1E"/>
    <w:rsid w:val="00CF4A0A"/>
    <w:rsid w:val="00CF54A9"/>
    <w:rsid w:val="00CF6976"/>
    <w:rsid w:val="00CF721C"/>
    <w:rsid w:val="00CF799C"/>
    <w:rsid w:val="00D00D27"/>
    <w:rsid w:val="00D02D25"/>
    <w:rsid w:val="00D02E05"/>
    <w:rsid w:val="00D03E07"/>
    <w:rsid w:val="00D046F6"/>
    <w:rsid w:val="00D05F56"/>
    <w:rsid w:val="00D12FD7"/>
    <w:rsid w:val="00D15198"/>
    <w:rsid w:val="00D16AAA"/>
    <w:rsid w:val="00D17FB7"/>
    <w:rsid w:val="00D20D59"/>
    <w:rsid w:val="00D22EAC"/>
    <w:rsid w:val="00D250F3"/>
    <w:rsid w:val="00D255B6"/>
    <w:rsid w:val="00D26B64"/>
    <w:rsid w:val="00D26FD8"/>
    <w:rsid w:val="00D3154B"/>
    <w:rsid w:val="00D31F93"/>
    <w:rsid w:val="00D36D16"/>
    <w:rsid w:val="00D415AB"/>
    <w:rsid w:val="00D44A0A"/>
    <w:rsid w:val="00D451C6"/>
    <w:rsid w:val="00D464A8"/>
    <w:rsid w:val="00D46813"/>
    <w:rsid w:val="00D46914"/>
    <w:rsid w:val="00D504E9"/>
    <w:rsid w:val="00D54933"/>
    <w:rsid w:val="00D61828"/>
    <w:rsid w:val="00D63DB3"/>
    <w:rsid w:val="00D659B3"/>
    <w:rsid w:val="00D664FC"/>
    <w:rsid w:val="00D7365B"/>
    <w:rsid w:val="00D772D2"/>
    <w:rsid w:val="00D7735E"/>
    <w:rsid w:val="00D77B3F"/>
    <w:rsid w:val="00D80902"/>
    <w:rsid w:val="00D82265"/>
    <w:rsid w:val="00D826DB"/>
    <w:rsid w:val="00D82945"/>
    <w:rsid w:val="00D851D0"/>
    <w:rsid w:val="00D9008C"/>
    <w:rsid w:val="00D9042C"/>
    <w:rsid w:val="00D92A92"/>
    <w:rsid w:val="00D93797"/>
    <w:rsid w:val="00D93D2F"/>
    <w:rsid w:val="00D94FAA"/>
    <w:rsid w:val="00D97DE1"/>
    <w:rsid w:val="00DA0D30"/>
    <w:rsid w:val="00DA18C0"/>
    <w:rsid w:val="00DA377F"/>
    <w:rsid w:val="00DA5589"/>
    <w:rsid w:val="00DA5D03"/>
    <w:rsid w:val="00DB1B95"/>
    <w:rsid w:val="00DB1E25"/>
    <w:rsid w:val="00DB3560"/>
    <w:rsid w:val="00DB35AE"/>
    <w:rsid w:val="00DB5F0B"/>
    <w:rsid w:val="00DB6F55"/>
    <w:rsid w:val="00DB78DC"/>
    <w:rsid w:val="00DC140A"/>
    <w:rsid w:val="00DC1C01"/>
    <w:rsid w:val="00DC4092"/>
    <w:rsid w:val="00DC52AF"/>
    <w:rsid w:val="00DC5700"/>
    <w:rsid w:val="00DC6A0E"/>
    <w:rsid w:val="00DC755E"/>
    <w:rsid w:val="00DD13D9"/>
    <w:rsid w:val="00DD2A53"/>
    <w:rsid w:val="00DD4931"/>
    <w:rsid w:val="00DD56B4"/>
    <w:rsid w:val="00DD6495"/>
    <w:rsid w:val="00DE37C6"/>
    <w:rsid w:val="00DE4E96"/>
    <w:rsid w:val="00DE6838"/>
    <w:rsid w:val="00DF00D7"/>
    <w:rsid w:val="00DF0947"/>
    <w:rsid w:val="00DF42F0"/>
    <w:rsid w:val="00DF4F29"/>
    <w:rsid w:val="00DF53B3"/>
    <w:rsid w:val="00DF549E"/>
    <w:rsid w:val="00E030C1"/>
    <w:rsid w:val="00E03661"/>
    <w:rsid w:val="00E0599B"/>
    <w:rsid w:val="00E1193B"/>
    <w:rsid w:val="00E13712"/>
    <w:rsid w:val="00E13E49"/>
    <w:rsid w:val="00E16523"/>
    <w:rsid w:val="00E17361"/>
    <w:rsid w:val="00E173A8"/>
    <w:rsid w:val="00E22BA7"/>
    <w:rsid w:val="00E23048"/>
    <w:rsid w:val="00E23BA2"/>
    <w:rsid w:val="00E25618"/>
    <w:rsid w:val="00E2578F"/>
    <w:rsid w:val="00E26E37"/>
    <w:rsid w:val="00E26FD8"/>
    <w:rsid w:val="00E2722D"/>
    <w:rsid w:val="00E27581"/>
    <w:rsid w:val="00E27758"/>
    <w:rsid w:val="00E31A4B"/>
    <w:rsid w:val="00E33D4A"/>
    <w:rsid w:val="00E358EB"/>
    <w:rsid w:val="00E379C2"/>
    <w:rsid w:val="00E37F9C"/>
    <w:rsid w:val="00E40661"/>
    <w:rsid w:val="00E40F1B"/>
    <w:rsid w:val="00E42177"/>
    <w:rsid w:val="00E42BAF"/>
    <w:rsid w:val="00E440FF"/>
    <w:rsid w:val="00E44A6F"/>
    <w:rsid w:val="00E47AA2"/>
    <w:rsid w:val="00E47E1E"/>
    <w:rsid w:val="00E50643"/>
    <w:rsid w:val="00E51428"/>
    <w:rsid w:val="00E52911"/>
    <w:rsid w:val="00E52DF1"/>
    <w:rsid w:val="00E53620"/>
    <w:rsid w:val="00E53B7F"/>
    <w:rsid w:val="00E54B1C"/>
    <w:rsid w:val="00E5670E"/>
    <w:rsid w:val="00E611F3"/>
    <w:rsid w:val="00E6188F"/>
    <w:rsid w:val="00E62F31"/>
    <w:rsid w:val="00E635BA"/>
    <w:rsid w:val="00E63AA5"/>
    <w:rsid w:val="00E644F1"/>
    <w:rsid w:val="00E66A3E"/>
    <w:rsid w:val="00E675FE"/>
    <w:rsid w:val="00E74CC9"/>
    <w:rsid w:val="00E80157"/>
    <w:rsid w:val="00E80482"/>
    <w:rsid w:val="00E81EE7"/>
    <w:rsid w:val="00E82203"/>
    <w:rsid w:val="00E82258"/>
    <w:rsid w:val="00E82944"/>
    <w:rsid w:val="00E84382"/>
    <w:rsid w:val="00E84E1E"/>
    <w:rsid w:val="00E8514B"/>
    <w:rsid w:val="00E9096E"/>
    <w:rsid w:val="00E94212"/>
    <w:rsid w:val="00E95472"/>
    <w:rsid w:val="00E972FC"/>
    <w:rsid w:val="00EA2EF8"/>
    <w:rsid w:val="00EA3DD0"/>
    <w:rsid w:val="00EA3ED4"/>
    <w:rsid w:val="00EA4C01"/>
    <w:rsid w:val="00EA4EF5"/>
    <w:rsid w:val="00EA63D8"/>
    <w:rsid w:val="00EA6896"/>
    <w:rsid w:val="00EA70C9"/>
    <w:rsid w:val="00EA79BA"/>
    <w:rsid w:val="00EB078F"/>
    <w:rsid w:val="00EB2592"/>
    <w:rsid w:val="00EB34FA"/>
    <w:rsid w:val="00EB45EC"/>
    <w:rsid w:val="00EB513F"/>
    <w:rsid w:val="00EB529C"/>
    <w:rsid w:val="00EB7070"/>
    <w:rsid w:val="00EC0307"/>
    <w:rsid w:val="00EC1E85"/>
    <w:rsid w:val="00EC5802"/>
    <w:rsid w:val="00ED0C41"/>
    <w:rsid w:val="00ED1483"/>
    <w:rsid w:val="00ED2289"/>
    <w:rsid w:val="00ED2B00"/>
    <w:rsid w:val="00ED3EE3"/>
    <w:rsid w:val="00ED4633"/>
    <w:rsid w:val="00ED491E"/>
    <w:rsid w:val="00ED6A7D"/>
    <w:rsid w:val="00EE6124"/>
    <w:rsid w:val="00EE6582"/>
    <w:rsid w:val="00EE6BAF"/>
    <w:rsid w:val="00EF2B34"/>
    <w:rsid w:val="00EF3875"/>
    <w:rsid w:val="00EF3A77"/>
    <w:rsid w:val="00EF4EAB"/>
    <w:rsid w:val="00F1246B"/>
    <w:rsid w:val="00F13692"/>
    <w:rsid w:val="00F13815"/>
    <w:rsid w:val="00F156AB"/>
    <w:rsid w:val="00F17A5F"/>
    <w:rsid w:val="00F2041C"/>
    <w:rsid w:val="00F2317E"/>
    <w:rsid w:val="00F2335A"/>
    <w:rsid w:val="00F27AFA"/>
    <w:rsid w:val="00F30543"/>
    <w:rsid w:val="00F3327D"/>
    <w:rsid w:val="00F369AB"/>
    <w:rsid w:val="00F43A57"/>
    <w:rsid w:val="00F44C7B"/>
    <w:rsid w:val="00F4501C"/>
    <w:rsid w:val="00F45D6E"/>
    <w:rsid w:val="00F46D43"/>
    <w:rsid w:val="00F473AD"/>
    <w:rsid w:val="00F47407"/>
    <w:rsid w:val="00F51C60"/>
    <w:rsid w:val="00F52737"/>
    <w:rsid w:val="00F53449"/>
    <w:rsid w:val="00F54925"/>
    <w:rsid w:val="00F550E4"/>
    <w:rsid w:val="00F55E6E"/>
    <w:rsid w:val="00F561D2"/>
    <w:rsid w:val="00F56B6C"/>
    <w:rsid w:val="00F60963"/>
    <w:rsid w:val="00F61FAC"/>
    <w:rsid w:val="00F6397C"/>
    <w:rsid w:val="00F640C9"/>
    <w:rsid w:val="00F64715"/>
    <w:rsid w:val="00F6611B"/>
    <w:rsid w:val="00F70441"/>
    <w:rsid w:val="00F71667"/>
    <w:rsid w:val="00F72BC4"/>
    <w:rsid w:val="00F7346A"/>
    <w:rsid w:val="00F759BE"/>
    <w:rsid w:val="00F76985"/>
    <w:rsid w:val="00F76C30"/>
    <w:rsid w:val="00F8036D"/>
    <w:rsid w:val="00F80FC6"/>
    <w:rsid w:val="00F8125E"/>
    <w:rsid w:val="00F854FF"/>
    <w:rsid w:val="00F8599A"/>
    <w:rsid w:val="00F872B6"/>
    <w:rsid w:val="00F90CB0"/>
    <w:rsid w:val="00F96C3E"/>
    <w:rsid w:val="00FA110C"/>
    <w:rsid w:val="00FA1FED"/>
    <w:rsid w:val="00FA2210"/>
    <w:rsid w:val="00FA3522"/>
    <w:rsid w:val="00FA501C"/>
    <w:rsid w:val="00FA7C71"/>
    <w:rsid w:val="00FB07AC"/>
    <w:rsid w:val="00FB1967"/>
    <w:rsid w:val="00FB646E"/>
    <w:rsid w:val="00FB6736"/>
    <w:rsid w:val="00FC22A9"/>
    <w:rsid w:val="00FC22C6"/>
    <w:rsid w:val="00FC4120"/>
    <w:rsid w:val="00FC4A8F"/>
    <w:rsid w:val="00FC5287"/>
    <w:rsid w:val="00FC54D3"/>
    <w:rsid w:val="00FC7A5C"/>
    <w:rsid w:val="00FC7F79"/>
    <w:rsid w:val="00FD037C"/>
    <w:rsid w:val="00FD0E52"/>
    <w:rsid w:val="00FD1CC1"/>
    <w:rsid w:val="00FD48C5"/>
    <w:rsid w:val="00FD50E9"/>
    <w:rsid w:val="00FD640F"/>
    <w:rsid w:val="00FE00F7"/>
    <w:rsid w:val="00FE15DB"/>
    <w:rsid w:val="00FE3BDF"/>
    <w:rsid w:val="00FE738B"/>
    <w:rsid w:val="00FE7CDD"/>
    <w:rsid w:val="00FF00EC"/>
    <w:rsid w:val="00FF0EFB"/>
    <w:rsid w:val="00FF31AC"/>
    <w:rsid w:val="00FF3254"/>
    <w:rsid w:val="00FF5544"/>
    <w:rsid w:val="00FF7BDC"/>
    <w:rsid w:val="170B445A"/>
    <w:rsid w:val="556AA5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0033440-7007-8D4B-9A0C-1A256B37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3B10A3"/>
    <w:pPr>
      <w:spacing w:before="60" w:after="60"/>
      <w:jc w:val="both"/>
    </w:p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3B10A3"/>
    <w:rPr>
      <w:rFonts w:ascii="Times New Roman" w:hAnsi="Times New Roman"/>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customStyle="1" w:styleId="Default">
    <w:name w:val="Default"/>
    <w:rsid w:val="002C06BD"/>
    <w:pPr>
      <w:autoSpaceDE w:val="0"/>
      <w:autoSpaceDN w:val="0"/>
      <w:adjustRightInd w:val="0"/>
    </w:pPr>
    <w:rPr>
      <w:rFonts w:ascii="Arial" w:eastAsiaTheme="minorHAnsi" w:hAnsi="Arial" w:cs="Arial"/>
      <w:color w:val="000000"/>
      <w:sz w:val="24"/>
      <w:szCs w:val="24"/>
      <w:lang w:val="fr-CH"/>
    </w:rPr>
  </w:style>
  <w:style w:type="paragraph" w:styleId="Header">
    <w:name w:val="header"/>
    <w:basedOn w:val="Normal"/>
    <w:link w:val="HeaderChar"/>
    <w:semiHidden/>
    <w:unhideWhenUsed/>
    <w:rsid w:val="00822B9D"/>
    <w:pPr>
      <w:tabs>
        <w:tab w:val="center" w:pos="4680"/>
        <w:tab w:val="right" w:pos="9360"/>
      </w:tabs>
    </w:pPr>
  </w:style>
  <w:style w:type="character" w:customStyle="1" w:styleId="HeaderChar">
    <w:name w:val="Header Char"/>
    <w:basedOn w:val="DefaultParagraphFont"/>
    <w:link w:val="Header"/>
    <w:semiHidden/>
    <w:rsid w:val="00822B9D"/>
    <w:rPr>
      <w:rFonts w:ascii="Times New Roman" w:hAnsi="Times New Roman"/>
      <w:lang w:eastAsia="fr-FR"/>
    </w:rPr>
  </w:style>
  <w:style w:type="paragraph" w:styleId="Footer">
    <w:name w:val="footer"/>
    <w:basedOn w:val="Normal"/>
    <w:link w:val="FooterChar"/>
    <w:semiHidden/>
    <w:unhideWhenUsed/>
    <w:rsid w:val="00822B9D"/>
    <w:pPr>
      <w:tabs>
        <w:tab w:val="center" w:pos="4680"/>
        <w:tab w:val="right" w:pos="9360"/>
      </w:tabs>
    </w:pPr>
  </w:style>
  <w:style w:type="character" w:customStyle="1" w:styleId="FooterChar">
    <w:name w:val="Footer Char"/>
    <w:basedOn w:val="DefaultParagraphFont"/>
    <w:link w:val="Footer"/>
    <w:semiHidden/>
    <w:rsid w:val="00822B9D"/>
    <w:rPr>
      <w:rFonts w:ascii="Times New Roman" w:hAnsi="Times New Roman"/>
      <w:lang w:eastAsia="fr-FR"/>
    </w:rPr>
  </w:style>
  <w:style w:type="character" w:styleId="PlaceholderText">
    <w:name w:val="Placeholder Text"/>
    <w:basedOn w:val="DefaultParagraphFont"/>
    <w:uiPriority w:val="99"/>
    <w:unhideWhenUsed/>
    <w:rsid w:val="00EA3ED4"/>
    <w:rPr>
      <w:color w:val="808080"/>
    </w:rPr>
  </w:style>
  <w:style w:type="character" w:customStyle="1" w:styleId="UnresolvedMention1">
    <w:name w:val="Unresolved Mention1"/>
    <w:basedOn w:val="DefaultParagraphFont"/>
    <w:uiPriority w:val="99"/>
    <w:semiHidden/>
    <w:unhideWhenUsed/>
    <w:rsid w:val="00F2317E"/>
    <w:rPr>
      <w:color w:val="605E5C"/>
      <w:shd w:val="clear" w:color="auto" w:fill="E1DFDD"/>
    </w:rPr>
  </w:style>
  <w:style w:type="paragraph" w:styleId="Revision">
    <w:name w:val="Revision"/>
    <w:hidden/>
    <w:uiPriority w:val="71"/>
    <w:semiHidden/>
    <w:rsid w:val="009A56C2"/>
    <w:rPr>
      <w:rFonts w:ascii="Times New Roman" w:hAnsi="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1835">
      <w:bodyDiv w:val="1"/>
      <w:marLeft w:val="0"/>
      <w:marRight w:val="0"/>
      <w:marTop w:val="0"/>
      <w:marBottom w:val="0"/>
      <w:divBdr>
        <w:top w:val="none" w:sz="0" w:space="0" w:color="auto"/>
        <w:left w:val="none" w:sz="0" w:space="0" w:color="auto"/>
        <w:bottom w:val="none" w:sz="0" w:space="0" w:color="auto"/>
        <w:right w:val="none" w:sz="0" w:space="0" w:color="auto"/>
      </w:divBdr>
    </w:div>
    <w:div w:id="202523177">
      <w:bodyDiv w:val="1"/>
      <w:marLeft w:val="0"/>
      <w:marRight w:val="0"/>
      <w:marTop w:val="0"/>
      <w:marBottom w:val="0"/>
      <w:divBdr>
        <w:top w:val="none" w:sz="0" w:space="0" w:color="auto"/>
        <w:left w:val="none" w:sz="0" w:space="0" w:color="auto"/>
        <w:bottom w:val="none" w:sz="0" w:space="0" w:color="auto"/>
        <w:right w:val="none" w:sz="0" w:space="0" w:color="auto"/>
      </w:divBdr>
    </w:div>
    <w:div w:id="178523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F1649D64-6FF4-F14B-9D5F-CDA2F1B98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C:\Adi Working Folder\MedInfo2017 Planning committee\MedInfo Templates from Sarkar\2015_MEDINFO_Template_Master.dot</Template>
  <TotalTime>8</TotalTime>
  <Pages>5</Pages>
  <Words>8255</Words>
  <Characters>47054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2015 MEDINFO Template</vt:lpstr>
    </vt:vector>
  </TitlesOfParts>
  <Company>IMIA</Company>
  <LinksUpToDate>false</LinksUpToDate>
  <CharactersWithSpaces>55199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subject/>
  <dc:creator>Adi Gundlapalli</dc:creator>
  <cp:keywords/>
  <cp:lastModifiedBy>Ben Knoll</cp:lastModifiedBy>
  <cp:revision>4</cp:revision>
  <cp:lastPrinted>2018-11-19T16:36:00Z</cp:lastPrinted>
  <dcterms:created xsi:type="dcterms:W3CDTF">2019-04-01T16:07:00Z</dcterms:created>
  <dcterms:modified xsi:type="dcterms:W3CDTF">2019-08-27T12:26:00Z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http://www.zotero.org/styles/ios-press-books</vt:lpwstr>
  </property>
  <property fmtid="{D5CDD505-2E9C-101B-9397-08002B2CF9AE}" pid="15" name="Mendeley Recent Style Name 6_1">
    <vt:lpwstr>IOS Press (books)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f4fa42b4-f4f5-38c5-93d2-c845d8717c5b</vt:lpwstr>
  </property>
  <property fmtid="{D5CDD505-2E9C-101B-9397-08002B2CF9AE}" pid="24" name="Mendeley Citation Style_1">
    <vt:lpwstr>http://www.zotero.org/styles/ios-press-books</vt:lpwstr>
  </property>
</Properties>
</file>