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E15D5" w14:textId="1952EF33" w:rsidR="00174254" w:rsidRPr="00692F73" w:rsidRDefault="00000000" w:rsidP="00692F73">
      <w:pPr>
        <w:rPr>
          <w:rFonts w:ascii="Palatino Linotype" w:hAnsi="Palatino Linotype"/>
          <w:sz w:val="20"/>
          <w:szCs w:val="20"/>
          <w:lang w:val="en-US"/>
        </w:rPr>
      </w:pPr>
      <w:r w:rsidRPr="00692F73">
        <w:rPr>
          <w:rFonts w:ascii="Palatino Linotype" w:hAnsi="Palatino Linotype"/>
          <w:color w:val="2D2D2D"/>
          <w:sz w:val="20"/>
          <w:szCs w:val="20"/>
          <w:lang w:val="en-US"/>
        </w:rPr>
        <w:t>Editorial Office</w:t>
      </w:r>
      <w:r w:rsidR="00692F73" w:rsidRPr="00692F73">
        <w:rPr>
          <w:rFonts w:ascii="Palatino Linotype" w:hAnsi="Palatino Linotype"/>
          <w:color w:val="2D2D2D"/>
          <w:sz w:val="20"/>
          <w:szCs w:val="20"/>
          <w:lang w:val="en-US"/>
        </w:rPr>
        <w:t xml:space="preserve">                                                                                                         </w:t>
      </w:r>
      <w:r w:rsidR="00692F73">
        <w:rPr>
          <w:rFonts w:ascii="Palatino Linotype" w:hAnsi="Palatino Linotype"/>
          <w:color w:val="2D2D2D"/>
          <w:sz w:val="20"/>
          <w:szCs w:val="20"/>
          <w:lang w:val="en-US"/>
        </w:rPr>
        <w:tab/>
      </w:r>
      <w:r w:rsidR="00692F73">
        <w:rPr>
          <w:rFonts w:ascii="Palatino Linotype" w:hAnsi="Palatino Linotype"/>
          <w:color w:val="2D2D2D"/>
          <w:sz w:val="20"/>
          <w:szCs w:val="20"/>
          <w:lang w:val="en-US"/>
        </w:rPr>
        <w:tab/>
        <w:t xml:space="preserve">    </w:t>
      </w:r>
    </w:p>
    <w:p w14:paraId="00C840AF" w14:textId="77777777" w:rsidR="00174254" w:rsidRPr="00692F73" w:rsidRDefault="00000000" w:rsidP="00692F73">
      <w:pPr>
        <w:rPr>
          <w:rFonts w:ascii="Palatino Linotype" w:hAnsi="Palatino Linotype"/>
          <w:sz w:val="20"/>
          <w:szCs w:val="20"/>
          <w:lang w:val="en-US"/>
        </w:rPr>
      </w:pPr>
      <w:r w:rsidRPr="00692F73">
        <w:rPr>
          <w:rFonts w:ascii="Palatino Linotype" w:hAnsi="Palatino Linotype"/>
          <w:color w:val="2D2D2D"/>
          <w:sz w:val="20"/>
          <w:szCs w:val="20"/>
          <w:lang w:val="en-US"/>
        </w:rPr>
        <w:t>Children (MDPI)</w:t>
      </w:r>
    </w:p>
    <w:p w14:paraId="1D6624CF" w14:textId="77777777" w:rsidR="00174254" w:rsidRPr="00692F73" w:rsidRDefault="00174254">
      <w:pPr>
        <w:spacing w:after="200"/>
        <w:rPr>
          <w:rFonts w:ascii="Palatino Linotype" w:hAnsi="Palatino Linotype"/>
          <w:sz w:val="20"/>
          <w:szCs w:val="20"/>
          <w:lang w:val="en-US"/>
        </w:rPr>
      </w:pPr>
    </w:p>
    <w:p w14:paraId="729EEB9E" w14:textId="77777777" w:rsidR="00174254" w:rsidRPr="00692F73" w:rsidRDefault="00000000" w:rsidP="00692F73">
      <w:pPr>
        <w:spacing w:after="300"/>
        <w:jc w:val="both"/>
        <w:rPr>
          <w:rFonts w:ascii="Palatino Linotype" w:hAnsi="Palatino Linotype"/>
          <w:sz w:val="18"/>
          <w:szCs w:val="18"/>
          <w:lang w:val="en-US"/>
        </w:rPr>
      </w:pPr>
      <w:r w:rsidRPr="00692F73">
        <w:rPr>
          <w:rFonts w:ascii="Palatino Linotype" w:hAnsi="Palatino Linotype"/>
          <w:b/>
          <w:bCs/>
          <w:color w:val="2D2D2D"/>
          <w:sz w:val="18"/>
          <w:szCs w:val="18"/>
          <w:lang w:val="en-US"/>
        </w:rPr>
        <w:t xml:space="preserve">Re: </w:t>
      </w:r>
      <w:r w:rsidRPr="00692F73">
        <w:rPr>
          <w:rFonts w:ascii="Palatino Linotype" w:hAnsi="Palatino Linotype"/>
          <w:color w:val="2D2D2D"/>
          <w:sz w:val="18"/>
          <w:szCs w:val="18"/>
          <w:lang w:val="en-US"/>
        </w:rPr>
        <w:t>Submission of manuscript “Bacterial-Derived Immunomodulators as a Preventive Strategy for Viral Respiratory Tract Infections and Associated Wheezing or Asthma in Children: A Targeted Narrative Review”</w:t>
      </w:r>
    </w:p>
    <w:p w14:paraId="55C2109C" w14:textId="77777777" w:rsidR="00174254" w:rsidRPr="00692F73" w:rsidRDefault="00000000">
      <w:pPr>
        <w:spacing w:after="200"/>
        <w:rPr>
          <w:rFonts w:ascii="Palatino Linotype" w:hAnsi="Palatino Linotype"/>
          <w:sz w:val="20"/>
          <w:szCs w:val="20"/>
          <w:lang w:val="en-US"/>
        </w:rPr>
      </w:pPr>
      <w:r w:rsidRPr="00692F73">
        <w:rPr>
          <w:rFonts w:ascii="Palatino Linotype" w:hAnsi="Palatino Linotype"/>
          <w:color w:val="2D2D2D"/>
          <w:sz w:val="20"/>
          <w:szCs w:val="20"/>
          <w:lang w:val="en-US"/>
        </w:rPr>
        <w:t>Dear Editor,</w:t>
      </w:r>
    </w:p>
    <w:p w14:paraId="11040AD0" w14:textId="1D4BEC06" w:rsidR="00174254" w:rsidRPr="00692F73" w:rsidRDefault="00000000">
      <w:pPr>
        <w:spacing w:after="200"/>
        <w:jc w:val="both"/>
        <w:rPr>
          <w:rFonts w:ascii="Palatino Linotype" w:hAnsi="Palatino Linotype"/>
          <w:sz w:val="20"/>
          <w:szCs w:val="20"/>
          <w:lang w:val="en-US"/>
        </w:rPr>
      </w:pPr>
      <w:r w:rsidRPr="00692F73">
        <w:rPr>
          <w:rFonts w:ascii="Palatino Linotype" w:hAnsi="Palatino Linotype"/>
          <w:color w:val="2D2D2D"/>
          <w:sz w:val="20"/>
          <w:szCs w:val="20"/>
          <w:lang w:val="en-US"/>
        </w:rPr>
        <w:t xml:space="preserve">We are pleased to submit the above-referenced manuscript for consideration as a Review article in Children. This targeted narrative review provides the first comprehensive synthesis of preclinical mechanisms and </w:t>
      </w:r>
      <w:r w:rsidR="00692F73" w:rsidRPr="00692F73">
        <w:rPr>
          <w:rFonts w:ascii="Palatino Linotype" w:hAnsi="Palatino Linotype"/>
          <w:color w:val="2D2D2D"/>
          <w:sz w:val="20"/>
          <w:szCs w:val="20"/>
          <w:lang w:val="en-US"/>
        </w:rPr>
        <w:t>pediatric</w:t>
      </w:r>
      <w:r w:rsidRPr="00692F73">
        <w:rPr>
          <w:rFonts w:ascii="Palatino Linotype" w:hAnsi="Palatino Linotype"/>
          <w:color w:val="2D2D2D"/>
          <w:sz w:val="20"/>
          <w:szCs w:val="20"/>
          <w:lang w:val="en-US"/>
        </w:rPr>
        <w:t xml:space="preserve"> clinical evidence across four distinct bacterial-derived immunomodulators — OM-85, polyvalent mechanical bacterial lysate (PMBL/Ismigen), MV130, and </w:t>
      </w:r>
      <w:r w:rsidRPr="00692F73">
        <w:rPr>
          <w:rFonts w:ascii="Palatino Linotype" w:hAnsi="Palatino Linotype"/>
          <w:i/>
          <w:iCs/>
          <w:color w:val="2D2D2D"/>
          <w:sz w:val="20"/>
          <w:szCs w:val="20"/>
          <w:lang w:val="en-US"/>
        </w:rPr>
        <w:t>Lactobacillus rhamnosus</w:t>
      </w:r>
      <w:r w:rsidRPr="00692F73">
        <w:rPr>
          <w:rFonts w:ascii="Palatino Linotype" w:hAnsi="Palatino Linotype"/>
          <w:color w:val="2D2D2D"/>
          <w:sz w:val="20"/>
          <w:szCs w:val="20"/>
          <w:lang w:val="en-US"/>
        </w:rPr>
        <w:t xml:space="preserve"> CRL1505 — in the prevention of respiratory tract infections (RTIs) and associated wheezing or asthma in children.</w:t>
      </w:r>
    </w:p>
    <w:p w14:paraId="631F94BE" w14:textId="197ED359" w:rsidR="00174254" w:rsidRPr="00692F73" w:rsidRDefault="00000000">
      <w:pPr>
        <w:spacing w:after="200"/>
        <w:jc w:val="both"/>
        <w:rPr>
          <w:rFonts w:ascii="Palatino Linotype" w:hAnsi="Palatino Linotype"/>
          <w:sz w:val="20"/>
          <w:szCs w:val="20"/>
          <w:lang w:val="en-US"/>
        </w:rPr>
      </w:pPr>
      <w:r w:rsidRPr="00692F73">
        <w:rPr>
          <w:rFonts w:ascii="Palatino Linotype" w:hAnsi="Palatino Linotype"/>
          <w:color w:val="2D2D2D"/>
          <w:sz w:val="20"/>
          <w:szCs w:val="20"/>
          <w:lang w:val="en-US"/>
        </w:rPr>
        <w:t xml:space="preserve">Recurrent viral RTIs remain a leading cause of morbidity in children under five, with over 75% experiencing repeated episodes and an increased risk of developing asthma by school age. While current therapies primarily address acute symptoms, effective preventive strategies remain limited. Bacterial-derived immunomodulators have emerged as promising interventions; however, their mechanisms of action and the robustness of </w:t>
      </w:r>
      <w:r w:rsidR="00692F73" w:rsidRPr="00692F73">
        <w:rPr>
          <w:rFonts w:ascii="Palatino Linotype" w:hAnsi="Palatino Linotype"/>
          <w:color w:val="2D2D2D"/>
          <w:sz w:val="20"/>
          <w:szCs w:val="20"/>
          <w:lang w:val="en-US"/>
        </w:rPr>
        <w:t>pediatric</w:t>
      </w:r>
      <w:r w:rsidRPr="00692F73">
        <w:rPr>
          <w:rFonts w:ascii="Palatino Linotype" w:hAnsi="Palatino Linotype"/>
          <w:color w:val="2D2D2D"/>
          <w:sz w:val="20"/>
          <w:szCs w:val="20"/>
          <w:lang w:val="en-US"/>
        </w:rPr>
        <w:t xml:space="preserve"> clinical evidence have not been comprehensively compared across products.</w:t>
      </w:r>
    </w:p>
    <w:p w14:paraId="4D9A2C4B" w14:textId="6C365971" w:rsidR="00174254" w:rsidRPr="00692F73" w:rsidRDefault="00000000">
      <w:pPr>
        <w:spacing w:after="200"/>
        <w:jc w:val="both"/>
        <w:rPr>
          <w:rFonts w:ascii="Palatino Linotype" w:hAnsi="Palatino Linotype"/>
          <w:sz w:val="20"/>
          <w:szCs w:val="20"/>
          <w:lang w:val="en-US"/>
        </w:rPr>
      </w:pPr>
      <w:r w:rsidRPr="00692F73">
        <w:rPr>
          <w:rFonts w:ascii="Palatino Linotype" w:hAnsi="Palatino Linotype"/>
          <w:color w:val="2D2D2D"/>
          <w:sz w:val="20"/>
          <w:szCs w:val="20"/>
          <w:lang w:val="en-US"/>
        </w:rPr>
        <w:t xml:space="preserve">Our review addresses this gap by </w:t>
      </w:r>
      <w:r w:rsidR="00692F73" w:rsidRPr="00692F73">
        <w:rPr>
          <w:rFonts w:ascii="Palatino Linotype" w:hAnsi="Palatino Linotype"/>
          <w:color w:val="2D2D2D"/>
          <w:sz w:val="20"/>
          <w:szCs w:val="20"/>
          <w:lang w:val="en-US"/>
        </w:rPr>
        <w:t>synthesizing</w:t>
      </w:r>
      <w:r w:rsidRPr="00692F73">
        <w:rPr>
          <w:rFonts w:ascii="Palatino Linotype" w:hAnsi="Palatino Linotype"/>
          <w:color w:val="2D2D2D"/>
          <w:sz w:val="20"/>
          <w:szCs w:val="20"/>
          <w:lang w:val="en-US"/>
        </w:rPr>
        <w:t xml:space="preserve"> mechanistic and clinical data for four agents spanning the full spectrum of evidence maturity: from extensively studied products (OM-85, with 18 </w:t>
      </w:r>
      <w:r w:rsidR="00692F73" w:rsidRPr="00692F73">
        <w:rPr>
          <w:rFonts w:ascii="Palatino Linotype" w:hAnsi="Palatino Linotype"/>
          <w:color w:val="2D2D2D"/>
          <w:sz w:val="20"/>
          <w:szCs w:val="20"/>
          <w:lang w:val="en-US"/>
        </w:rPr>
        <w:t>pediatric</w:t>
      </w:r>
      <w:r w:rsidRPr="00692F73">
        <w:rPr>
          <w:rFonts w:ascii="Palatino Linotype" w:hAnsi="Palatino Linotype"/>
          <w:color w:val="2D2D2D"/>
          <w:sz w:val="20"/>
          <w:szCs w:val="20"/>
          <w:lang w:val="en-US"/>
        </w:rPr>
        <w:t xml:space="preserve"> RCTs and 7 meta-analyses demonstrating consistent 26–36% RTI reductions) to agents with strong preclinical rationale awaiting clinical confirmation (CRL1505). By presenting shared convergent mechanisms alongside product-specific differences, this review enables a comparative assessment of biological plausibility and </w:t>
      </w:r>
      <w:r w:rsidR="00692F73" w:rsidRPr="00692F73">
        <w:rPr>
          <w:rFonts w:ascii="Palatino Linotype" w:hAnsi="Palatino Linotype"/>
          <w:color w:val="2D2D2D"/>
          <w:sz w:val="20"/>
          <w:szCs w:val="20"/>
          <w:lang w:val="en-US"/>
        </w:rPr>
        <w:t>evidence of</w:t>
      </w:r>
      <w:r w:rsidRPr="00692F73">
        <w:rPr>
          <w:rFonts w:ascii="Palatino Linotype" w:hAnsi="Palatino Linotype"/>
          <w:color w:val="2D2D2D"/>
          <w:sz w:val="20"/>
          <w:szCs w:val="20"/>
          <w:lang w:val="en-US"/>
        </w:rPr>
        <w:t xml:space="preserve"> robustness that is currently lacking in </w:t>
      </w:r>
      <w:r w:rsidR="00692F73" w:rsidRPr="00692F73">
        <w:rPr>
          <w:rFonts w:ascii="Palatino Linotype" w:hAnsi="Palatino Linotype"/>
          <w:color w:val="2D2D2D"/>
          <w:sz w:val="20"/>
          <w:szCs w:val="20"/>
          <w:lang w:val="en-US"/>
        </w:rPr>
        <w:t>literature</w:t>
      </w:r>
      <w:r w:rsidRPr="00692F73">
        <w:rPr>
          <w:rFonts w:ascii="Palatino Linotype" w:hAnsi="Palatino Linotype"/>
          <w:color w:val="2D2D2D"/>
          <w:sz w:val="20"/>
          <w:szCs w:val="20"/>
          <w:lang w:val="en-US"/>
        </w:rPr>
        <w:t>.</w:t>
      </w:r>
    </w:p>
    <w:p w14:paraId="2EA208F9" w14:textId="63DCE9A6" w:rsidR="00174254" w:rsidRPr="00692F73" w:rsidRDefault="00000000">
      <w:pPr>
        <w:spacing w:after="200"/>
        <w:jc w:val="both"/>
        <w:rPr>
          <w:rFonts w:ascii="Palatino Linotype" w:hAnsi="Palatino Linotype"/>
          <w:sz w:val="20"/>
          <w:szCs w:val="20"/>
          <w:lang w:val="en-US"/>
        </w:rPr>
      </w:pPr>
      <w:r w:rsidRPr="00692F73">
        <w:rPr>
          <w:rFonts w:ascii="Palatino Linotype" w:hAnsi="Palatino Linotype"/>
          <w:color w:val="2D2D2D"/>
          <w:sz w:val="20"/>
          <w:szCs w:val="20"/>
          <w:lang w:val="en-US"/>
        </w:rPr>
        <w:t xml:space="preserve">We believe this manuscript is particularly well suited to Children for the following reasons: (1) it focuses on a </w:t>
      </w:r>
      <w:r w:rsidR="00692F73" w:rsidRPr="00692F73">
        <w:rPr>
          <w:rFonts w:ascii="Palatino Linotype" w:hAnsi="Palatino Linotype"/>
          <w:color w:val="2D2D2D"/>
          <w:sz w:val="20"/>
          <w:szCs w:val="20"/>
          <w:lang w:val="en-US"/>
        </w:rPr>
        <w:t>pediatric</w:t>
      </w:r>
      <w:r w:rsidRPr="00692F73">
        <w:rPr>
          <w:rFonts w:ascii="Palatino Linotype" w:hAnsi="Palatino Linotype"/>
          <w:color w:val="2D2D2D"/>
          <w:sz w:val="20"/>
          <w:szCs w:val="20"/>
          <w:lang w:val="en-US"/>
        </w:rPr>
        <w:t xml:space="preserve"> population (0–18 years) and addresses a clinically relevant question in </w:t>
      </w:r>
      <w:r w:rsidR="00692F73" w:rsidRPr="00692F73">
        <w:rPr>
          <w:rFonts w:ascii="Palatino Linotype" w:hAnsi="Palatino Linotype"/>
          <w:color w:val="2D2D2D"/>
          <w:sz w:val="20"/>
          <w:szCs w:val="20"/>
          <w:lang w:val="en-US"/>
        </w:rPr>
        <w:t>pediatric</w:t>
      </w:r>
      <w:r w:rsidRPr="00692F73">
        <w:rPr>
          <w:rFonts w:ascii="Palatino Linotype" w:hAnsi="Palatino Linotype"/>
          <w:color w:val="2D2D2D"/>
          <w:sz w:val="20"/>
          <w:szCs w:val="20"/>
          <w:lang w:val="en-US"/>
        </w:rPr>
        <w:t xml:space="preserve"> respiratory medicine; (2) it covers subspecialties at the core of the journal’s scope, including allergy and immunology, pulmonology, and infectious diseases; and (3) it includes a dedicated Clinical Considerations section providing practice-oriented perspectives for </w:t>
      </w:r>
      <w:r w:rsidR="00692F73" w:rsidRPr="00692F73">
        <w:rPr>
          <w:rFonts w:ascii="Palatino Linotype" w:hAnsi="Palatino Linotype"/>
          <w:color w:val="2D2D2D"/>
          <w:sz w:val="20"/>
          <w:szCs w:val="20"/>
          <w:lang w:val="en-US"/>
        </w:rPr>
        <w:t>pediatricians</w:t>
      </w:r>
      <w:r w:rsidRPr="00692F73">
        <w:rPr>
          <w:rFonts w:ascii="Palatino Linotype" w:hAnsi="Palatino Linotype"/>
          <w:color w:val="2D2D2D"/>
          <w:sz w:val="20"/>
          <w:szCs w:val="20"/>
          <w:lang w:val="en-US"/>
        </w:rPr>
        <w:t xml:space="preserve"> managing children with recurrent respiratory infections, directly aligned with the journal’s mission to publish articles applicable to the practice of </w:t>
      </w:r>
      <w:r w:rsidR="00692F73" w:rsidRPr="00692F73">
        <w:rPr>
          <w:rFonts w:ascii="Palatino Linotype" w:hAnsi="Palatino Linotype"/>
          <w:color w:val="2D2D2D"/>
          <w:sz w:val="20"/>
          <w:szCs w:val="20"/>
          <w:lang w:val="en-US"/>
        </w:rPr>
        <w:t>Pediatrics</w:t>
      </w:r>
      <w:r w:rsidRPr="00692F73">
        <w:rPr>
          <w:rFonts w:ascii="Palatino Linotype" w:hAnsi="Palatino Linotype"/>
          <w:color w:val="2D2D2D"/>
          <w:sz w:val="20"/>
          <w:szCs w:val="20"/>
          <w:lang w:val="en-US"/>
        </w:rPr>
        <w:t>.</w:t>
      </w:r>
    </w:p>
    <w:p w14:paraId="1F74EFE9" w14:textId="77777777" w:rsidR="00174254" w:rsidRPr="00692F73" w:rsidRDefault="00000000">
      <w:pPr>
        <w:spacing w:after="200"/>
        <w:jc w:val="both"/>
        <w:rPr>
          <w:rFonts w:ascii="Palatino Linotype" w:hAnsi="Palatino Linotype"/>
          <w:sz w:val="20"/>
          <w:szCs w:val="20"/>
          <w:lang w:val="en-US"/>
        </w:rPr>
      </w:pPr>
      <w:r w:rsidRPr="00692F73">
        <w:rPr>
          <w:rFonts w:ascii="Palatino Linotype" w:hAnsi="Palatino Linotype"/>
          <w:color w:val="2D2D2D"/>
          <w:sz w:val="20"/>
          <w:szCs w:val="20"/>
          <w:lang w:val="en-US"/>
        </w:rPr>
        <w:t>We confirm that neither the manuscript nor any parts of its content are currently under consideration for publication with or published in another journal.</w:t>
      </w:r>
    </w:p>
    <w:p w14:paraId="64247FA8" w14:textId="77777777" w:rsidR="00174254" w:rsidRPr="00692F73" w:rsidRDefault="00000000">
      <w:pPr>
        <w:spacing w:after="200"/>
        <w:jc w:val="both"/>
        <w:rPr>
          <w:rFonts w:ascii="Palatino Linotype" w:hAnsi="Palatino Linotype"/>
          <w:sz w:val="20"/>
          <w:szCs w:val="20"/>
          <w:lang w:val="en-US"/>
        </w:rPr>
      </w:pPr>
      <w:r w:rsidRPr="00692F73">
        <w:rPr>
          <w:rFonts w:ascii="Palatino Linotype" w:hAnsi="Palatino Linotype"/>
          <w:color w:val="2D2D2D"/>
          <w:sz w:val="20"/>
          <w:szCs w:val="20"/>
          <w:lang w:val="en-US"/>
        </w:rPr>
        <w:t xml:space="preserve">All authors have approved the manuscript and agree with its submission to </w:t>
      </w:r>
      <w:r w:rsidRPr="00692F73">
        <w:rPr>
          <w:rFonts w:ascii="Palatino Linotype" w:hAnsi="Palatino Linotype"/>
          <w:i/>
          <w:iCs/>
          <w:color w:val="2D2D2D"/>
          <w:sz w:val="20"/>
          <w:szCs w:val="20"/>
          <w:lang w:val="en-US"/>
        </w:rPr>
        <w:t>Children</w:t>
      </w:r>
      <w:r w:rsidRPr="00692F73">
        <w:rPr>
          <w:rFonts w:ascii="Palatino Linotype" w:hAnsi="Palatino Linotype"/>
          <w:color w:val="2D2D2D"/>
          <w:sz w:val="20"/>
          <w:szCs w:val="20"/>
          <w:lang w:val="en-US"/>
        </w:rPr>
        <w:t>.</w:t>
      </w:r>
    </w:p>
    <w:p w14:paraId="67422AD8" w14:textId="77777777" w:rsidR="00174254" w:rsidRPr="00692F73" w:rsidRDefault="00000000">
      <w:pPr>
        <w:spacing w:after="200"/>
        <w:jc w:val="both"/>
        <w:rPr>
          <w:rFonts w:ascii="Palatino Linotype" w:hAnsi="Palatino Linotype"/>
          <w:sz w:val="20"/>
          <w:szCs w:val="20"/>
          <w:lang w:val="en-US"/>
        </w:rPr>
      </w:pPr>
      <w:r w:rsidRPr="00692F73">
        <w:rPr>
          <w:rFonts w:ascii="Palatino Linotype" w:hAnsi="Palatino Linotype"/>
          <w:color w:val="2D2D2D"/>
          <w:sz w:val="20"/>
          <w:szCs w:val="20"/>
          <w:lang w:val="en-US"/>
        </w:rPr>
        <w:t>We hope that this review will be of interest to the readers of Children and look forward to your editorial consideration.</w:t>
      </w:r>
    </w:p>
    <w:p w14:paraId="70728000" w14:textId="77777777" w:rsidR="00174254" w:rsidRPr="00692F73" w:rsidRDefault="00000000">
      <w:pPr>
        <w:spacing w:after="80"/>
        <w:rPr>
          <w:rFonts w:ascii="Palatino Linotype" w:hAnsi="Palatino Linotype"/>
          <w:sz w:val="20"/>
          <w:szCs w:val="20"/>
          <w:lang w:val="en-US"/>
        </w:rPr>
      </w:pPr>
      <w:r w:rsidRPr="00692F73">
        <w:rPr>
          <w:rFonts w:ascii="Palatino Linotype" w:hAnsi="Palatino Linotype"/>
          <w:color w:val="2D2D2D"/>
          <w:sz w:val="20"/>
          <w:szCs w:val="20"/>
          <w:lang w:val="en-US"/>
        </w:rPr>
        <w:t>Yours sincerely,</w:t>
      </w:r>
    </w:p>
    <w:p w14:paraId="73A5708A" w14:textId="77777777" w:rsidR="00174254" w:rsidRPr="00692F73" w:rsidRDefault="00174254">
      <w:pPr>
        <w:spacing w:after="300"/>
        <w:rPr>
          <w:lang w:val="en-US"/>
        </w:rPr>
      </w:pPr>
    </w:p>
    <w:p w14:paraId="2CDB57BE" w14:textId="77777777" w:rsidR="00174254" w:rsidRPr="00C82344" w:rsidRDefault="00000000" w:rsidP="00C82344">
      <w:pPr>
        <w:spacing w:after="40"/>
        <w:jc w:val="right"/>
        <w:rPr>
          <w:rFonts w:ascii="Palatino Linotype" w:hAnsi="Palatino Linotype"/>
          <w:sz w:val="20"/>
          <w:szCs w:val="20"/>
          <w:lang w:val="en-US"/>
        </w:rPr>
      </w:pPr>
      <w:r w:rsidRPr="00C82344">
        <w:rPr>
          <w:rFonts w:ascii="Palatino Linotype" w:hAnsi="Palatino Linotype"/>
          <w:color w:val="2D2D2D"/>
          <w:sz w:val="20"/>
          <w:szCs w:val="20"/>
          <w:lang w:val="en-US"/>
        </w:rPr>
        <w:t>On behalf of the authors,</w:t>
      </w:r>
    </w:p>
    <w:p w14:paraId="75C1E65E" w14:textId="77777777" w:rsidR="00174254" w:rsidRPr="00C82344" w:rsidRDefault="00000000" w:rsidP="00C82344">
      <w:pPr>
        <w:spacing w:after="40"/>
        <w:jc w:val="right"/>
        <w:rPr>
          <w:rFonts w:ascii="Palatino Linotype" w:hAnsi="Palatino Linotype"/>
          <w:sz w:val="20"/>
          <w:szCs w:val="20"/>
          <w:lang w:val="en-US"/>
        </w:rPr>
      </w:pPr>
      <w:r w:rsidRPr="00C82344">
        <w:rPr>
          <w:rFonts w:ascii="Palatino Linotype" w:hAnsi="Palatino Linotype"/>
          <w:b/>
          <w:bCs/>
          <w:color w:val="2D2D2D"/>
          <w:sz w:val="20"/>
          <w:szCs w:val="20"/>
          <w:lang w:val="en-US"/>
        </w:rPr>
        <w:t>Dr. Manuel E. Soto-Martinez (Corresponding Author)</w:t>
      </w:r>
    </w:p>
    <w:p w14:paraId="4428F462" w14:textId="77902ECF" w:rsidR="00174254" w:rsidRPr="00C82344" w:rsidRDefault="009F61E6" w:rsidP="00C82344">
      <w:pPr>
        <w:spacing w:after="40"/>
        <w:jc w:val="right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color w:val="757575"/>
          <w:sz w:val="20"/>
          <w:szCs w:val="20"/>
          <w:lang w:val="en-US"/>
        </w:rPr>
        <w:t>²</w:t>
      </w:r>
      <w:r w:rsidR="00000000" w:rsidRPr="00C82344">
        <w:rPr>
          <w:rFonts w:ascii="Palatino Linotype" w:hAnsi="Palatino Linotype"/>
          <w:color w:val="757575"/>
          <w:sz w:val="20"/>
          <w:szCs w:val="20"/>
        </w:rPr>
        <w:t>E-mail: mesotom@ccss.sa.cr</w:t>
      </w:r>
    </w:p>
    <w:sectPr w:rsidR="00174254" w:rsidRPr="00C82344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F138A" w14:textId="77777777" w:rsidR="003E2207" w:rsidRDefault="003E2207" w:rsidP="00C82344">
      <w:r>
        <w:separator/>
      </w:r>
    </w:p>
  </w:endnote>
  <w:endnote w:type="continuationSeparator" w:id="0">
    <w:p w14:paraId="2161EB79" w14:textId="77777777" w:rsidR="003E2207" w:rsidRDefault="003E2207" w:rsidP="00C82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15489" w14:textId="77777777" w:rsidR="003E2207" w:rsidRDefault="003E2207" w:rsidP="00C82344">
      <w:r>
        <w:separator/>
      </w:r>
    </w:p>
  </w:footnote>
  <w:footnote w:type="continuationSeparator" w:id="0">
    <w:p w14:paraId="4586A495" w14:textId="77777777" w:rsidR="003E2207" w:rsidRDefault="003E2207" w:rsidP="00C823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156BB" w14:textId="31CF7947" w:rsidR="00C82344" w:rsidRDefault="00C82344" w:rsidP="00C82344">
    <w:pPr>
      <w:pStyle w:val="En-tte"/>
      <w:jc w:val="right"/>
    </w:pPr>
    <w:r w:rsidRPr="00692F73">
      <w:rPr>
        <w:rFonts w:ascii="Palatino Linotype" w:hAnsi="Palatino Linotype"/>
        <w:color w:val="2D2D2D"/>
        <w:sz w:val="20"/>
        <w:szCs w:val="20"/>
        <w:lang w:val="en-US"/>
      </w:rPr>
      <w:t>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3040F"/>
    <w:multiLevelType w:val="hybridMultilevel"/>
    <w:tmpl w:val="A3EC1876"/>
    <w:lvl w:ilvl="0" w:tplc="BA7C9D28">
      <w:start w:val="1"/>
      <w:numFmt w:val="bullet"/>
      <w:lvlText w:val="●"/>
      <w:lvlJc w:val="left"/>
      <w:pPr>
        <w:ind w:left="720" w:hanging="360"/>
      </w:pPr>
    </w:lvl>
    <w:lvl w:ilvl="1" w:tplc="7FCE91AA">
      <w:start w:val="1"/>
      <w:numFmt w:val="bullet"/>
      <w:lvlText w:val="○"/>
      <w:lvlJc w:val="left"/>
      <w:pPr>
        <w:ind w:left="1440" w:hanging="360"/>
      </w:pPr>
    </w:lvl>
    <w:lvl w:ilvl="2" w:tplc="8FCC1DD8">
      <w:start w:val="1"/>
      <w:numFmt w:val="bullet"/>
      <w:lvlText w:val="■"/>
      <w:lvlJc w:val="left"/>
      <w:pPr>
        <w:ind w:left="2160" w:hanging="360"/>
      </w:pPr>
    </w:lvl>
    <w:lvl w:ilvl="3" w:tplc="62F6F91A">
      <w:start w:val="1"/>
      <w:numFmt w:val="bullet"/>
      <w:lvlText w:val="●"/>
      <w:lvlJc w:val="left"/>
      <w:pPr>
        <w:ind w:left="2880" w:hanging="360"/>
      </w:pPr>
    </w:lvl>
    <w:lvl w:ilvl="4" w:tplc="F9B89EB2">
      <w:start w:val="1"/>
      <w:numFmt w:val="bullet"/>
      <w:lvlText w:val="○"/>
      <w:lvlJc w:val="left"/>
      <w:pPr>
        <w:ind w:left="3600" w:hanging="360"/>
      </w:pPr>
    </w:lvl>
    <w:lvl w:ilvl="5" w:tplc="C2909C6C">
      <w:start w:val="1"/>
      <w:numFmt w:val="bullet"/>
      <w:lvlText w:val="■"/>
      <w:lvlJc w:val="left"/>
      <w:pPr>
        <w:ind w:left="4320" w:hanging="360"/>
      </w:pPr>
    </w:lvl>
    <w:lvl w:ilvl="6" w:tplc="53C64E8A">
      <w:start w:val="1"/>
      <w:numFmt w:val="bullet"/>
      <w:lvlText w:val="●"/>
      <w:lvlJc w:val="left"/>
      <w:pPr>
        <w:ind w:left="5040" w:hanging="360"/>
      </w:pPr>
    </w:lvl>
    <w:lvl w:ilvl="7" w:tplc="5B9CD07A">
      <w:start w:val="1"/>
      <w:numFmt w:val="bullet"/>
      <w:lvlText w:val="●"/>
      <w:lvlJc w:val="left"/>
      <w:pPr>
        <w:ind w:left="5760" w:hanging="360"/>
      </w:pPr>
    </w:lvl>
    <w:lvl w:ilvl="8" w:tplc="6A7EDD18">
      <w:start w:val="1"/>
      <w:numFmt w:val="bullet"/>
      <w:lvlText w:val="●"/>
      <w:lvlJc w:val="left"/>
      <w:pPr>
        <w:ind w:left="6480" w:hanging="360"/>
      </w:pPr>
    </w:lvl>
  </w:abstractNum>
  <w:num w:numId="1" w16cid:durableId="11836625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254"/>
    <w:rsid w:val="00174254"/>
    <w:rsid w:val="003E2207"/>
    <w:rsid w:val="004434F2"/>
    <w:rsid w:val="00692F73"/>
    <w:rsid w:val="009F61E6"/>
    <w:rsid w:val="00C82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CDD09"/>
  <w15:docId w15:val="{4C232F70-5AEE-4E28-9F21-EEEEFD631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8234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82344"/>
  </w:style>
  <w:style w:type="paragraph" w:styleId="Pieddepage">
    <w:name w:val="footer"/>
    <w:basedOn w:val="Normal"/>
    <w:link w:val="PieddepageCar"/>
    <w:uiPriority w:val="99"/>
    <w:unhideWhenUsed/>
    <w:rsid w:val="00C8234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823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422</Words>
  <Characters>2677</Characters>
  <Application>Microsoft Office Word</Application>
  <DocSecurity>0</DocSecurity>
  <Lines>53</Lines>
  <Paragraphs>16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Aurore Inchauspé</cp:lastModifiedBy>
  <cp:revision>5</cp:revision>
  <dcterms:created xsi:type="dcterms:W3CDTF">2026-03-20T06:37:00Z</dcterms:created>
  <dcterms:modified xsi:type="dcterms:W3CDTF">2026-03-20T06:49:00Z</dcterms:modified>
</cp:coreProperties>
</file>