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C260" w14:textId="77777777" w:rsidR="0008152F" w:rsidRDefault="0020580E">
      <w:pPr>
        <w:pStyle w:val="Titre1"/>
      </w:pPr>
      <w:r>
        <w:t>Critical Appraisal of the NHMRC 2025 Report on Homeopathy</w:t>
      </w:r>
    </w:p>
    <w:p w14:paraId="6E79A5A1" w14:textId="77777777" w:rsidR="0008152F" w:rsidRDefault="0020580E">
      <w:pPr>
        <w:pStyle w:val="Titre2"/>
      </w:pPr>
      <w:r>
        <w:t>1. Objective &amp; Analytical Focus</w:t>
      </w:r>
    </w:p>
    <w:p w14:paraId="4BD3F9A3" w14:textId="77777777" w:rsidR="0008152F" w:rsidRDefault="0020580E">
      <w:r>
        <w:br/>
        <w:t xml:space="preserve">The purpose of this analysis is to identify methodological flaws, inconsistencies, and contradictions in the NHMRC 2025 report on homeopathy. </w:t>
      </w:r>
      <w:r>
        <w:br/>
        <w:t>This is not an official review but a critical synthesis intended to highlight structural weaknesses and potential biases that compromise the reliability of the report’s conclusions.</w:t>
      </w:r>
      <w:r>
        <w:br/>
      </w:r>
    </w:p>
    <w:p w14:paraId="1E1CCEA3" w14:textId="77777777" w:rsidR="0008152F" w:rsidRDefault="0020580E">
      <w:pPr>
        <w:pStyle w:val="Titre2"/>
      </w:pPr>
      <w:r>
        <w:t>2. Major Failures and Inconsistencies (Overview)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152F" w14:paraId="0A041BA4" w14:textId="77777777">
        <w:tc>
          <w:tcPr>
            <w:tcW w:w="2880" w:type="dxa"/>
          </w:tcPr>
          <w:p w14:paraId="523016AF" w14:textId="77777777" w:rsidR="0008152F" w:rsidRDefault="0020580E">
            <w:r>
              <w:t>Key Area</w:t>
            </w:r>
          </w:p>
        </w:tc>
        <w:tc>
          <w:tcPr>
            <w:tcW w:w="2880" w:type="dxa"/>
          </w:tcPr>
          <w:p w14:paraId="19E31EC1" w14:textId="77777777" w:rsidR="0008152F" w:rsidRDefault="0020580E">
            <w:r>
              <w:t>Issue Identified</w:t>
            </w:r>
          </w:p>
        </w:tc>
        <w:tc>
          <w:tcPr>
            <w:tcW w:w="2880" w:type="dxa"/>
          </w:tcPr>
          <w:p w14:paraId="391F8A29" w14:textId="77777777" w:rsidR="0008152F" w:rsidRDefault="0020580E">
            <w:r>
              <w:t>Scientific Consequence</w:t>
            </w:r>
          </w:p>
        </w:tc>
      </w:tr>
      <w:tr w:rsidR="0008152F" w14:paraId="49A57717" w14:textId="77777777">
        <w:tc>
          <w:tcPr>
            <w:tcW w:w="2880" w:type="dxa"/>
          </w:tcPr>
          <w:p w14:paraId="5AA526C3" w14:textId="77777777" w:rsidR="0008152F" w:rsidRDefault="0020580E">
            <w:r>
              <w:t>Population prioritisation</w:t>
            </w:r>
          </w:p>
        </w:tc>
        <w:tc>
          <w:tcPr>
            <w:tcW w:w="2880" w:type="dxa"/>
          </w:tcPr>
          <w:p w14:paraId="0CCCEBEC" w14:textId="77777777" w:rsidR="0008152F" w:rsidRDefault="0020580E">
            <w:r>
              <w:t>Arbitrary selection of 20 conditions out of 136 without transparent criteria; inconsistent classification across tables (A-8, A-9, A-10).</w:t>
            </w:r>
          </w:p>
        </w:tc>
        <w:tc>
          <w:tcPr>
            <w:tcW w:w="2880" w:type="dxa"/>
          </w:tcPr>
          <w:p w14:paraId="2C83717C" w14:textId="77777777" w:rsidR="0008152F" w:rsidRDefault="0020580E">
            <w:r>
              <w:t>Unrepresentative evidence base and selection bias.</w:t>
            </w:r>
          </w:p>
        </w:tc>
      </w:tr>
      <w:tr w:rsidR="0008152F" w14:paraId="62F3D046" w14:textId="77777777">
        <w:tc>
          <w:tcPr>
            <w:tcW w:w="2880" w:type="dxa"/>
          </w:tcPr>
          <w:p w14:paraId="6BD68D69" w14:textId="77777777" w:rsidR="0008152F" w:rsidRDefault="0020580E">
            <w:r>
              <w:t>Outcome prioritisation</w:t>
            </w:r>
          </w:p>
        </w:tc>
        <w:tc>
          <w:tcPr>
            <w:tcW w:w="2880" w:type="dxa"/>
          </w:tcPr>
          <w:p w14:paraId="20FBF01B" w14:textId="77777777" w:rsidR="0008152F" w:rsidRDefault="0020580E">
            <w:r>
              <w:t>Opaque scoring system, exclusion of studies using older validated tools, dependency on biased population prioritisation.</w:t>
            </w:r>
          </w:p>
        </w:tc>
        <w:tc>
          <w:tcPr>
            <w:tcW w:w="2880" w:type="dxa"/>
          </w:tcPr>
          <w:p w14:paraId="7C36F221" w14:textId="77777777" w:rsidR="0008152F" w:rsidRDefault="0020580E">
            <w:r>
              <w:t>Loss of clinically relevant outcomes and biased weighting.</w:t>
            </w:r>
          </w:p>
        </w:tc>
      </w:tr>
      <w:tr w:rsidR="0008152F" w14:paraId="1FBD0609" w14:textId="77777777">
        <w:tc>
          <w:tcPr>
            <w:tcW w:w="2880" w:type="dxa"/>
          </w:tcPr>
          <w:p w14:paraId="3E8A0A09" w14:textId="77777777" w:rsidR="0008152F" w:rsidRDefault="0020580E">
            <w:r>
              <w:t>Risk of Bias (RoB 2.0)</w:t>
            </w:r>
          </w:p>
        </w:tc>
        <w:tc>
          <w:tcPr>
            <w:tcW w:w="2880" w:type="dxa"/>
          </w:tcPr>
          <w:p w14:paraId="50AFD7BB" w14:textId="77777777" w:rsidR="0008152F" w:rsidRDefault="0020580E">
            <w:r>
              <w:t>Applied at study level rather than outcome level, arbitrary choice of primary outcome, missing forms.</w:t>
            </w:r>
          </w:p>
        </w:tc>
        <w:tc>
          <w:tcPr>
            <w:tcW w:w="2880" w:type="dxa"/>
          </w:tcPr>
          <w:p w14:paraId="04F40052" w14:textId="77777777" w:rsidR="0008152F" w:rsidRDefault="0020580E">
            <w:r>
              <w:t>Invalid bias judgments contaminate GRADE certainty ratings.</w:t>
            </w:r>
          </w:p>
        </w:tc>
      </w:tr>
      <w:tr w:rsidR="0008152F" w14:paraId="4587DD76" w14:textId="77777777">
        <w:tc>
          <w:tcPr>
            <w:tcW w:w="2880" w:type="dxa"/>
          </w:tcPr>
          <w:p w14:paraId="319D3C3F" w14:textId="77777777" w:rsidR="0008152F" w:rsidRDefault="0020580E">
            <w:r>
              <w:t>Data synthesis</w:t>
            </w:r>
          </w:p>
        </w:tc>
        <w:tc>
          <w:tcPr>
            <w:tcW w:w="2880" w:type="dxa"/>
          </w:tcPr>
          <w:p w14:paraId="781D0078" w14:textId="77777777" w:rsidR="0008152F" w:rsidRDefault="0020580E">
            <w:r>
              <w:t>Systematic exclusion of partial data, refusal to contact study authors, inconsistent quantitative vs. narrative synthesis.</w:t>
            </w:r>
          </w:p>
        </w:tc>
        <w:tc>
          <w:tcPr>
            <w:tcW w:w="2880" w:type="dxa"/>
          </w:tcPr>
          <w:p w14:paraId="0BA7F5A8" w14:textId="77777777" w:rsidR="0008152F" w:rsidRDefault="0020580E">
            <w:r>
              <w:t>Artificial reduction of data volume and inconsistent conclusions.</w:t>
            </w:r>
          </w:p>
        </w:tc>
      </w:tr>
      <w:tr w:rsidR="0008152F" w14:paraId="4B5149E8" w14:textId="77777777">
        <w:tc>
          <w:tcPr>
            <w:tcW w:w="2880" w:type="dxa"/>
          </w:tcPr>
          <w:p w14:paraId="0847D0E3" w14:textId="77777777" w:rsidR="0008152F" w:rsidRDefault="0020580E">
            <w:r>
              <w:t>Internal consistency</w:t>
            </w:r>
          </w:p>
        </w:tc>
        <w:tc>
          <w:tcPr>
            <w:tcW w:w="2880" w:type="dxa"/>
          </w:tcPr>
          <w:p w14:paraId="46253FD9" w14:textId="77777777" w:rsidR="0008152F" w:rsidRDefault="0020580E">
            <w:r>
              <w:t>Contradictory classification transitions (ICD-11 → umbrella → NTWC ranking).</w:t>
            </w:r>
          </w:p>
        </w:tc>
        <w:tc>
          <w:tcPr>
            <w:tcW w:w="2880" w:type="dxa"/>
          </w:tcPr>
          <w:p w14:paraId="1E0F4831" w14:textId="77777777" w:rsidR="0008152F" w:rsidRDefault="0020580E">
            <w:r>
              <w:t>Lack of transparency and reproducibility.</w:t>
            </w:r>
          </w:p>
        </w:tc>
      </w:tr>
    </w:tbl>
    <w:p w14:paraId="088D1569" w14:textId="77777777" w:rsidR="0008152F" w:rsidRDefault="0020580E">
      <w:pPr>
        <w:pStyle w:val="Titre2"/>
      </w:pPr>
      <w:r>
        <w:lastRenderedPageBreak/>
        <w:t>3. Structured Critical Analysis</w:t>
      </w:r>
    </w:p>
    <w:p w14:paraId="277B259A" w14:textId="77777777" w:rsidR="0008152F" w:rsidRDefault="0020580E">
      <w:pPr>
        <w:pStyle w:val="Titre3"/>
      </w:pPr>
      <w:r>
        <w:t>3.1 Population Prioritisation</w:t>
      </w:r>
    </w:p>
    <w:p w14:paraId="3A5E5139" w14:textId="77777777" w:rsidR="0008152F" w:rsidRDefault="0020580E">
      <w:r>
        <w:br/>
        <w:t xml:space="preserve">The report introduces a population prioritisation process absent from its PROSPERO protocol, resulting in methodological inconsistency. </w:t>
      </w:r>
      <w:r>
        <w:br/>
        <w:t xml:space="preserve">Conditions were reclassified multiple times between tables without explanation. Criteria for inclusion (e.g., prevalence, study quality, clinical impact) were not defined. </w:t>
      </w:r>
      <w:r>
        <w:br/>
        <w:t>This process appears data-driven rather than clinically grounded, likely intended to reduce evidence volume and enable meta-analysis.</w:t>
      </w:r>
      <w:r>
        <w:br/>
      </w:r>
    </w:p>
    <w:p w14:paraId="4F5ECE19" w14:textId="77777777" w:rsidR="0008152F" w:rsidRDefault="0020580E">
      <w:pPr>
        <w:pStyle w:val="Titre3"/>
      </w:pPr>
      <w:r>
        <w:t>3.2 Outcome Prioritisation</w:t>
      </w:r>
    </w:p>
    <w:p w14:paraId="03157F7C" w14:textId="77777777" w:rsidR="0008152F" w:rsidRDefault="0020580E">
      <w:r>
        <w:br/>
        <w:t xml:space="preserve">Although claimed as blinded, outcome prioritisation was derived from already biased populations. Studies using older, historically validated tools were excluded, </w:t>
      </w:r>
      <w:r>
        <w:br/>
        <w:t>contradicting Cochrane’s recommendation to retain such data with contextual caveats. The NTWC scoring (7–9 / 4–6) lacks transparency, and inconsistencies exist between reported and synthesised outcomes.</w:t>
      </w:r>
      <w:r>
        <w:br/>
      </w:r>
    </w:p>
    <w:p w14:paraId="6AC868D3" w14:textId="77777777" w:rsidR="0008152F" w:rsidRDefault="0020580E">
      <w:pPr>
        <w:pStyle w:val="Titre3"/>
      </w:pPr>
      <w:r>
        <w:t>3.3 Risk of Bias (RoB 2.0)</w:t>
      </w:r>
    </w:p>
    <w:p w14:paraId="256A4A03" w14:textId="77777777" w:rsidR="0008152F" w:rsidRDefault="0020580E">
      <w:r>
        <w:br/>
        <w:t xml:space="preserve">The NHMRC applied RoB 2.0 at study-level rather than outcome-level, contradicting Cochrane guidance. Primary outcomes were arbitrarily selected to determine global bias ratings. </w:t>
      </w:r>
      <w:r>
        <w:br/>
        <w:t>RoB forms were not disclosed, precluding external verification. This invalidates the GRADE certainty levels derived from these assessments.</w:t>
      </w:r>
      <w:r>
        <w:br/>
      </w:r>
    </w:p>
    <w:p w14:paraId="79A61A18" w14:textId="77777777" w:rsidR="0008152F" w:rsidRDefault="0020580E">
      <w:pPr>
        <w:pStyle w:val="Titre3"/>
      </w:pPr>
      <w:r>
        <w:t>3.4 Data Extraction and Synthesis</w:t>
      </w:r>
    </w:p>
    <w:p w14:paraId="74441615" w14:textId="77777777" w:rsidR="0008152F" w:rsidRDefault="0020580E">
      <w:r>
        <w:br/>
        <w:t xml:space="preserve">Cochrane guidelines recommend contacting authors for missing data and applying standard transformations; the NHMRC explicitly refused both. </w:t>
      </w:r>
      <w:r>
        <w:br/>
        <w:t>Numerous datasets were excluded solely for format or reporting limitations. Narrative and quantitative syntheses were inconsistently applied, and “vote counting” was used in place of meta-analysis.</w:t>
      </w:r>
      <w:r>
        <w:br/>
      </w:r>
    </w:p>
    <w:p w14:paraId="73101E22" w14:textId="77777777" w:rsidR="0008152F" w:rsidRDefault="0020580E">
      <w:pPr>
        <w:pStyle w:val="Titre2"/>
      </w:pPr>
      <w:r>
        <w:t>4. Key Discordances and Structural Weaknesses</w:t>
      </w:r>
    </w:p>
    <w:p w14:paraId="4C60FDF4" w14:textId="77777777" w:rsidR="0008152F" w:rsidRDefault="0020580E">
      <w:r>
        <w:br/>
        <w:t>- Inconsistent transitions between Tables A-8, A-9, and A-10, with disappearance and reappearance of conditions.</w:t>
      </w:r>
      <w:r>
        <w:br/>
        <w:t xml:space="preserve">- Exclusion of major clinical areas (respiratory diseases, pregnancy) despite high prevalence </w:t>
      </w:r>
      <w:r>
        <w:lastRenderedPageBreak/>
        <w:t>in practice data.</w:t>
      </w:r>
      <w:r>
        <w:br/>
        <w:t>- Contradiction between methodology (“Outcomes will not be used as inclusion criteria”) and actual use of outcomes for study classification.</w:t>
      </w:r>
      <w:r>
        <w:br/>
        <w:t>- Over 60% of initially eligible studies excluded without rationale.</w:t>
      </w:r>
      <w:r>
        <w:br/>
        <w:t>- Reliance on vote counting over effect size estimation.</w:t>
      </w:r>
      <w:r>
        <w:br/>
      </w:r>
    </w:p>
    <w:p w14:paraId="3FFB605E" w14:textId="77777777" w:rsidR="0008152F" w:rsidRDefault="0020580E">
      <w:pPr>
        <w:pStyle w:val="Titre2"/>
      </w:pPr>
      <w:r>
        <w:t>5. Conclusion</w:t>
      </w:r>
    </w:p>
    <w:p w14:paraId="29ACD11D" w14:textId="77777777" w:rsidR="0008152F" w:rsidRDefault="0020580E">
      <w:r>
        <w:br/>
        <w:t xml:space="preserve">The methodological inconsistencies identified — from arbitrary population prioritisation to invalid RoB application — systematically undermine the reliability of the NHMRC 2025 report. </w:t>
      </w:r>
      <w:r>
        <w:br/>
        <w:t>While the report references Cochrane and GRADE frameworks, its implementation diverges at nearly every stage, leading to selective inclusion, methodological opacity, and ultimately unreliable conclusions regarding homeopathy’s effectiveness.</w:t>
      </w:r>
      <w:r>
        <w:br/>
      </w:r>
    </w:p>
    <w:sectPr w:rsidR="000815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594505">
    <w:abstractNumId w:val="8"/>
  </w:num>
  <w:num w:numId="2" w16cid:durableId="1485851536">
    <w:abstractNumId w:val="6"/>
  </w:num>
  <w:num w:numId="3" w16cid:durableId="1122698857">
    <w:abstractNumId w:val="5"/>
  </w:num>
  <w:num w:numId="4" w16cid:durableId="684290575">
    <w:abstractNumId w:val="4"/>
  </w:num>
  <w:num w:numId="5" w16cid:durableId="225839987">
    <w:abstractNumId w:val="7"/>
  </w:num>
  <w:num w:numId="6" w16cid:durableId="820656903">
    <w:abstractNumId w:val="3"/>
  </w:num>
  <w:num w:numId="7" w16cid:durableId="896009864">
    <w:abstractNumId w:val="2"/>
  </w:num>
  <w:num w:numId="8" w16cid:durableId="1062293272">
    <w:abstractNumId w:val="1"/>
  </w:num>
  <w:num w:numId="9" w16cid:durableId="46689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52F"/>
    <w:rsid w:val="0015074B"/>
    <w:rsid w:val="0020580E"/>
    <w:rsid w:val="0029639D"/>
    <w:rsid w:val="00326F90"/>
    <w:rsid w:val="004A286E"/>
    <w:rsid w:val="00537AB2"/>
    <w:rsid w:val="00807829"/>
    <w:rsid w:val="00AA1D8D"/>
    <w:rsid w:val="00AF5A01"/>
    <w:rsid w:val="00B47730"/>
    <w:rsid w:val="00CB0664"/>
    <w:rsid w:val="00CB6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585C9"/>
  <w14:defaultImageDpi w14:val="300"/>
  <w15:docId w15:val="{A9C34170-2DA8-463F-9F19-472695C9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3</Pages>
  <Words>581</Words>
  <Characters>3497</Characters>
  <Application>Microsoft Office Word</Application>
  <DocSecurity>0</DocSecurity>
  <Lines>64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Aurore Inchauspé</cp:lastModifiedBy>
  <cp:revision>1</cp:revision>
  <dcterms:created xsi:type="dcterms:W3CDTF">2025-11-08T15:17:00Z</dcterms:created>
  <dcterms:modified xsi:type="dcterms:W3CDTF">2025-12-08T06:06:00Z</dcterms:modified>
  <cp:category/>
</cp:coreProperties>
</file>