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EMIS Education Indicators Dashboard — Talking Points</w:t>
      </w:r>
    </w:p>
    <w:p>
      <w:pPr>
        <w:spacing w:after="200"/>
      </w:pPr>
      <w:r>
        <w:rPr>
          <w:i/>
          <w:iCs/>
          <w:color w:val="595959"/>
          <w:sz w:val="22"/>
          <w:szCs w:val="22"/>
        </w:rPr>
        <w:t xml:space="preserve">A plain-language guide for presentations to non-technical audiences</w:t>
      </w:r>
    </w:p>
    <w:p>
      <w:pPr>
        <w:pBdr>
          <w:bottom w:val="single" w:color="2E75B6" w:sz="6"/>
        </w:pBdr>
        <w:spacing w:after="320"/>
      </w:pPr>
    </w:p>
    <w:p>
      <w:pPr>
        <w:pStyle w:val="Heading2"/>
      </w:pPr>
      <w:r>
        <w:t xml:space="preserve">What is this dashboard?</w:t>
      </w:r>
    </w:p>
    <w:p>
      <w:pPr>
        <w:spacing w:after="240"/>
      </w:pPr>
      <w:r>
        <w:t xml:space="preserve">This dashboard moves beyond counting schools and teachers — it measures the quality and equity of Uganda’s education system using internationally recognised indicators. These indicators are the same ones reported in Uganda’s Statistical Abstract, submitted to UNESCO, and used by development partners to assess education system performance. The dashboard draws from live EMIS data and updates automatically each term.</w:t>
      </w:r>
    </w:p>
    <w:p>
      <w:pPr>
        <w:pStyle w:val="Heading2"/>
      </w:pPr>
      <w:r>
        <w:t xml:space="preserve">What is the Pupil-Teacher Ratio and why does it matter?</w:t>
      </w:r>
    </w:p>
    <w:p>
      <w:pPr>
        <w:pStyle w:val="ListParagraph"/>
        <w:numPr>
          <w:ilvl w:val="0"/>
          <w:numId w:val="2"/>
        </w:numPr>
      </w:pPr>
      <w:r>
        <w:t xml:space="preserve">The Pupil-Teacher Ratio (PTR) measures how many learners each teacher is responsible for on average</w:t>
      </w:r>
    </w:p>
    <w:p>
      <w:pPr>
        <w:pStyle w:val="ListParagraph"/>
        <w:numPr>
          <w:ilvl w:val="0"/>
          <w:numId w:val="2"/>
        </w:numPr>
      </w:pPr>
      <w:r>
        <w:t xml:space="preserve">Uganda’s official standard is a PTR of 53:1 for primary schools — meaning one teacher for every 53 learners</w:t>
      </w:r>
    </w:p>
    <w:p>
      <w:pPr>
        <w:pStyle w:val="ListParagraph"/>
        <w:numPr>
          <w:ilvl w:val="0"/>
          <w:numId w:val="2"/>
        </w:numPr>
      </w:pPr>
      <w:r>
        <w:t xml:space="preserve">The 2017 Statistical Abstract recorded a national primary PTR of 43:1 — but this varied enormously between districts and between government and private schools</w:t>
      </w:r>
    </w:p>
    <w:p>
      <w:pPr>
        <w:pStyle w:val="ListParagraph"/>
        <w:numPr>
          <w:ilvl w:val="0"/>
          <w:numId w:val="2"/>
        </w:numPr>
      </w:pPr>
      <w:r>
        <w:t xml:space="preserve">A PTR above 70 is considered very high and indicates that teachers are severely overstretched — quality of learning suffers significantly</w:t>
      </w:r>
    </w:p>
    <w:p>
      <w:pPr>
        <w:pStyle w:val="ListParagraph"/>
        <w:numPr>
          <w:ilvl w:val="0"/>
          <w:numId w:val="2"/>
        </w:numPr>
      </w:pPr>
      <w:r>
        <w:t xml:space="preserve">The PTR distribution chart on this dashboard shows how many schools fall into each range — from Very Low (under 20) to Critical (above 100)</w:t>
      </w:r>
    </w:p>
    <w:p>
      <w:pPr>
        <w:pStyle w:val="ListParagraph"/>
        <w:numPr>
          <w:ilvl w:val="0"/>
          <w:numId w:val="2"/>
        </w:numPr>
      </w:pPr>
      <w:r>
        <w:t xml:space="preserve">The PTR by District table allows DEOs and MoES planners to identify exactly which districts need urgent teacher deployment</w:t>
      </w:r>
    </w:p>
    <w:p>
      <w:pPr>
        <w:spacing w:after="160"/>
      </w:pPr>
    </w:p>
    <w:p>
      <w:pPr>
        <w:pStyle w:val="Heading2"/>
      </w:pPr>
      <w:r>
        <w:t xml:space="preserve">What proportion of teachers are qualified?</w:t>
      </w:r>
    </w:p>
    <w:p>
      <w:pPr>
        <w:pStyle w:val="ListParagraph"/>
        <w:numPr>
          <w:ilvl w:val="0"/>
          <w:numId w:val="2"/>
        </w:numPr>
      </w:pPr>
      <w:r>
        <w:t xml:space="preserve">Teacher qualification is one of the strongest predictors of learning outcomes — qualified teachers produce better results</w:t>
      </w:r>
    </w:p>
    <w:p>
      <w:pPr>
        <w:pStyle w:val="ListParagraph"/>
        <w:numPr>
          <w:ilvl w:val="0"/>
          <w:numId w:val="2"/>
        </w:numPr>
      </w:pPr>
      <w:r>
        <w:t xml:space="preserve">In Uganda, teachers are classified as Qualified (holding a recognised teaching certificate, diploma or degree) or Trained (received pedagogical training but without a full qualification)</w:t>
      </w:r>
    </w:p>
    <w:p>
      <w:pPr>
        <w:pStyle w:val="ListParagraph"/>
        <w:numPr>
          <w:ilvl w:val="0"/>
          <w:numId w:val="2"/>
        </w:numPr>
      </w:pPr>
      <w:r>
        <w:t xml:space="preserve">The dashboard shows the national average percentage of qualified teachers and highlights which districts have the lowest qualification rates</w:t>
      </w:r>
    </w:p>
    <w:p>
      <w:pPr>
        <w:pStyle w:val="ListParagraph"/>
        <w:numPr>
          <w:ilvl w:val="0"/>
          <w:numId w:val="2"/>
        </w:numPr>
      </w:pPr>
      <w:r>
        <w:t xml:space="preserve">Districts at the bottom of the qualified teacher ranking are priority areas for teacher professional development programmes and targeted deployment of qualified graduates</w:t>
      </w:r>
    </w:p>
    <w:p>
      <w:pPr>
        <w:pStyle w:val="ListParagraph"/>
        <w:numPr>
          <w:ilvl w:val="0"/>
          <w:numId w:val="2"/>
        </w:numPr>
      </w:pPr>
      <w:r>
        <w:t xml:space="preserve">The minimum qualification standard for secondary teaching in Uganda is Grade V — the dashboard helps track compliance with this standard</w:t>
      </w:r>
    </w:p>
    <w:p>
      <w:pPr>
        <w:spacing w:after="160"/>
      </w:pPr>
    </w:p>
    <w:p>
      <w:pPr>
        <w:pStyle w:val="Heading2"/>
      </w:pPr>
      <w:r>
        <w:t xml:space="preserve">What is the Gender Parity Index?</w:t>
      </w:r>
    </w:p>
    <w:p>
      <w:pPr>
        <w:pStyle w:val="ListParagraph"/>
        <w:numPr>
          <w:ilvl w:val="0"/>
          <w:numId w:val="2"/>
        </w:numPr>
      </w:pPr>
      <w:r>
        <w:t xml:space="preserve">The Gender Parity Index (GPI) measures whether girls and boys have equal access to education</w:t>
      </w:r>
    </w:p>
    <w:p>
      <w:pPr>
        <w:pStyle w:val="ListParagraph"/>
        <w:numPr>
          <w:ilvl w:val="0"/>
          <w:numId w:val="2"/>
        </w:numPr>
      </w:pPr>
      <w:r>
        <w:t xml:space="preserve">A GPI of 1.0 means perfect parity — equal numbers of girls and boys enrolled</w:t>
      </w:r>
    </w:p>
    <w:p>
      <w:pPr>
        <w:pStyle w:val="ListParagraph"/>
        <w:numPr>
          <w:ilvl w:val="0"/>
          <w:numId w:val="2"/>
        </w:numPr>
      </w:pPr>
      <w:r>
        <w:t xml:space="preserve">A GPI below 0.97 means fewer girls than boys are enrolled and intervention is needed</w:t>
      </w:r>
    </w:p>
    <w:p>
      <w:pPr>
        <w:pStyle w:val="ListParagraph"/>
        <w:numPr>
          <w:ilvl w:val="0"/>
          <w:numId w:val="2"/>
        </w:numPr>
      </w:pPr>
      <w:r>
        <w:t xml:space="preserve">A GPI above 1.03 means more girls than boys — also worth monitoring</w:t>
      </w:r>
    </w:p>
    <w:p>
      <w:pPr>
        <w:pStyle w:val="ListParagraph"/>
        <w:numPr>
          <w:ilvl w:val="0"/>
          <w:numId w:val="2"/>
        </w:numPr>
      </w:pPr>
      <w:r>
        <w:t xml:space="preserve">UNESCO considers a GPI between 0.97 and 1.03 as acceptable</w:t>
      </w:r>
    </w:p>
    <w:p>
      <w:pPr>
        <w:pStyle w:val="ListParagraph"/>
        <w:numPr>
          <w:ilvl w:val="0"/>
          <w:numId w:val="2"/>
        </w:numPr>
      </w:pPr>
      <w:r>
        <w:t xml:space="preserve">The GPI by District table shows the parity index for primary, secondary and other levels — districts with GPI below 0.90 are the most critical for girls’ education interventions</w:t>
      </w:r>
    </w:p>
    <w:p>
      <w:pPr>
        <w:pStyle w:val="ListParagraph"/>
        <w:numPr>
          <w:ilvl w:val="0"/>
          <w:numId w:val="2"/>
        </w:numPr>
      </w:pPr>
      <w:r>
        <w:t xml:space="preserve">Karamoja districts consistently show the lowest GPI in Uganda — this dashboard confirms that pattern with current data</w:t>
      </w:r>
    </w:p>
    <w:p>
      <w:pPr>
        <w:spacing w:after="160"/>
      </w:pPr>
    </w:p>
    <w:p>
      <w:pPr>
        <w:pStyle w:val="Heading2"/>
      </w:pPr>
      <w:r>
        <w:t xml:space="preserve">What about female teachers?</w:t>
      </w:r>
    </w:p>
    <w:p>
      <w:pPr>
        <w:pStyle w:val="ListParagraph"/>
        <w:numPr>
          <w:ilvl w:val="0"/>
          <w:numId w:val="2"/>
        </w:numPr>
      </w:pPr>
      <w:r>
        <w:t xml:space="preserve">The percentage of female teachers is both a gender equity indicator and an education quality indicator</w:t>
      </w:r>
    </w:p>
    <w:p>
      <w:pPr>
        <w:pStyle w:val="ListParagraph"/>
        <w:numPr>
          <w:ilvl w:val="0"/>
          <w:numId w:val="2"/>
        </w:numPr>
      </w:pPr>
      <w:r>
        <w:t xml:space="preserve">Research shows that female teachers significantly improve girls’ enrolment, attendance and completion — particularly in conservative communities</w:t>
      </w:r>
    </w:p>
    <w:p>
      <w:pPr>
        <w:pStyle w:val="ListParagraph"/>
        <w:numPr>
          <w:ilvl w:val="0"/>
          <w:numId w:val="2"/>
        </w:numPr>
      </w:pPr>
      <w:r>
        <w:t xml:space="preserve">The 2017 Statistical Abstract showed primary schools had 43% female teachers nationally — but many rural districts had far lower percentages</w:t>
      </w:r>
    </w:p>
    <w:p>
      <w:pPr>
        <w:pStyle w:val="ListParagraph"/>
        <w:numPr>
          <w:ilvl w:val="0"/>
          <w:numId w:val="2"/>
        </w:numPr>
      </w:pPr>
      <w:r>
        <w:t xml:space="preserve">The Bottom 20 Districts by Female Teacher Percentage chart identifies where targeted recruitment of female teachers is most urgently needed</w:t>
      </w:r>
    </w:p>
    <w:p>
      <w:pPr>
        <w:pStyle w:val="ListParagraph"/>
        <w:numPr>
          <w:ilvl w:val="0"/>
          <w:numId w:val="2"/>
        </w:numPr>
      </w:pPr>
      <w:r>
        <w:t xml:space="preserve">Districts in Karamoja and parts of northern Uganda consistently show the lowest female teacher percentages</w:t>
      </w:r>
    </w:p>
    <w:p>
      <w:pPr>
        <w:spacing w:after="160"/>
      </w:pPr>
    </w:p>
    <w:p>
      <w:pPr>
        <w:pStyle w:val="Heading2"/>
      </w:pPr>
      <w:r>
        <w:t xml:space="preserve">What about learners with special needs?</w:t>
      </w:r>
    </w:p>
    <w:p>
      <w:pPr>
        <w:pStyle w:val="ListParagraph"/>
        <w:numPr>
          <w:ilvl w:val="0"/>
          <w:numId w:val="2"/>
        </w:numPr>
      </w:pPr>
      <w:r>
        <w:t xml:space="preserve">The SNE Inclusion Rate measures what percentage of enrolled learners have a recorded disability</w:t>
      </w:r>
    </w:p>
    <w:p>
      <w:pPr>
        <w:pStyle w:val="ListParagraph"/>
        <w:numPr>
          <w:ilvl w:val="0"/>
          <w:numId w:val="2"/>
        </w:numPr>
      </w:pPr>
      <w:r>
        <w:t xml:space="preserve">Uganda’s National Special Needs Education Policy commits to inclusive education — ensuring learners with disabilities are educated in mainstream schools wherever possible</w:t>
      </w:r>
    </w:p>
    <w:p>
      <w:pPr>
        <w:pStyle w:val="ListParagraph"/>
        <w:numPr>
          <w:ilvl w:val="0"/>
          <w:numId w:val="2"/>
        </w:numPr>
      </w:pPr>
      <w:r>
        <w:t xml:space="preserve">The SNE Inclusion by District table shows which districts have the highest numbers of learners with disabilities enrolled</w:t>
      </w:r>
    </w:p>
    <w:p>
      <w:pPr>
        <w:pStyle w:val="ListParagraph"/>
        <w:numPr>
          <w:ilvl w:val="0"/>
          <w:numId w:val="2"/>
        </w:numPr>
      </w:pPr>
      <w:r>
        <w:t xml:space="preserve">A very low SNE rate in a district could mean either that there are very few learners with disabilities — or more likely that they are not being identified and enrolled</w:t>
      </w:r>
    </w:p>
    <w:p>
      <w:pPr>
        <w:pStyle w:val="ListParagraph"/>
        <w:numPr>
          <w:ilvl w:val="0"/>
          <w:numId w:val="2"/>
        </w:numPr>
      </w:pPr>
      <w:r>
        <w:t xml:space="preserve">This data supports targeted deployment of Sign Language Interpreters, special needs teachers, and adapted learning materials</w:t>
      </w:r>
    </w:p>
    <w:p>
      <w:pPr>
        <w:spacing w:after="160"/>
      </w:pPr>
    </w:p>
    <w:p>
      <w:pPr>
        <w:pStyle w:val="Heading2"/>
      </w:pPr>
      <w:r>
        <w:t xml:space="preserve">What about GER and NER?</w:t>
      </w:r>
    </w:p>
    <w:p>
      <w:pPr>
        <w:pStyle w:val="ListParagraph"/>
        <w:numPr>
          <w:ilvl w:val="0"/>
          <w:numId w:val="2"/>
        </w:numPr>
      </w:pPr>
      <w:r>
        <w:t xml:space="preserve">The Gross Enrolment Rate (GER) measures total enrolment as a percentage of the official school-age population — including over-age and under-age learners</w:t>
      </w:r>
    </w:p>
    <w:p>
      <w:pPr>
        <w:pStyle w:val="ListParagraph"/>
        <w:numPr>
          <w:ilvl w:val="0"/>
          <w:numId w:val="2"/>
        </w:numPr>
      </w:pPr>
      <w:r>
        <w:t xml:space="preserve">The Net Enrolment Rate (NER) measures enrolment of only the official school-age group as a percentage of that population</w:t>
      </w:r>
    </w:p>
    <w:p>
      <w:pPr>
        <w:pStyle w:val="ListParagraph"/>
        <w:numPr>
          <w:ilvl w:val="0"/>
          <w:numId w:val="2"/>
        </w:numPr>
      </w:pPr>
      <w:r>
        <w:t xml:space="preserve">A GER above 100% is possible and means many over-age learners are in school — a sign of high repetition or late entry</w:t>
      </w:r>
    </w:p>
    <w:p>
      <w:pPr>
        <w:pStyle w:val="ListParagraph"/>
        <w:numPr>
          <w:ilvl w:val="0"/>
          <w:numId w:val="2"/>
        </w:numPr>
      </w:pPr>
      <w:r>
        <w:t xml:space="preserve">The 2017 Statistical Abstract reported primary GER of approximately 102% and NER of approximately 84%</w:t>
      </w:r>
    </w:p>
    <w:p>
      <w:pPr>
        <w:pStyle w:val="ListParagraph"/>
        <w:numPr>
          <w:ilvl w:val="0"/>
          <w:numId w:val="2"/>
        </w:numPr>
      </w:pPr>
      <w:r>
        <w:t xml:space="preserve">GER and NER require population data as the denominator — currently computed for 25 Buganda region districts using UBOS 2025 projections</w:t>
      </w:r>
    </w:p>
    <w:p>
      <w:pPr>
        <w:pStyle w:val="ListParagraph"/>
        <w:numPr>
          <w:ilvl w:val="0"/>
          <w:numId w:val="2"/>
        </w:numPr>
      </w:pPr>
      <w:r>
        <w:t xml:space="preserve">As UBOS population data for all 136 districts is added to the system, GER and NER will be available nationally</w:t>
      </w:r>
    </w:p>
    <w:p>
      <w:pPr>
        <w:spacing w:after="160"/>
      </w:pPr>
    </w:p>
    <w:p>
      <w:pPr>
        <w:pStyle w:val="Heading2"/>
      </w:pPr>
      <w:r>
        <w:t xml:space="preserve">How are indicators changing over time?</w:t>
      </w:r>
    </w:p>
    <w:p>
      <w:pPr>
        <w:pStyle w:val="ListParagraph"/>
        <w:numPr>
          <w:ilvl w:val="0"/>
          <w:numId w:val="2"/>
        </w:numPr>
      </w:pPr>
      <w:r>
        <w:t xml:space="preserve">The trend charts show PTR and enrolment changing term by term as data accumulates</w:t>
      </w:r>
    </w:p>
    <w:p>
      <w:pPr>
        <w:pStyle w:val="ListParagraph"/>
        <w:numPr>
          <w:ilvl w:val="0"/>
          <w:numId w:val="2"/>
        </w:numPr>
      </w:pPr>
      <w:r>
        <w:t xml:space="preserve">Currently the dashboard has data from Term 1 2022 and Term 1 2026 — showing the expansion of EMIS data capture over four years</w:t>
      </w:r>
    </w:p>
    <w:p>
      <w:pPr>
        <w:pStyle w:val="ListParagraph"/>
        <w:numPr>
          <w:ilvl w:val="0"/>
          <w:numId w:val="2"/>
        </w:numPr>
      </w:pPr>
      <w:r>
        <w:t xml:space="preserve">As each subsequent term is loaded the trends will become increasingly meaningful for policy analysis</w:t>
      </w:r>
    </w:p>
    <w:p>
      <w:pPr>
        <w:pStyle w:val="ListParagraph"/>
        <w:numPr>
          <w:ilvl w:val="0"/>
          <w:numId w:val="2"/>
        </w:numPr>
      </w:pPr>
      <w:r>
        <w:t xml:space="preserve">A declining PTR over time is a positive signal — it means more teachers are being deployed relative to learners</w:t>
      </w:r>
    </w:p>
    <w:p>
      <w:pPr>
        <w:pStyle w:val="ListParagraph"/>
        <w:numPr>
          <w:ilvl w:val="0"/>
          <w:numId w:val="2"/>
        </w:numPr>
      </w:pPr>
      <w:r>
        <w:t xml:space="preserve">A rising enrolment trend across all school levels indicates the system is expanding its reach</w:t>
      </w:r>
    </w:p>
    <w:p>
      <w:pPr>
        <w:spacing w:after="160"/>
      </w:pPr>
    </w:p>
    <w:p>
      <w:pPr>
        <w:pStyle w:val="Heading2"/>
      </w:pPr>
      <w:r>
        <w:t xml:space="preserve">Why does this dashboard matter?</w:t>
      </w:r>
    </w:p>
    <w:p>
      <w:pPr>
        <w:spacing w:after="120"/>
      </w:pPr>
      <w:r>
        <w:t xml:space="preserve">This dashboard helps the Ministry of Education answer five critical quality and equity questions:</w:t>
      </w:r>
    </w:p>
    <w:p>
      <w:pPr>
        <w:pStyle w:val="ListParagraph"/>
        <w:numPr>
          <w:ilvl w:val="0"/>
          <w:numId w:val="2"/>
        </w:numPr>
      </w:pPr>
      <w:r>
        <w:t xml:space="preserve">Are there enough teachers? — PTR by district shows where the teacher shortage is most acute</w:t>
      </w:r>
    </w:p>
    <w:p>
      <w:pPr>
        <w:pStyle w:val="ListParagraph"/>
        <w:numPr>
          <w:ilvl w:val="0"/>
          <w:numId w:val="2"/>
        </w:numPr>
      </w:pPr>
      <w:r>
        <w:t xml:space="preserve">Are they qualified? — Qualification ratio highlights gaps in teacher quality</w:t>
      </w:r>
    </w:p>
    <w:p>
      <w:pPr>
        <w:pStyle w:val="ListParagraph"/>
        <w:numPr>
          <w:ilvl w:val="0"/>
          <w:numId w:val="2"/>
        </w:numPr>
      </w:pPr>
      <w:r>
        <w:t xml:space="preserve">Are girls in school equally? — GPI identifies districts where gender equity needs the most attention</w:t>
      </w:r>
    </w:p>
    <w:p>
      <w:pPr>
        <w:pStyle w:val="ListParagraph"/>
        <w:numPr>
          <w:ilvl w:val="0"/>
          <w:numId w:val="2"/>
        </w:numPr>
      </w:pPr>
      <w:r>
        <w:t xml:space="preserve">Are learners with disabilities included? — SNE inclusion rates track progress on inclusive education</w:t>
      </w:r>
    </w:p>
    <w:p>
      <w:pPr>
        <w:pStyle w:val="ListParagraph"/>
        <w:numPr>
          <w:ilvl w:val="0"/>
          <w:numId w:val="2"/>
        </w:numPr>
      </w:pPr>
      <w:r>
        <w:t xml:space="preserve">Is the system improving? — Trend charts show whether key indicators are moving in the right direction</w:t>
      </w:r>
    </w:p>
    <w:p>
      <w:pPr>
        <w:spacing w:after="160"/>
      </w:pPr>
    </w:p>
    <w:p>
      <w:pPr>
        <w:pStyle w:val="Heading2"/>
      </w:pPr>
      <w:r>
        <w:t xml:space="preserve">How is this different from published reports?</w:t>
      </w:r>
    </w:p>
    <w:p>
      <w:pPr>
        <w:spacing w:after="320"/>
      </w:pPr>
      <w:r>
        <w:t xml:space="preserve">The Statistical Abstract is published once a year after a lengthy data collection and validation process. By the time it reaches stakeholders the data is often 12 to 18 months old. This dashboard connects directly to the live EMIS database and recalculates all indicators automatically each time new data is loaded. MoES leadership can now see current indicator values at any time — not just once a year. This enables faster, more targeted policy responses.</w:t>
      </w:r>
    </w:p>
    <w:p>
      <w:pPr>
        <w:pBdr>
          <w:bottom w:val="single" w:color="2E75B6" w:sz="6"/>
        </w:pBdr>
        <w:spacing w:after="160"/>
      </w:pPr>
    </w:p>
    <w:p>
      <w:pPr>
        <w:jc w:val="center"/>
      </w:pPr>
      <w:r>
        <w:rPr>
          <w:i/>
          <w:iCs/>
          <w:color w:val="595959"/>
          <w:sz w:val="20"/>
          <w:szCs w:val="20"/>
        </w:rPr>
        <w:t xml:space="preserve">EMIS Data Warehouse — Uganda Ministry of Education and Sports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F4E79"/>
      <w:sz w:val="36"/>
      <w:szCs w:val="36"/>
    </w:rPr>
  </w:style>
  <w:style w:type="paragraph" w:styleId="Heading2">
    <w:name w:val="Heading 2"/>
    <w:basedOn w:val="Normal"/>
    <w:next w:val="Normal"/>
    <w:qFormat/>
    <w:pPr>
      <w:spacing w:after="120" w:before="24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2026-06-04T17:36:39.307Z</dcterms:created>
  <dcterms:modified xsi:type="dcterms:W3CDTF">2026-06-04T17:36:39.322Z</dcterms:modified>
</cp:coreProperties>
</file>

<file path=docProps/custom.xml><?xml version="1.0" encoding="utf-8"?>
<Properties xmlns="http://schemas.openxmlformats.org/officeDocument/2006/custom-properties" xmlns:vt="http://schemas.openxmlformats.org/officeDocument/2006/docPropsVTypes"/>
</file>