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07EF9671">
      <w:pPr>
        <w:spacing w:line="360" w:lineRule="auto"/>
        <w:ind w:firstLine="960" w:firstLineChars="200"/>
        <w:rPr>
          <w:rFonts w:eastAsia="黑体" w:cs="宋体"/>
          <w:kern w:val="0"/>
          <w:sz w:val="48"/>
          <w:szCs w:val="48"/>
        </w:rPr>
      </w:pPr>
    </w:p>
    <w:p w14:paraId="7B805694">
      <w:pPr>
        <w:spacing w:line="360" w:lineRule="auto"/>
        <w:ind w:firstLine="960" w:firstLineChars="200"/>
        <w:rPr>
          <w:rFonts w:eastAsia="黑体" w:cs="宋体"/>
          <w:kern w:val="0"/>
          <w:sz w:val="48"/>
          <w:szCs w:val="48"/>
        </w:rPr>
      </w:pPr>
    </w:p>
    <w:p w14:paraId="41CB72A3">
      <w:pPr>
        <w:spacing w:line="360" w:lineRule="auto"/>
        <w:ind w:firstLine="960" w:firstLineChars="200"/>
        <w:rPr>
          <w:rFonts w:eastAsia="黑体" w:cs="宋体"/>
          <w:kern w:val="0"/>
          <w:sz w:val="48"/>
          <w:szCs w:val="48"/>
        </w:rPr>
      </w:pPr>
    </w:p>
    <w:p w14:paraId="73C9B657">
      <w:pPr>
        <w:spacing w:line="360" w:lineRule="auto"/>
        <w:jc w:val="center"/>
        <w:rPr>
          <w:rFonts w:eastAsia="黑体" w:cs="宋体"/>
          <w:kern w:val="0"/>
          <w:sz w:val="84"/>
          <w:szCs w:val="84"/>
        </w:rPr>
      </w:pPr>
      <w:r>
        <w:rPr>
          <w:rFonts w:hint="eastAsia" w:eastAsia="黑体" w:cs="宋体"/>
          <w:kern w:val="0"/>
          <w:sz w:val="84"/>
          <w:szCs w:val="84"/>
        </w:rPr>
        <w:t>湖北文理学院</w:t>
      </w:r>
    </w:p>
    <w:p w14:paraId="0C9493F2">
      <w:pPr>
        <w:spacing w:line="360" w:lineRule="auto"/>
        <w:ind w:firstLine="960" w:firstLineChars="200"/>
        <w:rPr>
          <w:rFonts w:eastAsia="黑体" w:cs="宋体"/>
          <w:kern w:val="0"/>
          <w:sz w:val="48"/>
          <w:szCs w:val="48"/>
        </w:rPr>
      </w:pPr>
      <w:bookmarkStart w:id="9" w:name="_GoBack"/>
      <w:bookmarkEnd w:id="9"/>
    </w:p>
    <w:p w14:paraId="073C2FF2">
      <w:pPr>
        <w:spacing w:line="360" w:lineRule="auto"/>
        <w:ind w:firstLine="1560" w:firstLineChars="300"/>
        <w:rPr>
          <w:rFonts w:eastAsia="黑体" w:cs="宋体"/>
          <w:kern w:val="0"/>
          <w:sz w:val="52"/>
          <w:szCs w:val="48"/>
        </w:rPr>
      </w:pPr>
      <w:r>
        <w:rPr>
          <w:rFonts w:hint="eastAsia" w:eastAsia="黑体" w:cs="宋体"/>
          <w:kern w:val="0"/>
          <w:sz w:val="52"/>
          <w:szCs w:val="48"/>
        </w:rPr>
        <w:t>2025-2026学年度下学期</w:t>
      </w:r>
    </w:p>
    <w:p w14:paraId="27A0CA6B">
      <w:pPr>
        <w:spacing w:line="360" w:lineRule="auto"/>
        <w:jc w:val="center"/>
        <w:rPr>
          <w:rFonts w:eastAsia="黑体" w:cs="宋体"/>
          <w:kern w:val="0"/>
          <w:sz w:val="52"/>
          <w:szCs w:val="48"/>
        </w:rPr>
      </w:pPr>
      <w:r>
        <w:rPr>
          <w:rFonts w:hint="eastAsia" w:eastAsia="黑体" w:cs="宋体"/>
          <w:kern w:val="0"/>
          <w:sz w:val="52"/>
          <w:szCs w:val="48"/>
        </w:rPr>
        <w:t>《数据清洗》课程报告</w:t>
      </w:r>
    </w:p>
    <w:p w14:paraId="7388EBFA">
      <w:pPr>
        <w:spacing w:line="300" w:lineRule="exact"/>
        <w:ind w:firstLine="420" w:firstLineChars="200"/>
        <w:rPr>
          <w:rFonts w:cs="宋体"/>
          <w:kern w:val="0"/>
          <w:szCs w:val="21"/>
        </w:rPr>
      </w:pPr>
    </w:p>
    <w:p w14:paraId="31BC4D22">
      <w:pPr>
        <w:spacing w:line="300" w:lineRule="exact"/>
        <w:ind w:firstLine="420" w:firstLineChars="200"/>
        <w:rPr>
          <w:rFonts w:cs="宋体"/>
          <w:kern w:val="0"/>
          <w:szCs w:val="21"/>
        </w:rPr>
      </w:pPr>
    </w:p>
    <w:p w14:paraId="7B34956B">
      <w:pPr>
        <w:spacing w:line="300" w:lineRule="exact"/>
        <w:ind w:firstLine="420" w:firstLineChars="200"/>
        <w:rPr>
          <w:rFonts w:cs="宋体"/>
          <w:kern w:val="0"/>
          <w:szCs w:val="21"/>
        </w:rPr>
      </w:pPr>
    </w:p>
    <w:p w14:paraId="28766403">
      <w:pPr>
        <w:spacing w:line="300" w:lineRule="exact"/>
        <w:ind w:firstLine="420" w:firstLineChars="200"/>
        <w:rPr>
          <w:rFonts w:cs="宋体"/>
          <w:kern w:val="0"/>
          <w:szCs w:val="21"/>
        </w:rPr>
      </w:pPr>
    </w:p>
    <w:p w14:paraId="28E75EA6">
      <w:pPr>
        <w:spacing w:line="300" w:lineRule="exact"/>
        <w:ind w:firstLine="420" w:firstLineChars="200"/>
        <w:rPr>
          <w:rFonts w:cs="宋体"/>
          <w:kern w:val="0"/>
          <w:szCs w:val="21"/>
        </w:rPr>
      </w:pPr>
    </w:p>
    <w:p w14:paraId="44C748C5">
      <w:pPr>
        <w:spacing w:line="300" w:lineRule="exact"/>
        <w:ind w:firstLine="420" w:firstLineChars="200"/>
        <w:rPr>
          <w:rFonts w:cs="宋体"/>
          <w:kern w:val="0"/>
          <w:szCs w:val="21"/>
        </w:rPr>
      </w:pPr>
    </w:p>
    <w:p w14:paraId="0EE771A5">
      <w:pPr>
        <w:spacing w:line="300" w:lineRule="exact"/>
        <w:ind w:firstLine="420" w:firstLineChars="200"/>
        <w:rPr>
          <w:rFonts w:cs="宋体"/>
          <w:kern w:val="0"/>
          <w:szCs w:val="21"/>
        </w:rPr>
      </w:pPr>
    </w:p>
    <w:p w14:paraId="3C000297">
      <w:pPr>
        <w:ind w:firstLine="420" w:firstLineChars="200"/>
        <w:rPr>
          <w:rFonts w:cs="宋体"/>
          <w:kern w:val="0"/>
          <w:szCs w:val="21"/>
        </w:rPr>
      </w:pPr>
    </w:p>
    <w:p w14:paraId="16AB875A">
      <w:pPr>
        <w:ind w:firstLine="2240" w:firstLineChars="700"/>
        <w:rPr>
          <w:rFonts w:cs="宋体"/>
          <w:kern w:val="0"/>
          <w:sz w:val="28"/>
          <w:szCs w:val="28"/>
        </w:rPr>
      </w:pPr>
      <w:r>
        <w:rPr>
          <w:rFonts w:hint="eastAsia"/>
          <w:sz w:val="32"/>
          <w:szCs w:val="32"/>
        </w:rPr>
        <w:t>学院：</w:t>
      </w:r>
      <w:r>
        <w:rPr>
          <w:rFonts w:hint="eastAsia"/>
          <w:sz w:val="32"/>
          <w:szCs w:val="32"/>
          <w:u w:val="single"/>
        </w:rPr>
        <w:t xml:space="preserve">  数学与统计学院  </w:t>
      </w:r>
    </w:p>
    <w:p w14:paraId="6C80DE24">
      <w:pPr>
        <w:ind w:firstLine="2256" w:firstLineChars="705"/>
        <w:rPr>
          <w:sz w:val="32"/>
          <w:szCs w:val="32"/>
        </w:rPr>
      </w:pPr>
      <w:r>
        <w:rPr>
          <w:rFonts w:hint="eastAsia"/>
          <w:sz w:val="32"/>
          <w:szCs w:val="32"/>
        </w:rPr>
        <w:t>班级：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信息2312  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3C14C43E">
      <w:pPr>
        <w:ind w:firstLine="2256" w:firstLineChars="705"/>
        <w:rPr>
          <w:sz w:val="32"/>
          <w:szCs w:val="32"/>
        </w:rPr>
      </w:pPr>
      <w:r>
        <w:rPr>
          <w:rFonts w:hint="eastAsia"/>
          <w:sz w:val="32"/>
          <w:szCs w:val="32"/>
        </w:rPr>
        <w:t>姓名：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>刘文博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19D2CAB2">
      <w:pPr>
        <w:ind w:firstLine="2256" w:firstLineChars="705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2023109223</w:t>
      </w:r>
      <w:r>
        <w:rPr>
          <w:rFonts w:hint="eastAsia"/>
          <w:sz w:val="32"/>
          <w:szCs w:val="32"/>
          <w:u w:val="single"/>
        </w:rPr>
        <w:t xml:space="preserve">    </w:t>
      </w:r>
    </w:p>
    <w:p w14:paraId="45368E16">
      <w:pPr>
        <w:ind w:firstLine="2256" w:firstLineChars="705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教师：</w:t>
      </w:r>
      <w:r>
        <w:rPr>
          <w:rFonts w:hint="eastAsia"/>
          <w:sz w:val="32"/>
          <w:szCs w:val="32"/>
          <w:u w:val="single"/>
        </w:rPr>
        <w:t xml:space="preserve">       方磊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</w:t>
      </w:r>
    </w:p>
    <w:p w14:paraId="76826C86">
      <w:pPr>
        <w:ind w:firstLine="560" w:firstLineChars="200"/>
        <w:rPr>
          <w:rFonts w:cs="宋体"/>
          <w:kern w:val="0"/>
          <w:sz w:val="28"/>
          <w:szCs w:val="28"/>
        </w:rPr>
      </w:pPr>
      <w:r>
        <w:rPr>
          <w:rFonts w:cs="宋体"/>
          <w:kern w:val="0"/>
          <w:sz w:val="28"/>
          <w:szCs w:val="28"/>
        </w:rPr>
        <w:t xml:space="preserve"> </w:t>
      </w:r>
    </w:p>
    <w:p w14:paraId="1C579249">
      <w:pPr>
        <w:ind w:left="2339" w:leftChars="1114" w:firstLine="700" w:firstLineChars="200"/>
        <w:rPr>
          <w:rFonts w:cs="宋体"/>
          <w:kern w:val="0"/>
          <w:sz w:val="35"/>
          <w:szCs w:val="21"/>
        </w:rPr>
      </w:pPr>
    </w:p>
    <w:p w14:paraId="105967C9">
      <w:pPr>
        <w:spacing w:line="360" w:lineRule="auto"/>
        <w:jc w:val="center"/>
        <w:rPr>
          <w:rFonts w:ascii="华文中宋" w:hAnsi="华文中宋" w:eastAsia="华文中宋"/>
          <w:sz w:val="30"/>
          <w:szCs w:val="30"/>
        </w:rPr>
      </w:pPr>
      <w:r>
        <w:rPr>
          <w:rFonts w:hint="eastAsia" w:ascii="华文中宋" w:hAnsi="华文中宋" w:eastAsia="华文中宋"/>
          <w:sz w:val="30"/>
          <w:szCs w:val="30"/>
        </w:rPr>
        <w:t>2026年</w:t>
      </w:r>
      <w:r>
        <w:rPr>
          <w:rFonts w:hint="eastAsia" w:ascii="华文中宋" w:hAnsi="华文中宋" w:eastAsia="华文中宋"/>
          <w:sz w:val="30"/>
          <w:szCs w:val="30"/>
          <w:lang w:val="en-US" w:eastAsia="zh-CN"/>
        </w:rPr>
        <w:t>6</w:t>
      </w:r>
      <w:r>
        <w:rPr>
          <w:rFonts w:hint="eastAsia" w:ascii="华文中宋" w:hAnsi="华文中宋" w:eastAsia="华文中宋"/>
          <w:sz w:val="30"/>
          <w:szCs w:val="30"/>
        </w:rPr>
        <w:t>月</w:t>
      </w:r>
      <w:r>
        <w:rPr>
          <w:rFonts w:hint="eastAsia" w:ascii="华文中宋" w:hAnsi="华文中宋" w:eastAsia="华文中宋"/>
          <w:sz w:val="30"/>
          <w:szCs w:val="30"/>
          <w:lang w:val="en-US" w:eastAsia="zh-CN"/>
        </w:rPr>
        <w:t>1</w:t>
      </w:r>
      <w:r>
        <w:rPr>
          <w:rFonts w:hint="eastAsia" w:ascii="华文中宋" w:hAnsi="华文中宋" w:eastAsia="华文中宋"/>
          <w:sz w:val="30"/>
          <w:szCs w:val="30"/>
        </w:rPr>
        <w:t>日</w:t>
      </w:r>
    </w:p>
    <w:p w14:paraId="64F9C232">
      <w:pPr>
        <w:widowControl/>
        <w:jc w:val="left"/>
      </w:pPr>
      <w:r>
        <w:br w:type="page"/>
      </w:r>
    </w:p>
    <w:p w14:paraId="2B08891B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评分标准</w:t>
      </w:r>
    </w:p>
    <w:p w14:paraId="6F5DB654">
      <w:pPr>
        <w:spacing w:line="360" w:lineRule="auto"/>
        <w:rPr>
          <w:rFonts w:ascii="黑体" w:hAnsi="黑体" w:eastAsia="黑体"/>
          <w:b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4194"/>
        <w:gridCol w:w="1456"/>
        <w:gridCol w:w="1444"/>
      </w:tblGrid>
      <w:tr w14:paraId="508A0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Align w:val="center"/>
          </w:tcPr>
          <w:p w14:paraId="7F7F5576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评分项</w:t>
            </w:r>
          </w:p>
        </w:tc>
        <w:tc>
          <w:tcPr>
            <w:tcW w:w="4194" w:type="dxa"/>
            <w:vAlign w:val="center"/>
          </w:tcPr>
          <w:p w14:paraId="23E87806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评分标准描述</w:t>
            </w:r>
          </w:p>
        </w:tc>
        <w:tc>
          <w:tcPr>
            <w:tcW w:w="1456" w:type="dxa"/>
            <w:vAlign w:val="center"/>
          </w:tcPr>
          <w:p w14:paraId="11D0CC31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评分标准</w:t>
            </w:r>
          </w:p>
        </w:tc>
        <w:tc>
          <w:tcPr>
            <w:tcW w:w="1444" w:type="dxa"/>
            <w:vAlign w:val="center"/>
          </w:tcPr>
          <w:p w14:paraId="514B3908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得分</w:t>
            </w:r>
          </w:p>
        </w:tc>
      </w:tr>
      <w:tr w14:paraId="1DD13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restart"/>
            <w:vAlign w:val="center"/>
          </w:tcPr>
          <w:p w14:paraId="537E40C8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排版</w:t>
            </w:r>
          </w:p>
          <w:p w14:paraId="3F65F5D5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（15%）</w:t>
            </w:r>
          </w:p>
        </w:tc>
        <w:tc>
          <w:tcPr>
            <w:tcW w:w="4194" w:type="dxa"/>
            <w:vAlign w:val="center"/>
          </w:tcPr>
          <w:p w14:paraId="4E3793E9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严格按规定格式排版，整体美观</w:t>
            </w:r>
          </w:p>
        </w:tc>
        <w:tc>
          <w:tcPr>
            <w:tcW w:w="1456" w:type="dxa"/>
            <w:vAlign w:val="center"/>
          </w:tcPr>
          <w:p w14:paraId="786D45DF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"/>
              </w:rPr>
              <w:t>1</w:t>
            </w:r>
            <w:r>
              <w:rPr>
                <w:rFonts w:hint="eastAsia"/>
                <w:sz w:val="28"/>
                <w:szCs w:val="28"/>
                <w:lang w:bidi="ar"/>
              </w:rPr>
              <w:t>3</w:t>
            </w:r>
            <w:r>
              <w:rPr>
                <w:sz w:val="28"/>
                <w:szCs w:val="28"/>
                <w:lang w:bidi="ar"/>
              </w:rPr>
              <w:t>-15</w:t>
            </w:r>
          </w:p>
        </w:tc>
        <w:tc>
          <w:tcPr>
            <w:tcW w:w="1444" w:type="dxa"/>
            <w:vMerge w:val="restart"/>
          </w:tcPr>
          <w:p w14:paraId="32FB22CC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7BD81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26471F4C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5B693B5E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有1-2处不规范的排版</w:t>
            </w:r>
          </w:p>
        </w:tc>
        <w:tc>
          <w:tcPr>
            <w:tcW w:w="1456" w:type="dxa"/>
            <w:vAlign w:val="center"/>
          </w:tcPr>
          <w:p w14:paraId="1C3B0E0A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bidi="ar"/>
              </w:rPr>
              <w:t>10</w:t>
            </w:r>
            <w:r>
              <w:rPr>
                <w:sz w:val="28"/>
                <w:szCs w:val="28"/>
                <w:lang w:bidi="ar"/>
              </w:rPr>
              <w:t>-1</w:t>
            </w:r>
            <w:r>
              <w:rPr>
                <w:rFonts w:hint="eastAsia"/>
                <w:sz w:val="28"/>
                <w:szCs w:val="28"/>
                <w:lang w:bidi="ar"/>
              </w:rPr>
              <w:t>2</w:t>
            </w:r>
          </w:p>
        </w:tc>
        <w:tc>
          <w:tcPr>
            <w:tcW w:w="1444" w:type="dxa"/>
            <w:vMerge w:val="continue"/>
          </w:tcPr>
          <w:p w14:paraId="5BC782B5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5DB48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5C895742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7056FD03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有3-5处排版问题</w:t>
            </w:r>
          </w:p>
        </w:tc>
        <w:tc>
          <w:tcPr>
            <w:tcW w:w="1456" w:type="dxa"/>
            <w:vAlign w:val="center"/>
          </w:tcPr>
          <w:p w14:paraId="5FFD0DD2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bidi="ar"/>
              </w:rPr>
              <w:t>7</w:t>
            </w:r>
            <w:r>
              <w:rPr>
                <w:sz w:val="28"/>
                <w:szCs w:val="28"/>
                <w:lang w:bidi="ar"/>
              </w:rPr>
              <w:t>-</w:t>
            </w:r>
            <w:r>
              <w:rPr>
                <w:rFonts w:hint="eastAsia"/>
                <w:sz w:val="28"/>
                <w:szCs w:val="28"/>
                <w:lang w:bidi="ar"/>
              </w:rPr>
              <w:t>9</w:t>
            </w:r>
          </w:p>
        </w:tc>
        <w:tc>
          <w:tcPr>
            <w:tcW w:w="1444" w:type="dxa"/>
            <w:vMerge w:val="continue"/>
          </w:tcPr>
          <w:p w14:paraId="646E16EB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0F056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2017F545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58F26CED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有6处以上排版问题</w:t>
            </w:r>
          </w:p>
        </w:tc>
        <w:tc>
          <w:tcPr>
            <w:tcW w:w="1456" w:type="dxa"/>
            <w:vAlign w:val="center"/>
          </w:tcPr>
          <w:p w14:paraId="5FBA01F1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bidi="ar"/>
              </w:rPr>
              <w:t>4</w:t>
            </w:r>
            <w:r>
              <w:rPr>
                <w:sz w:val="28"/>
                <w:szCs w:val="28"/>
                <w:lang w:bidi="ar"/>
              </w:rPr>
              <w:t>-</w:t>
            </w:r>
            <w:r>
              <w:rPr>
                <w:rFonts w:hint="eastAsia"/>
                <w:sz w:val="28"/>
                <w:szCs w:val="28"/>
                <w:lang w:bidi="ar"/>
              </w:rPr>
              <w:t>6</w:t>
            </w:r>
          </w:p>
        </w:tc>
        <w:tc>
          <w:tcPr>
            <w:tcW w:w="1444" w:type="dxa"/>
            <w:vMerge w:val="continue"/>
          </w:tcPr>
          <w:p w14:paraId="290C4CFC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1E934F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4A82F1AD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3C2439D5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排版混乱，问题较多</w:t>
            </w:r>
          </w:p>
        </w:tc>
        <w:tc>
          <w:tcPr>
            <w:tcW w:w="1456" w:type="dxa"/>
            <w:vAlign w:val="center"/>
          </w:tcPr>
          <w:p w14:paraId="06FAADED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bidi="ar"/>
              </w:rPr>
              <w:t>0</w:t>
            </w:r>
            <w:r>
              <w:rPr>
                <w:sz w:val="28"/>
                <w:szCs w:val="28"/>
                <w:lang w:bidi="ar"/>
              </w:rPr>
              <w:t>-3</w:t>
            </w:r>
          </w:p>
        </w:tc>
        <w:tc>
          <w:tcPr>
            <w:tcW w:w="1444" w:type="dxa"/>
            <w:vMerge w:val="continue"/>
          </w:tcPr>
          <w:p w14:paraId="75740EA6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670464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restart"/>
            <w:vAlign w:val="center"/>
          </w:tcPr>
          <w:p w14:paraId="1C3F5A99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参考文献</w:t>
            </w:r>
          </w:p>
          <w:p w14:paraId="7B4B228F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（15%）</w:t>
            </w:r>
          </w:p>
        </w:tc>
        <w:tc>
          <w:tcPr>
            <w:tcW w:w="4194" w:type="dxa"/>
            <w:vAlign w:val="center"/>
          </w:tcPr>
          <w:p w14:paraId="4736B257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参考文献严格按规定格式引用</w:t>
            </w:r>
          </w:p>
        </w:tc>
        <w:tc>
          <w:tcPr>
            <w:tcW w:w="1456" w:type="dxa"/>
            <w:vAlign w:val="center"/>
          </w:tcPr>
          <w:p w14:paraId="1DC91F67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"/>
              </w:rPr>
              <w:t>1</w:t>
            </w:r>
            <w:r>
              <w:rPr>
                <w:rFonts w:hint="eastAsia"/>
                <w:sz w:val="28"/>
                <w:szCs w:val="28"/>
                <w:lang w:bidi="ar"/>
              </w:rPr>
              <w:t>3</w:t>
            </w:r>
            <w:r>
              <w:rPr>
                <w:sz w:val="28"/>
                <w:szCs w:val="28"/>
                <w:lang w:bidi="ar"/>
              </w:rPr>
              <w:t>-15</w:t>
            </w:r>
          </w:p>
        </w:tc>
        <w:tc>
          <w:tcPr>
            <w:tcW w:w="1444" w:type="dxa"/>
            <w:vMerge w:val="restart"/>
          </w:tcPr>
          <w:p w14:paraId="62DDE9F7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1A296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4FA6F1ED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283482DE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有1-2处引用或格式不正确</w:t>
            </w:r>
          </w:p>
        </w:tc>
        <w:tc>
          <w:tcPr>
            <w:tcW w:w="1456" w:type="dxa"/>
            <w:vAlign w:val="center"/>
          </w:tcPr>
          <w:p w14:paraId="1AA50FAD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bidi="ar"/>
              </w:rPr>
              <w:t>10</w:t>
            </w:r>
            <w:r>
              <w:rPr>
                <w:sz w:val="28"/>
                <w:szCs w:val="28"/>
                <w:lang w:bidi="ar"/>
              </w:rPr>
              <w:t>-1</w:t>
            </w:r>
            <w:r>
              <w:rPr>
                <w:rFonts w:hint="eastAsia"/>
                <w:sz w:val="28"/>
                <w:szCs w:val="28"/>
                <w:lang w:bidi="ar"/>
              </w:rPr>
              <w:t>2</w:t>
            </w:r>
          </w:p>
        </w:tc>
        <w:tc>
          <w:tcPr>
            <w:tcW w:w="1444" w:type="dxa"/>
            <w:vMerge w:val="continue"/>
          </w:tcPr>
          <w:p w14:paraId="2B6B745A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3154B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7F577785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79D5B7BE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有3-5处引用或格式不正确</w:t>
            </w:r>
          </w:p>
        </w:tc>
        <w:tc>
          <w:tcPr>
            <w:tcW w:w="1456" w:type="dxa"/>
            <w:vAlign w:val="center"/>
          </w:tcPr>
          <w:p w14:paraId="45C7C981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bidi="ar"/>
              </w:rPr>
              <w:t>7</w:t>
            </w:r>
            <w:r>
              <w:rPr>
                <w:sz w:val="28"/>
                <w:szCs w:val="28"/>
                <w:lang w:bidi="ar"/>
              </w:rPr>
              <w:t>-</w:t>
            </w:r>
            <w:r>
              <w:rPr>
                <w:rFonts w:hint="eastAsia"/>
                <w:sz w:val="28"/>
                <w:szCs w:val="28"/>
                <w:lang w:bidi="ar"/>
              </w:rPr>
              <w:t>9</w:t>
            </w:r>
          </w:p>
        </w:tc>
        <w:tc>
          <w:tcPr>
            <w:tcW w:w="1444" w:type="dxa"/>
            <w:vMerge w:val="continue"/>
          </w:tcPr>
          <w:p w14:paraId="361BF594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093DBF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13B9AB67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3ABC7E4E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有6处以上引用或格式不正确</w:t>
            </w:r>
          </w:p>
        </w:tc>
        <w:tc>
          <w:tcPr>
            <w:tcW w:w="1456" w:type="dxa"/>
            <w:vAlign w:val="center"/>
          </w:tcPr>
          <w:p w14:paraId="546F2044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bidi="ar"/>
              </w:rPr>
              <w:t>4</w:t>
            </w:r>
            <w:r>
              <w:rPr>
                <w:sz w:val="28"/>
                <w:szCs w:val="28"/>
                <w:lang w:bidi="ar"/>
              </w:rPr>
              <w:t>-</w:t>
            </w:r>
            <w:r>
              <w:rPr>
                <w:rFonts w:hint="eastAsia"/>
                <w:sz w:val="28"/>
                <w:szCs w:val="28"/>
                <w:lang w:bidi="ar"/>
              </w:rPr>
              <w:t>6</w:t>
            </w:r>
          </w:p>
        </w:tc>
        <w:tc>
          <w:tcPr>
            <w:tcW w:w="1444" w:type="dxa"/>
            <w:vMerge w:val="continue"/>
          </w:tcPr>
          <w:p w14:paraId="3F5DCA7A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3201B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70690586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49292209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引用混乱，问题较多</w:t>
            </w:r>
          </w:p>
        </w:tc>
        <w:tc>
          <w:tcPr>
            <w:tcW w:w="1456" w:type="dxa"/>
            <w:vAlign w:val="center"/>
          </w:tcPr>
          <w:p w14:paraId="779E95FB">
            <w:pPr>
              <w:snapToGrid w:val="0"/>
              <w:spacing w:after="160"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bidi="ar"/>
              </w:rPr>
              <w:t>0</w:t>
            </w:r>
            <w:r>
              <w:rPr>
                <w:sz w:val="28"/>
                <w:szCs w:val="28"/>
                <w:lang w:bidi="ar"/>
              </w:rPr>
              <w:t>-3</w:t>
            </w:r>
          </w:p>
        </w:tc>
        <w:tc>
          <w:tcPr>
            <w:tcW w:w="1444" w:type="dxa"/>
            <w:vMerge w:val="continue"/>
          </w:tcPr>
          <w:p w14:paraId="1ABA9DB4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54997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restart"/>
            <w:vAlign w:val="center"/>
          </w:tcPr>
          <w:p w14:paraId="03DB0A17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40"/>
              </w:rPr>
              <w:t>数据清洗综合应用实践过程</w:t>
            </w:r>
          </w:p>
          <w:p w14:paraId="2DBA7A21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（40%）</w:t>
            </w:r>
          </w:p>
        </w:tc>
        <w:tc>
          <w:tcPr>
            <w:tcW w:w="4194" w:type="dxa"/>
            <w:vAlign w:val="center"/>
          </w:tcPr>
          <w:p w14:paraId="707DBADB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分析合理，过程</w:t>
            </w:r>
            <w:r>
              <w:rPr>
                <w:sz w:val="28"/>
                <w:szCs w:val="28"/>
              </w:rPr>
              <w:t>完整，</w:t>
            </w:r>
            <w:r>
              <w:rPr>
                <w:rFonts w:hint="eastAsia"/>
                <w:sz w:val="28"/>
                <w:szCs w:val="28"/>
              </w:rPr>
              <w:t>图表恰当</w:t>
            </w:r>
          </w:p>
        </w:tc>
        <w:tc>
          <w:tcPr>
            <w:tcW w:w="1456" w:type="dxa"/>
            <w:vAlign w:val="center"/>
          </w:tcPr>
          <w:p w14:paraId="45520807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-40</w:t>
            </w:r>
          </w:p>
        </w:tc>
        <w:tc>
          <w:tcPr>
            <w:tcW w:w="1444" w:type="dxa"/>
            <w:vMerge w:val="restart"/>
          </w:tcPr>
          <w:p w14:paraId="2FC07402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26E34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04BF2911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538B59B3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分析</w:t>
            </w:r>
            <w:r>
              <w:rPr>
                <w:sz w:val="28"/>
                <w:szCs w:val="28"/>
              </w:rPr>
              <w:t>较</w:t>
            </w:r>
            <w:r>
              <w:rPr>
                <w:rFonts w:hint="eastAsia"/>
                <w:sz w:val="28"/>
                <w:szCs w:val="28"/>
              </w:rPr>
              <w:t>合理，过程</w:t>
            </w:r>
            <w:r>
              <w:rPr>
                <w:sz w:val="28"/>
                <w:szCs w:val="28"/>
              </w:rPr>
              <w:t>较完整</w:t>
            </w:r>
          </w:p>
        </w:tc>
        <w:tc>
          <w:tcPr>
            <w:tcW w:w="1456" w:type="dxa"/>
            <w:vAlign w:val="center"/>
          </w:tcPr>
          <w:p w14:paraId="2BE26EFD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25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32</w:t>
            </w:r>
          </w:p>
        </w:tc>
        <w:tc>
          <w:tcPr>
            <w:tcW w:w="1444" w:type="dxa"/>
            <w:vMerge w:val="continue"/>
          </w:tcPr>
          <w:p w14:paraId="7E1FF838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09969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0F0C4A0D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3552B617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分析</w:t>
            </w:r>
            <w:r>
              <w:rPr>
                <w:sz w:val="28"/>
                <w:szCs w:val="28"/>
              </w:rPr>
              <w:t>基本</w:t>
            </w:r>
            <w:r>
              <w:rPr>
                <w:rFonts w:hint="eastAsia"/>
                <w:sz w:val="28"/>
                <w:szCs w:val="28"/>
              </w:rPr>
              <w:t>合理，过程</w:t>
            </w:r>
            <w:r>
              <w:rPr>
                <w:sz w:val="28"/>
                <w:szCs w:val="28"/>
              </w:rPr>
              <w:t>基本完整</w:t>
            </w:r>
          </w:p>
        </w:tc>
        <w:tc>
          <w:tcPr>
            <w:tcW w:w="1456" w:type="dxa"/>
            <w:vAlign w:val="center"/>
          </w:tcPr>
          <w:p w14:paraId="494D7DF0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17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24</w:t>
            </w:r>
          </w:p>
        </w:tc>
        <w:tc>
          <w:tcPr>
            <w:tcW w:w="1444" w:type="dxa"/>
            <w:vMerge w:val="continue"/>
          </w:tcPr>
          <w:p w14:paraId="0F44E7C8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4592C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796522D6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6D8F6384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思路模糊，层次模糊</w:t>
            </w:r>
          </w:p>
        </w:tc>
        <w:tc>
          <w:tcPr>
            <w:tcW w:w="1456" w:type="dxa"/>
            <w:vAlign w:val="center"/>
          </w:tcPr>
          <w:p w14:paraId="5F2431B7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16</w:t>
            </w:r>
          </w:p>
        </w:tc>
        <w:tc>
          <w:tcPr>
            <w:tcW w:w="1444" w:type="dxa"/>
            <w:vMerge w:val="continue"/>
          </w:tcPr>
          <w:p w14:paraId="60E7C979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00051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61F5AF0F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38392497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态度不端正，敷衍应付</w:t>
            </w:r>
          </w:p>
        </w:tc>
        <w:tc>
          <w:tcPr>
            <w:tcW w:w="1456" w:type="dxa"/>
            <w:vAlign w:val="center"/>
          </w:tcPr>
          <w:p w14:paraId="24B2DFF3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444" w:type="dxa"/>
            <w:vMerge w:val="continue"/>
          </w:tcPr>
          <w:p w14:paraId="236CC68C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1F122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restart"/>
            <w:vAlign w:val="center"/>
          </w:tcPr>
          <w:p w14:paraId="050736D4">
            <w:pPr>
              <w:snapToGrid w:val="0"/>
              <w:spacing w:line="360" w:lineRule="auto"/>
              <w:jc w:val="center"/>
              <w:rPr>
                <w:sz w:val="24"/>
                <w:szCs w:val="40"/>
              </w:rPr>
            </w:pPr>
            <w:r>
              <w:rPr>
                <w:sz w:val="24"/>
                <w:szCs w:val="40"/>
              </w:rPr>
              <w:t>文献综述</w:t>
            </w:r>
          </w:p>
          <w:p w14:paraId="03DA8B5A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（30%）</w:t>
            </w:r>
          </w:p>
        </w:tc>
        <w:tc>
          <w:tcPr>
            <w:tcW w:w="4194" w:type="dxa"/>
            <w:vAlign w:val="center"/>
          </w:tcPr>
          <w:p w14:paraId="3DA58760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内容全面，逻辑清晰，层次分明</w:t>
            </w:r>
          </w:p>
        </w:tc>
        <w:tc>
          <w:tcPr>
            <w:tcW w:w="1456" w:type="dxa"/>
            <w:vAlign w:val="center"/>
          </w:tcPr>
          <w:p w14:paraId="6A21AC00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25-30</w:t>
            </w:r>
          </w:p>
        </w:tc>
        <w:tc>
          <w:tcPr>
            <w:tcW w:w="1444" w:type="dxa"/>
            <w:vMerge w:val="restart"/>
          </w:tcPr>
          <w:p w14:paraId="23A60C13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400AA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612BB381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3D898BA2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内容较全面，逻辑较清晰</w:t>
            </w:r>
          </w:p>
        </w:tc>
        <w:tc>
          <w:tcPr>
            <w:tcW w:w="1456" w:type="dxa"/>
            <w:vAlign w:val="center"/>
          </w:tcPr>
          <w:p w14:paraId="49D2D9E0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19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24</w:t>
            </w:r>
          </w:p>
        </w:tc>
        <w:tc>
          <w:tcPr>
            <w:tcW w:w="1444" w:type="dxa"/>
            <w:vMerge w:val="continue"/>
          </w:tcPr>
          <w:p w14:paraId="57E80BF5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1B6B5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36D383A3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6F79E10B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内容基本全面，逻辑基本清晰</w:t>
            </w:r>
          </w:p>
        </w:tc>
        <w:tc>
          <w:tcPr>
            <w:tcW w:w="1456" w:type="dxa"/>
            <w:vAlign w:val="center"/>
          </w:tcPr>
          <w:p w14:paraId="65A7F502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18</w:t>
            </w:r>
          </w:p>
        </w:tc>
        <w:tc>
          <w:tcPr>
            <w:tcW w:w="1444" w:type="dxa"/>
            <w:vMerge w:val="continue"/>
          </w:tcPr>
          <w:p w14:paraId="277D08B9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75C0F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3C2E9A89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1C49E35D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内容片面，逻辑混乱</w:t>
            </w:r>
          </w:p>
        </w:tc>
        <w:tc>
          <w:tcPr>
            <w:tcW w:w="1456" w:type="dxa"/>
            <w:vAlign w:val="center"/>
          </w:tcPr>
          <w:p w14:paraId="2125E824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7-12</w:t>
            </w:r>
          </w:p>
        </w:tc>
        <w:tc>
          <w:tcPr>
            <w:tcW w:w="1444" w:type="dxa"/>
            <w:vMerge w:val="continue"/>
          </w:tcPr>
          <w:p w14:paraId="777307F7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16616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28" w:type="dxa"/>
            <w:vMerge w:val="continue"/>
            <w:vAlign w:val="center"/>
          </w:tcPr>
          <w:p w14:paraId="179AB273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94" w:type="dxa"/>
            <w:vAlign w:val="center"/>
          </w:tcPr>
          <w:p w14:paraId="39DFDC2C">
            <w:pPr>
              <w:snapToGrid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态度不端正，敷衍应付</w:t>
            </w:r>
          </w:p>
        </w:tc>
        <w:tc>
          <w:tcPr>
            <w:tcW w:w="1456" w:type="dxa"/>
            <w:vAlign w:val="center"/>
          </w:tcPr>
          <w:p w14:paraId="3DE7B6E6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444" w:type="dxa"/>
            <w:vMerge w:val="continue"/>
          </w:tcPr>
          <w:p w14:paraId="5E15E849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1D9C74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78" w:type="dxa"/>
            <w:gridSpan w:val="3"/>
            <w:vAlign w:val="center"/>
          </w:tcPr>
          <w:p w14:paraId="32C23F62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D3AFB30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总分</w:t>
            </w:r>
          </w:p>
          <w:p w14:paraId="03102D61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44" w:type="dxa"/>
          </w:tcPr>
          <w:p w14:paraId="73A0543B">
            <w:pPr>
              <w:snapToGrid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0E576A30">
      <w:pPr>
        <w:widowControl/>
        <w:jc w:val="left"/>
        <w:sectPr>
          <w:footerReference r:id="rId3" w:type="default"/>
          <w:pgSz w:w="11906" w:h="16838"/>
          <w:pgMar w:top="1440" w:right="1797" w:bottom="1440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78933049">
      <w:pPr>
        <w:spacing w:before="0" w:after="0" w:line="360" w:lineRule="auto"/>
      </w:pPr>
      <w:r>
        <w:rPr>
          <w:rFonts w:ascii="黑体" w:hAnsi="黑体" w:eastAsia="黑体"/>
          <w:b/>
          <w:sz w:val="28"/>
        </w:rPr>
        <w:t>1数据清洗综合应用实践过程展示</w:t>
      </w:r>
    </w:p>
    <w:p w14:paraId="6F2B2D47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1.1案例题目</w:t>
      </w:r>
    </w:p>
    <w:p w14:paraId="70369E53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（1）案例题目：基于 Python 的中国新能源汽车数据清洗与趋势分析。</w:t>
      </w:r>
    </w:p>
    <w:p w14:paraId="44EBB7F1">
      <w:pPr>
        <w:spacing w:before="0" w:after="0" w:line="360" w:lineRule="auto"/>
        <w:rPr>
          <w:rFonts w:hint="eastAsia" w:ascii="宋体" w:hAnsi="宋体"/>
          <w:b w:val="0"/>
          <w:sz w:val="24"/>
          <w:lang w:eastAsia="zh-CN"/>
        </w:rPr>
      </w:pPr>
      <w:r>
        <w:rPr>
          <w:rFonts w:hint="eastAsia" w:ascii="宋体" w:hAnsi="宋体"/>
          <w:b w:val="0"/>
          <w:sz w:val="24"/>
          <w:lang w:eastAsia="zh-CN"/>
        </w:rPr>
        <w:t>（2）数据集来源说明：本案例数据来自 China Data Portal 提供的公开 API，其中新能源汽车年度销量来源标注为中国汽车工业协会（CAAM），中国汽车月度产量来源标注为国家统计局（NBS），中国与全球电动汽车销量对比来源标注为 IEA、EV-Volumes、中国汽车工业协会等公开统计口径。数据接口包括：</w:t>
      </w:r>
      <w:r>
        <w:rPr>
          <w:rFonts w:hint="eastAsia" w:ascii="宋体" w:hAnsi="宋体"/>
          <w:b w:val="0"/>
          <w:sz w:val="24"/>
          <w:lang w:eastAsia="zh-CN"/>
        </w:rPr>
        <w:fldChar w:fldCharType="begin"/>
      </w:r>
      <w:r>
        <w:rPr>
          <w:rFonts w:hint="eastAsia" w:ascii="宋体" w:hAnsi="宋体"/>
          <w:b w:val="0"/>
          <w:sz w:val="24"/>
          <w:lang w:eastAsia="zh-CN"/>
        </w:rPr>
        <w:instrText xml:space="preserve"> HYPERLINK "https://chinadata.live/api/v2/data/china-nev-sales" </w:instrText>
      </w:r>
      <w:r>
        <w:rPr>
          <w:rFonts w:hint="eastAsia" w:ascii="宋体" w:hAnsi="宋体"/>
          <w:b w:val="0"/>
          <w:sz w:val="24"/>
          <w:lang w:eastAsia="zh-CN"/>
        </w:rPr>
        <w:fldChar w:fldCharType="separate"/>
      </w:r>
      <w:r>
        <w:rPr>
          <w:rStyle w:val="11"/>
          <w:rFonts w:hint="eastAsia" w:ascii="宋体" w:hAnsi="宋体"/>
          <w:b w:val="0"/>
          <w:sz w:val="24"/>
          <w:lang w:eastAsia="zh-CN"/>
        </w:rPr>
        <w:t>https://chinadata.live/api/v2/data/china-nev-sales</w:t>
      </w:r>
      <w:r>
        <w:rPr>
          <w:rFonts w:hint="eastAsia" w:ascii="宋体" w:hAnsi="宋体"/>
          <w:b w:val="0"/>
          <w:sz w:val="24"/>
          <w:lang w:eastAsia="zh-CN"/>
        </w:rPr>
        <w:fldChar w:fldCharType="end"/>
      </w:r>
    </w:p>
    <w:p w14:paraId="23B7DE94">
      <w:pPr>
        <w:spacing w:before="0" w:after="0" w:line="360" w:lineRule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fldChar w:fldCharType="begin"/>
      </w:r>
      <w:r>
        <w:rPr>
          <w:rFonts w:ascii="宋体" w:hAnsi="宋体" w:eastAsia="宋体"/>
          <w:b w:val="0"/>
          <w:sz w:val="24"/>
        </w:rPr>
        <w:instrText xml:space="preserve"> HYPERLINK "https://chinadata.live/api/v2/data/china-car-production-monthly" </w:instrText>
      </w:r>
      <w:r>
        <w:rPr>
          <w:rFonts w:ascii="宋体" w:hAnsi="宋体" w:eastAsia="宋体"/>
          <w:b w:val="0"/>
          <w:sz w:val="24"/>
        </w:rPr>
        <w:fldChar w:fldCharType="separate"/>
      </w:r>
      <w:r>
        <w:rPr>
          <w:rStyle w:val="11"/>
          <w:rFonts w:ascii="宋体" w:hAnsi="宋体" w:eastAsia="宋体"/>
          <w:b w:val="0"/>
          <w:sz w:val="24"/>
        </w:rPr>
        <w:t>https://chinadata.live/api/v2/data/china-car-production-monthly</w:t>
      </w:r>
      <w:r>
        <w:rPr>
          <w:rFonts w:ascii="宋体" w:hAnsi="宋体" w:eastAsia="宋体"/>
          <w:b w:val="0"/>
          <w:sz w:val="24"/>
        </w:rPr>
        <w:fldChar w:fldCharType="end"/>
      </w:r>
    </w:p>
    <w:p w14:paraId="18AEC5A2">
      <w:pPr>
        <w:spacing w:before="0" w:after="0" w:line="360" w:lineRule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fldChar w:fldCharType="begin"/>
      </w:r>
      <w:r>
        <w:rPr>
          <w:rFonts w:ascii="宋体" w:hAnsi="宋体" w:eastAsia="宋体"/>
          <w:b w:val="0"/>
          <w:sz w:val="24"/>
        </w:rPr>
        <w:instrText xml:space="preserve"> HYPERLINK "https://chinadata.live/api/v2/data/ev-sales-china-vs-world" </w:instrText>
      </w:r>
      <w:r>
        <w:rPr>
          <w:rFonts w:ascii="宋体" w:hAnsi="宋体" w:eastAsia="宋体"/>
          <w:b w:val="0"/>
          <w:sz w:val="24"/>
        </w:rPr>
        <w:fldChar w:fldCharType="separate"/>
      </w:r>
      <w:r>
        <w:rPr>
          <w:rStyle w:val="11"/>
          <w:rFonts w:ascii="宋体" w:hAnsi="宋体" w:eastAsia="宋体"/>
          <w:b w:val="0"/>
          <w:sz w:val="24"/>
        </w:rPr>
        <w:t>https://chinadata.live/api/v2/data/ev-sales-china-vs-world</w:t>
      </w:r>
      <w:r>
        <w:rPr>
          <w:rFonts w:ascii="宋体" w:hAnsi="宋体" w:eastAsia="宋体"/>
          <w:b w:val="0"/>
          <w:sz w:val="24"/>
        </w:rPr>
        <w:fldChar w:fldCharType="end"/>
      </w:r>
    </w:p>
    <w:p w14:paraId="78CB3414">
      <w:pPr>
        <w:spacing w:before="0" w:after="0" w:line="360" w:lineRule="auto"/>
        <w:rPr>
          <w:rFonts w:hint="eastAsia" w:ascii="宋体" w:hAnsi="宋体"/>
          <w:b w:val="0"/>
          <w:sz w:val="24"/>
          <w:lang w:eastAsia="zh-CN"/>
        </w:rPr>
      </w:pPr>
      <w:r>
        <w:rPr>
          <w:rFonts w:hint="eastAsia" w:ascii="宋体" w:hAnsi="宋体"/>
          <w:b w:val="0"/>
          <w:sz w:val="24"/>
          <w:lang w:eastAsia="zh-CN"/>
        </w:rPr>
        <w:t>（3）案例应用背景说明：新能源汽车是我国汽车产业转型升级的重要方向，也是当前制造业、低碳交通和智能网联汽车领域的热点。本案例通过清洗新能源汽车销量、汽车产量和全球对比数据，分析中国新能源汽车市场增长趋势，并展示时间序列数据清洗的基本流程。</w:t>
      </w:r>
    </w:p>
    <w:p w14:paraId="3E54C707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1.2 分析数据集</w:t>
      </w:r>
    </w:p>
    <w:p w14:paraId="73382C2C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（1）原始数据集的名称：中国新能源汽车年度销量数据、中国汽车月度产量数据、中国与全球电动汽车销量对比数据。</w:t>
      </w:r>
    </w:p>
    <w:p w14:paraId="39BF5C7D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（2）数据的记录数量：月度汽车产量原始数据 164 条，补齐完整月份后为 191 条；年度新能源汽车分析表为 14 条。</w:t>
      </w:r>
    </w:p>
    <w:p w14:paraId="138322B7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（3）数据的字段数量：清洗后的月度产量表包含 11 个字段，年度新能源汽车分析表包含 13 个字段。</w:t>
      </w:r>
    </w:p>
    <w:p w14:paraId="0661A057">
      <w:pPr>
        <w:spacing w:before="0" w:after="0" w:line="360" w:lineRule="auto"/>
        <w:rPr>
          <w:rFonts w:hint="eastAsia" w:eastAsia="宋体"/>
          <w:highlight w:val="yellow"/>
          <w:lang w:val="en-US" w:eastAsia="zh-CN"/>
        </w:rPr>
      </w:pPr>
      <w:r>
        <w:rPr>
          <w:rFonts w:ascii="宋体" w:hAnsi="宋体" w:eastAsia="宋体"/>
          <w:b w:val="0"/>
          <w:sz w:val="24"/>
        </w:rPr>
        <w:t xml:space="preserve">（4）数据的字段名称及内涵介绍如下表所示。 </w:t>
      </w:r>
    </w:p>
    <w:p w14:paraId="4600CE4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中国新能源汽车数据集主要字段说明</w:t>
      </w:r>
    </w:p>
    <w:tbl>
      <w:tblPr>
        <w:tblStyle w:val="8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2002"/>
        <w:gridCol w:w="2007"/>
        <w:gridCol w:w="2003"/>
      </w:tblGrid>
      <w:tr w14:paraId="30A83B8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bottom w:val="single" w:color="000000" w:sz="8" w:space="0"/>
            </w:tcBorders>
          </w:tcPr>
          <w:p w14:paraId="46C377D3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特征名称</w:t>
            </w:r>
          </w:p>
        </w:tc>
        <w:tc>
          <w:tcPr>
            <w:tcW w:w="2078" w:type="dxa"/>
            <w:tcBorders>
              <w:bottom w:val="single" w:color="000000" w:sz="8" w:space="0"/>
            </w:tcBorders>
          </w:tcPr>
          <w:p w14:paraId="516DCBA6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含义</w:t>
            </w:r>
          </w:p>
        </w:tc>
        <w:tc>
          <w:tcPr>
            <w:tcW w:w="2078" w:type="dxa"/>
            <w:tcBorders>
              <w:bottom w:val="single" w:color="000000" w:sz="8" w:space="0"/>
            </w:tcBorders>
          </w:tcPr>
          <w:p w14:paraId="284D41B7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单位</w:t>
            </w:r>
          </w:p>
        </w:tc>
        <w:tc>
          <w:tcPr>
            <w:tcW w:w="2078" w:type="dxa"/>
            <w:tcBorders>
              <w:bottom w:val="single" w:color="000000" w:sz="8" w:space="0"/>
            </w:tcBorders>
          </w:tcPr>
          <w:p w14:paraId="523945DF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数据类型</w:t>
            </w:r>
          </w:p>
        </w:tc>
      </w:tr>
      <w:tr w14:paraId="271CCE8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op w:val="single" w:color="000000" w:sz="8" w:space="0"/>
              <w:tl2br w:val="nil"/>
              <w:tr2bl w:val="nil"/>
            </w:tcBorders>
          </w:tcPr>
          <w:p w14:paraId="2804DA01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w="2078" w:type="dxa"/>
            <w:tcBorders>
              <w:top w:val="single" w:color="000000" w:sz="8" w:space="0"/>
              <w:tl2br w:val="nil"/>
              <w:tr2bl w:val="nil"/>
            </w:tcBorders>
          </w:tcPr>
          <w:p w14:paraId="0888D3D4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月份日期</w:t>
            </w:r>
          </w:p>
        </w:tc>
        <w:tc>
          <w:tcPr>
            <w:tcW w:w="2078" w:type="dxa"/>
            <w:tcBorders>
              <w:top w:val="single" w:color="000000" w:sz="8" w:space="0"/>
              <w:tl2br w:val="nil"/>
              <w:tr2bl w:val="nil"/>
            </w:tcBorders>
          </w:tcPr>
          <w:p w14:paraId="07711255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年月</w:t>
            </w:r>
          </w:p>
        </w:tc>
        <w:tc>
          <w:tcPr>
            <w:tcW w:w="2078" w:type="dxa"/>
            <w:tcBorders>
              <w:top w:val="single" w:color="000000" w:sz="8" w:space="0"/>
              <w:tl2br w:val="nil"/>
              <w:tr2bl w:val="nil"/>
            </w:tcBorders>
          </w:tcPr>
          <w:p w14:paraId="677EBBF3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日期</w:t>
            </w:r>
          </w:p>
        </w:tc>
      </w:tr>
      <w:tr w14:paraId="6FF0F53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l2br w:val="nil"/>
              <w:tr2bl w:val="nil"/>
            </w:tcBorders>
          </w:tcPr>
          <w:p w14:paraId="546C537C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production_10k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70E7E54D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汽车月度产量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2F98FD70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万辆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032AD65E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浮点数</w:t>
            </w:r>
          </w:p>
        </w:tc>
      </w:tr>
      <w:tr w14:paraId="4A6A268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l2br w:val="nil"/>
              <w:tr2bl w:val="nil"/>
            </w:tcBorders>
          </w:tcPr>
          <w:p w14:paraId="114CE3E8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production_missing_flag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23148980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原始月份是否缺失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048C899E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0/1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0E7B867C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整数</w:t>
            </w:r>
          </w:p>
        </w:tc>
      </w:tr>
      <w:tr w14:paraId="4DFC7E7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l2br w:val="nil"/>
              <w:tr2bl w:val="nil"/>
            </w:tcBorders>
          </w:tcPr>
          <w:p w14:paraId="75177674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production_filled_10k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4198821E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清洗后汽车月度产量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6AF5B316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万辆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092D1F87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浮点数</w:t>
            </w:r>
          </w:p>
        </w:tc>
      </w:tr>
      <w:tr w14:paraId="6E0B61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l2br w:val="nil"/>
              <w:tr2bl w:val="nil"/>
            </w:tcBorders>
          </w:tcPr>
          <w:p w14:paraId="3CE949DE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production_yoy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4F6EEA56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汽车月度产量同比增速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5368A6E6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比例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07BB5DE2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浮点数</w:t>
            </w:r>
          </w:p>
        </w:tc>
      </w:tr>
      <w:tr w14:paraId="1E69BE9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l2br w:val="nil"/>
              <w:tr2bl w:val="nil"/>
            </w:tcBorders>
          </w:tcPr>
          <w:p w14:paraId="1D954389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nev_sales_10k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2BEE16D3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新能源汽车年度销量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23AB4C26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万辆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7A222C50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浮点数</w:t>
            </w:r>
          </w:p>
        </w:tc>
      </w:tr>
      <w:tr w14:paraId="41AF081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l2br w:val="nil"/>
              <w:tr2bl w:val="nil"/>
            </w:tcBorders>
          </w:tcPr>
          <w:p w14:paraId="2BB29D26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china_world_share_pct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2AACE652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中国电动汽车销量全球占比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40A50337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%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13C9C422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浮点数</w:t>
            </w:r>
          </w:p>
        </w:tc>
      </w:tr>
      <w:tr w14:paraId="05DE631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l2br w:val="nil"/>
              <w:tr2bl w:val="nil"/>
            </w:tcBorders>
          </w:tcPr>
          <w:p w14:paraId="0E26E0A3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policy_stage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1FD8E5AC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新能源汽车发展阶段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388C97F1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类别</w:t>
            </w:r>
          </w:p>
        </w:tc>
        <w:tc>
          <w:tcPr>
            <w:tcW w:w="2078" w:type="dxa"/>
            <w:tcBorders>
              <w:tl2br w:val="nil"/>
              <w:tr2bl w:val="nil"/>
            </w:tcBorders>
          </w:tcPr>
          <w:p w14:paraId="29B59109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文本</w:t>
            </w:r>
          </w:p>
        </w:tc>
      </w:tr>
    </w:tbl>
    <w:p w14:paraId="3D02EB5E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（5）数据集存在的问题：原始 API 表格本身没有空单元格，但月度产量数据不是完整月份序列。按完整月份索引补齐后，可以发现 27 个未单独报告月份，这类问题属于时间序列缺失；不同数据集的时间频率和单位不同，需要统一年份字段、单位口径和字段命名；月度产量存在少量极端值，需要用统计方法检查；年度销量与月度产量汇总需要按年份合并。</w:t>
      </w:r>
    </w:p>
    <w:p w14:paraId="73E70F8D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（6）清洗目标：统一字段格式，补齐完整月份索引，标记并填补未报告月份，检查并处理异常值，构造同比增速、政策阶段、全球占比等分析字段，输出可复现的清洗后数据、质量汇总表和图表。</w:t>
      </w:r>
    </w:p>
    <w:p w14:paraId="6A1A2727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1.3 数据清洗过程</w:t>
      </w:r>
    </w:p>
    <w:p w14:paraId="591BE685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针对原始数据存在的时间序列不完整、字段命名不统一、单位口径不同、缺失月份和异常值等问题，本报告使用 Python 完成数据清洗。具体过程如下表所示。</w:t>
      </w:r>
    </w:p>
    <w:p w14:paraId="54B45D6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数据清洗过程记录</w:t>
      </w:r>
    </w:p>
    <w:tbl>
      <w:tblPr>
        <w:tblStyle w:val="8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B8578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43D3D8D4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清洗步骤</w:t>
            </w:r>
          </w:p>
        </w:tc>
        <w:tc>
          <w:tcPr>
            <w:tcW w:w="4156" w:type="dxa"/>
          </w:tcPr>
          <w:p w14:paraId="29D4F263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处理说明</w:t>
            </w:r>
          </w:p>
        </w:tc>
      </w:tr>
      <w:tr w14:paraId="7C9478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60EF0346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字段规范化</w:t>
            </w:r>
          </w:p>
        </w:tc>
        <w:tc>
          <w:tcPr>
            <w:tcW w:w="4156" w:type="dxa"/>
          </w:tcPr>
          <w:p w14:paraId="2707EF60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将月度产量字段统一为 date、production_10k，并转换日期类型。</w:t>
            </w:r>
          </w:p>
        </w:tc>
      </w:tr>
      <w:tr w14:paraId="62E292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32D45B88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补全时间索引</w:t>
            </w:r>
          </w:p>
        </w:tc>
        <w:tc>
          <w:tcPr>
            <w:tcW w:w="4156" w:type="dxa"/>
          </w:tcPr>
          <w:p w14:paraId="78665B3F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补齐完整月份序列，新增 27 条原始未报告月份。</w:t>
            </w:r>
          </w:p>
        </w:tc>
      </w:tr>
      <w:tr w14:paraId="72C1D0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6116B5EB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缺失值和异常值处理</w:t>
            </w:r>
          </w:p>
        </w:tc>
        <w:tc>
          <w:tcPr>
            <w:tcW w:w="4156" w:type="dxa"/>
          </w:tcPr>
          <w:p w14:paraId="27B4D8C3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缺失值使用同月历史中位数填补；IQR 截尾范围 [54.6, 132.2]，调整 3 个值。</w:t>
            </w:r>
          </w:p>
        </w:tc>
      </w:tr>
      <w:tr w14:paraId="5EF103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15C714A7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特征构造</w:t>
            </w:r>
          </w:p>
        </w:tc>
        <w:tc>
          <w:tcPr>
            <w:tcW w:w="4156" w:type="dxa"/>
          </w:tcPr>
          <w:p w14:paraId="19F12CA8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新增 year、month、quarter、production_yoy、production_level 等字段。</w:t>
            </w:r>
          </w:p>
        </w:tc>
      </w:tr>
      <w:tr w14:paraId="6C2499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2B3AFE61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年度数据合并</w:t>
            </w:r>
          </w:p>
        </w:tc>
        <w:tc>
          <w:tcPr>
            <w:tcW w:w="4156" w:type="dxa"/>
          </w:tcPr>
          <w:p w14:paraId="1F9130FE">
            <w:pPr>
              <w:spacing w:before="0" w:after="0" w:line="360" w:lineRule="auto"/>
            </w:pPr>
            <w:r>
              <w:rPr>
                <w:rFonts w:ascii="宋体" w:hAnsi="宋体" w:eastAsia="宋体"/>
                <w:sz w:val="20"/>
              </w:rPr>
              <w:t>合并年度销量、年度产量汇总和全球对比数据，新增同比增速、全球占比和政策阶段。</w:t>
            </w:r>
          </w:p>
        </w:tc>
      </w:tr>
    </w:tbl>
    <w:p w14:paraId="6C676E37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1.4 数据清洗前后对比</w:t>
      </w:r>
    </w:p>
    <w:p w14:paraId="075A746E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本节只展示数据清洗前后的直接对比。清洗后，月度产量表和年度分析表的缺失值均为 0。需要说明的是，原始 API 数据没有空单元格，真正的问题是缺少部分月份记录；月度数据从原始 164 条补齐为 191 条，填补前识别出 27 个时间序列缺失值，清洗后全部补齐，解决了时间序列不连续的问题。异常值方面，月度产量使用 IQR 方法检查，截尾范围为 [54.6, 132.2]，共调整 3 个极端值。</w:t>
      </w:r>
    </w:p>
    <w:p w14:paraId="1BBF92DD">
      <w:pPr>
        <w:keepNext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892040" cy="2924810"/>
            <wp:effectExtent l="0" t="0" r="10160" b="8890"/>
            <wp:docPr id="9" name="图片 9" descr="01_missing_before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 descr="01_missing_before_aft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2947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补齐月份后填补前与清洗后缺失值对比</w:t>
      </w:r>
    </w:p>
    <w:p w14:paraId="3A7E4E74">
      <w:pPr>
        <w:spacing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该图用于比较补齐完整月份后、缺失值填补前与清洗后的字段缺失情况。清洗前主要问题集中在补齐月份产生的 production_10k 缺失，经过同月历史中位数填补后，清洗后数据集中缺失值数量降为 0，说明时间序列完整性得到改善。</w:t>
      </w:r>
    </w:p>
    <w:p w14:paraId="031CD179">
      <w:pPr>
        <w:keepNext/>
        <w:jc w:val="center"/>
      </w:pPr>
      <w:r>
        <w:drawing>
          <wp:inline distT="0" distB="0" distL="114300" distR="114300">
            <wp:extent cx="4892040" cy="1956435"/>
            <wp:effectExtent l="0" t="0" r="10160" b="12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A6DB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月度产量异常值处理前后对比</w:t>
      </w:r>
    </w:p>
    <w:p w14:paraId="2CF01519">
      <w:pPr>
        <w:spacing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该图展示月度汽车产量在异常值处理前后的分布差异。处理前箱线图中存在少量极端高值，经过 IQR 方法识别并截尾后，数据分布更加集中，减少了极端值对年度汇总和趋势分析的影响。</w:t>
      </w:r>
    </w:p>
    <w:p w14:paraId="0F726E3B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1.5 清洗后数据分析结果</w:t>
      </w:r>
    </w:p>
    <w:p w14:paraId="53704A7D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本节基于清洗后的数据进行趋势分析和业务对比分析。年度表将新能源汽车销量、年度汽车产量汇总和全球对比数据按年份合并，便于进行趋势分析。2024 年中国新能源汽车销量为 1286.6 万辆，折合约 12.866 百万辆；中国电动汽车销量全球占比约为 64.7%。从趋势看，2021 年以后中国新能源汽车销量进入规模化增长阶段，全球占比长期保持较高水平。</w:t>
      </w:r>
    </w:p>
    <w:p w14:paraId="59EB0EF5">
      <w:pPr>
        <w:keepNext/>
        <w:jc w:val="center"/>
      </w:pPr>
      <w:r>
        <w:drawing>
          <wp:inline distT="0" distB="0" distL="114300" distR="114300">
            <wp:extent cx="4892040" cy="2446020"/>
            <wp:effectExtent l="0" t="0" r="10160" b="5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7B73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清洗后中国新能源汽车年度销量趋势</w:t>
      </w:r>
    </w:p>
    <w:p w14:paraId="766C1E11">
      <w:pPr>
        <w:spacing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该图展示清洗后中国新能源汽车年度销量的变化趋势。结果显示，2021 年以后销量增长明显加快，说明中国新能源汽车市场由导入阶段进入规模化增长阶段，清洗后的年度数据能够较清晰地反映产业增长趋势。</w:t>
      </w:r>
    </w:p>
    <w:p w14:paraId="09FADAFC">
      <w:pPr>
        <w:keepNext/>
        <w:jc w:val="center"/>
      </w:pPr>
      <w:r>
        <w:drawing>
          <wp:inline distT="0" distB="0" distL="114300" distR="114300">
            <wp:extent cx="4892040" cy="2446020"/>
            <wp:effectExtent l="0" t="0" r="10160" b="5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E870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清洗后中国新能源汽车年度销量同比增速</w:t>
      </w:r>
    </w:p>
    <w:p w14:paraId="226B02E1">
      <w:pPr>
        <w:spacing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该图展示清洗后年度销量的同比增速变化。同比增速可以反映不同年份增长速度的波动情况，其中高增速年份对应市场快速扩张阶段，后续增速回落则说明市场规模扩大后增长逐渐趋于稳定。</w:t>
      </w:r>
    </w:p>
    <w:p w14:paraId="6890BAF6">
      <w:pPr>
        <w:keepNext/>
        <w:jc w:val="center"/>
      </w:pPr>
      <w:r>
        <w:drawing>
          <wp:inline distT="0" distB="0" distL="114300" distR="114300">
            <wp:extent cx="4892040" cy="2223135"/>
            <wp:effectExtent l="0" t="0" r="10160" b="12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2D00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清洗后中国汽车月度产量趋势</w:t>
      </w:r>
    </w:p>
    <w:p w14:paraId="1FE7BB52">
      <w:pPr>
        <w:spacing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该图展示清洗后的中国汽车月度产量序列。经过月份补齐、缺失填补和异常值处理后，月度曲线更加连续，便于观察汽车产量的季节性波动和长期变化趋势。</w:t>
      </w:r>
    </w:p>
    <w:p w14:paraId="5AE7F009">
      <w:pPr>
        <w:keepNext/>
        <w:jc w:val="center"/>
      </w:pPr>
      <w:r>
        <w:drawing>
          <wp:inline distT="0" distB="0" distL="114300" distR="114300">
            <wp:extent cx="4892040" cy="2717800"/>
            <wp:effectExtent l="0" t="0" r="1016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AAF8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清洗后中国电动汽车销量全球占比</w:t>
      </w:r>
    </w:p>
    <w:p w14:paraId="02DEF5AA">
      <w:pPr>
        <w:spacing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该图展示清洗后中国电动汽车销量在全球销量中的占比变化。中国占比整体保持在较高水平，说明中国市场在全球电动汽车增长中具有重要地位，也体现了政策推动、产业链完善和市场需求扩大的共同作用。</w:t>
      </w:r>
    </w:p>
    <w:p w14:paraId="3FCCA86B">
      <w:pPr>
        <w:keepNext/>
        <w:jc w:val="center"/>
      </w:pPr>
      <w:r>
        <w:drawing>
          <wp:inline distT="0" distB="0" distL="114300" distR="114300">
            <wp:extent cx="4892040" cy="2446020"/>
            <wp:effectExtent l="0" t="0" r="10160" b="5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52F4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清洗后中国与世界其他地区电动汽车销量业务对比</w:t>
      </w:r>
    </w:p>
    <w:p w14:paraId="17EB04F1">
      <w:pPr>
        <w:spacing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该图对比清洗后中国与世界其他地区电动汽车销量变化。图中可以看出，中国销量增长速度在近几年明显快于世界其他地区，反映出中国电动汽车市场扩张速度较快，但该图属于业务对比分析，并不是清洗前后对比图。</w:t>
      </w:r>
    </w:p>
    <w:p w14:paraId="2E55DD86">
      <w:pPr>
        <w:keepNext/>
        <w:jc w:val="center"/>
      </w:pPr>
      <w:r>
        <w:drawing>
          <wp:inline distT="0" distB="0" distL="114300" distR="114300">
            <wp:extent cx="4892040" cy="3669030"/>
            <wp:effectExtent l="0" t="0" r="10160" b="12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ABCA">
      <w:pPr>
        <w:pStyle w:val="4"/>
        <w:jc w:val="center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清洗后年度新能源汽车关键指标相关系数热力图</w:t>
      </w:r>
    </w:p>
    <w:p w14:paraId="4F1FE497">
      <w:pPr>
        <w:spacing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该图展示清洗后年度关键指标之间的相关关系。销量、年度产量、全球占比和同比增速等指标之间的相关程度，可以辅助判断变量之间是否存在同步变化关系，但相关性不等于因果关系，仍需结合产业背景解释。</w:t>
      </w:r>
    </w:p>
    <w:p w14:paraId="1529CBE2">
      <w:pPr>
        <w:spacing w:before="0" w:after="0" w:line="360" w:lineRule="auto"/>
        <w:rPr>
          <w:rFonts w:hint="eastAsia"/>
          <w:lang w:eastAsia="zh-CN"/>
        </w:rPr>
      </w:pPr>
    </w:p>
    <w:p w14:paraId="504BDF89">
      <w:pPr>
        <w:spacing w:before="0" w:after="0" w:line="360" w:lineRule="auto"/>
      </w:pPr>
      <w:r>
        <w:rPr>
          <w:rFonts w:ascii="黑体" w:hAnsi="黑体" w:eastAsia="黑体"/>
          <w:b/>
          <w:sz w:val="28"/>
        </w:rPr>
        <w:t>2 数据清洗综述</w:t>
      </w:r>
    </w:p>
    <w:p w14:paraId="6B1EF3F8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2.1基本概念及内涵</w:t>
      </w:r>
    </w:p>
    <w:p w14:paraId="31B5C19D">
      <w:pPr>
        <w:spacing w:before="0" w:after="0" w:line="360" w:lineRule="auto"/>
        <w:rPr>
          <w:rFonts w:hint="eastAsia" w:ascii="宋体" w:hAnsi="宋体"/>
          <w:b w:val="0"/>
          <w:sz w:val="24"/>
          <w:lang w:eastAsia="zh-CN"/>
        </w:rPr>
      </w:pPr>
      <w:r>
        <w:rPr>
          <w:rFonts w:hint="eastAsia" w:ascii="宋体" w:hAnsi="宋体"/>
          <w:b w:val="0"/>
          <w:sz w:val="24"/>
          <w:lang w:eastAsia="zh-CN"/>
        </w:rPr>
        <w:t>数据清洗是数据预处理的重要组成部分，主要用于识别并处理数据中的缺失值、重复值、异常值、格式不一致、编码不统一和逻辑冲突等问题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begin"/>
      </w:r>
      <w:r>
        <w:instrText xml:space="preserve"> REF _Ref19987 \r \h  \* MERGEFORMAT</w:instrTex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separate"/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t>[1]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end"/>
      </w:r>
      <w:r>
        <w:rPr>
          <w:rFonts w:hint="eastAsia" w:ascii="宋体" w:hAnsi="宋体"/>
          <w:b w:val="0"/>
          <w:sz w:val="24"/>
          <w:lang w:eastAsia="zh-CN"/>
        </w:rPr>
        <w:t>。国内关于数据清理的研究普遍认为，数据清洗不仅是简单地删除错误记录，更重要的是结合业务背景判断问题产生的原因，并通过可复现的规则对数据进行修正和验证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begin"/>
      </w:r>
      <w:r>
        <w:instrText xml:space="preserve"> REF _Ref20095 \r \h  \* MERGEFORMAT</w:instrTex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separate"/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t>[2]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end"/>
      </w:r>
      <w:r>
        <w:rPr>
          <w:rFonts w:hint="eastAsia" w:ascii="宋体" w:hAnsi="宋体"/>
          <w:b w:val="0"/>
          <w:sz w:val="24"/>
          <w:lang w:eastAsia="zh-CN"/>
        </w:rPr>
        <w:t>。对于本报告使用的中国新能源汽车数据而言，数据质量问题主要体现在时间序列不完整、月度统计缺口、指标单位不一致和跨数据源合并口径不同等方面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begin"/>
      </w:r>
      <w:r>
        <w:instrText xml:space="preserve"> REF _Ref20137 \r \h  \* MERGEFORMAT</w:instrTex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separate"/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t>[3]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end"/>
      </w:r>
      <w:r>
        <w:rPr>
          <w:rFonts w:hint="eastAsia" w:ascii="宋体" w:hAnsi="宋体"/>
          <w:b w:val="0"/>
          <w:sz w:val="24"/>
          <w:lang w:eastAsia="zh-CN"/>
        </w:rPr>
        <w:t>。</w:t>
      </w:r>
    </w:p>
    <w:p w14:paraId="5EAD1E44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2.2 数据清洗主要内容。</w:t>
      </w:r>
    </w:p>
    <w:p w14:paraId="3A1561C5">
      <w:pPr>
        <w:spacing w:before="0" w:after="0" w:line="360" w:lineRule="auto"/>
        <w:ind w:firstLine="480"/>
        <w:rPr>
          <w:rFonts w:hint="eastAsia" w:ascii="宋体" w:hAnsi="宋体"/>
          <w:b w:val="0"/>
          <w:sz w:val="24"/>
          <w:lang w:eastAsia="zh-CN"/>
        </w:rPr>
      </w:pPr>
      <w:r>
        <w:rPr>
          <w:rFonts w:hint="eastAsia" w:ascii="宋体" w:hAnsi="宋体"/>
          <w:b w:val="0"/>
          <w:sz w:val="24"/>
          <w:lang w:eastAsia="zh-CN"/>
        </w:rPr>
        <w:t>数据清洗的主要内容包括数据剖析、缺失值处理、重复值处理、异常值检测、格式标准化、数据转换、数据集成和清洗结果验证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begin"/>
      </w:r>
      <w:r>
        <w:instrText xml:space="preserve"> REF _Ref20189 \r \h  \* MERGEFORMAT</w:instrTex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separate"/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t>[4]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end"/>
      </w:r>
      <w:r>
        <w:rPr>
          <w:rFonts w:hint="eastAsia" w:ascii="宋体" w:hAnsi="宋体"/>
          <w:b w:val="0"/>
          <w:sz w:val="24"/>
          <w:lang w:eastAsia="zh-CN"/>
        </w:rPr>
        <w:t>。常用方法包括众数填补、中位数填补、分组填补、插值法、IQR 异常值检测、标准差法、正则表达式解析和基于业务规则的逻辑校验等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begin"/>
      </w:r>
      <w:r>
        <w:instrText xml:space="preserve"> REF _Ref20238 \r \h  \* MERGEFORMAT</w:instrTex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separate"/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t>[5]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end"/>
      </w:r>
      <w:r>
        <w:rPr>
          <w:rFonts w:hint="eastAsia" w:ascii="宋体" w:hAnsi="宋体"/>
          <w:b w:val="0"/>
          <w:sz w:val="24"/>
          <w:lang w:eastAsia="zh-CN"/>
        </w:rPr>
        <w:t>。Python 中的 Pandas、NumPy、Matplotlib 和 Seaborn 能够较好地支持课程案例中的数据清洗与可视化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begin"/>
      </w:r>
      <w:r>
        <w:instrText xml:space="preserve"> REF _Ref20291 \r \h  \* MERGEFORMAT</w:instrTex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separate"/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t>[6]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end"/>
      </w:r>
      <w:r>
        <w:rPr>
          <w:rFonts w:hint="eastAsia" w:ascii="宋体" w:hAnsi="宋体"/>
          <w:b w:val="0"/>
          <w:sz w:val="24"/>
          <w:lang w:eastAsia="zh-CN"/>
        </w:rPr>
        <w:t>。</w:t>
      </w:r>
    </w:p>
    <w:p w14:paraId="11F4A430">
      <w:pPr>
        <w:spacing w:before="0" w:after="0" w:line="360" w:lineRule="auto"/>
        <w:rPr>
          <w:rFonts w:hint="eastAsia" w:ascii="宋体" w:hAnsi="宋体"/>
          <w:b w:val="0"/>
          <w:sz w:val="24"/>
          <w:lang w:eastAsia="zh-CN"/>
        </w:rPr>
      </w:pPr>
      <w:r>
        <w:rPr>
          <w:rFonts w:hint="eastAsia" w:ascii="宋体" w:hAnsi="宋体"/>
          <w:b w:val="0"/>
          <w:sz w:val="24"/>
          <w:lang w:eastAsia="zh-CN"/>
        </w:rPr>
        <w:t>在本案例中，月度产量数据首先被转换为标准日期格式，然后按完整月份序列补齐。对未单独报告的月份，本报告保留 production_missing_flag 字段作为缺失标记，并用同月历史中位数填补。对于极端月度产量，采用 IQR 方法进行检查和截尾处理。年度数据部分则按 year 字段合并新能源汽车销量、汽车产量和全球对比数据，并构造同比增速、全球占比和政策阶段等分析字段。</w:t>
      </w:r>
    </w:p>
    <w:p w14:paraId="65AEEB9D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2.3 应用领域</w:t>
      </w:r>
    </w:p>
    <w:p w14:paraId="1E7FA7B9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清洗广泛应用于政府统计、金融风控、医疗健康、电子商务、工业制造、交通出行和能源管理等领域。在新能源汽车领域，数据清洗可以用于产销量统计、充电基础设施分析、用户行为研究、产业链监测、市场预测和政策效果评估等任务。高质量的数据清洗能够提升后续统计分析和预测建模的可靠性。</w:t>
      </w:r>
    </w:p>
    <w:p w14:paraId="67F9521A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2.4 热点问题或难点问题</w:t>
      </w:r>
    </w:p>
    <w:p w14:paraId="7949C9A1">
      <w:pPr>
        <w:spacing w:before="0" w:after="0" w:line="360" w:lineRule="auto"/>
        <w:rPr>
          <w:rFonts w:hint="eastAsia" w:ascii="宋体" w:hAnsi="宋体"/>
          <w:b w:val="0"/>
          <w:sz w:val="24"/>
          <w:lang w:eastAsia="zh-CN"/>
        </w:rPr>
      </w:pPr>
      <w:r>
        <w:rPr>
          <w:rFonts w:hint="eastAsia" w:ascii="宋体" w:hAnsi="宋体"/>
          <w:b w:val="0"/>
          <w:sz w:val="24"/>
          <w:lang w:eastAsia="zh-CN"/>
        </w:rPr>
        <w:t>当前数据清洗的热点问题包括大规模数据自动清洗、多源异构数据融合、缺失值机制识别、异常值自动检测、清洗规则可解释性和清洗过程可追溯等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begin"/>
      </w:r>
      <w:r>
        <w:instrText xml:space="preserve"> REF _Ref20340 \r \h  \* MERGEFORMAT</w:instrTex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separate"/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t>[7]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end"/>
      </w:r>
      <w:r>
        <w:rPr>
          <w:rFonts w:hint="eastAsia" w:ascii="宋体" w:hAnsi="宋体"/>
          <w:b w:val="0"/>
          <w:sz w:val="24"/>
          <w:lang w:eastAsia="zh-CN"/>
        </w:rPr>
        <w:t>。新能源汽车数据具有统计口径多、更新频率不同、产业链环节复杂等特点，因此在清洗过程中既要关注数值分布，也要关注数据来源和指标含义。例如，新能源汽车销量和汽车产量属于不同统计口径，不能简单把二者相除解释为严格渗透率，只能作为口径对比指标辅助观察趋势。针对大数据环境下的异常识别与清洗任务，已有研究尝试将改进 K-means 等聚类方法用于提升数据清洗效率，这也说明自动化清洗方法正在成为重要方向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begin"/>
      </w:r>
      <w:r>
        <w:instrText xml:space="preserve"> REF _Ref20382 \r \h  \* MERGEFORMAT</w:instrTex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separate"/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t>[8]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end"/>
      </w:r>
      <w:r>
        <w:rPr>
          <w:rFonts w:hint="eastAsia" w:ascii="宋体" w:hAnsi="宋体"/>
          <w:b w:val="0"/>
          <w:sz w:val="24"/>
          <w:lang w:eastAsia="zh-CN"/>
        </w:rPr>
        <w:t>。</w:t>
      </w:r>
    </w:p>
    <w:p w14:paraId="11A17DA3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2.5 今后的发展趋势</w:t>
      </w:r>
    </w:p>
    <w:p w14:paraId="7E1A33E3">
      <w:pPr>
        <w:spacing w:before="0" w:after="0" w:line="360" w:lineRule="auto"/>
        <w:rPr>
          <w:rFonts w:hint="eastAsia" w:ascii="宋体" w:hAnsi="宋体"/>
          <w:b w:val="0"/>
          <w:sz w:val="24"/>
          <w:lang w:eastAsia="zh-CN"/>
        </w:rPr>
      </w:pPr>
      <w:r>
        <w:rPr>
          <w:rFonts w:hint="eastAsia" w:ascii="宋体" w:hAnsi="宋体"/>
          <w:b w:val="0"/>
          <w:sz w:val="24"/>
          <w:lang w:eastAsia="zh-CN"/>
        </w:rPr>
        <w:t>未来数据清洗将更加重视自动化、智能化和可解释性。一方面，机器学习和大语言模型可以辅助识别字段语义、推荐清洗规则和生成数据质量报告；另一方面，关键行业数据仍然需要人工结合业务背景进行判断。新能源汽车产业仍处在快速发展过程中，相关研究指出其发展同时面临产业协同、基础设施和市场竞争等问题，因此后续可以继续融合充电桩、地区经济、人口规模和政策补贴等数据，构建更加完整的数据分析体系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begin"/>
      </w:r>
      <w:r>
        <w:instrText xml:space="preserve"> REF _Ref20425 \r \h  \* MERGEFORMAT</w:instrTex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separate"/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t>[9]</w:t>
      </w:r>
      <w:r>
        <w:rPr>
          <w:rFonts w:hint="eastAsia" w:ascii="宋体" w:hAnsi="宋体"/>
          <w:b w:val="0"/>
          <w:sz w:val="24"/>
          <w:vertAlign w:val="superscript"/>
          <w:lang w:eastAsia="zh-CN"/>
        </w:rPr>
        <w:fldChar w:fldCharType="end"/>
      </w:r>
      <w:r>
        <w:rPr>
          <w:rFonts w:hint="eastAsia" w:ascii="宋体" w:hAnsi="宋体"/>
          <w:b w:val="0"/>
          <w:sz w:val="24"/>
          <w:lang w:eastAsia="zh-CN"/>
        </w:rPr>
        <w:t>。</w:t>
      </w:r>
    </w:p>
    <w:p w14:paraId="19AE110A">
      <w:pPr>
        <w:spacing w:before="0" w:after="0" w:line="360" w:lineRule="auto"/>
      </w:pPr>
      <w:r>
        <w:rPr>
          <w:rFonts w:ascii="黑体" w:hAnsi="黑体" w:eastAsia="黑体"/>
          <w:b/>
          <w:sz w:val="24"/>
        </w:rPr>
        <w:t>参考文献：</w:t>
      </w:r>
    </w:p>
    <w:p w14:paraId="6C446773">
      <w:pPr>
        <w:numPr>
          <w:ilvl w:val="0"/>
          <w:numId w:val="1"/>
        </w:numPr>
        <w:spacing w:before="0" w:after="0" w:line="360" w:lineRule="auto"/>
        <w:ind w:left="425" w:leftChars="0" w:hanging="425" w:firstLineChars="0"/>
      </w:pPr>
      <w:bookmarkStart w:id="0" w:name="_Ref19987"/>
      <w:r>
        <w:rPr>
          <w:rFonts w:ascii="宋体" w:hAnsi="宋体" w:eastAsia="宋体"/>
          <w:b w:val="0"/>
          <w:sz w:val="24"/>
        </w:rPr>
        <w:t>郭志懋, 周傲英. 数据质量和数据清洗研究综述[J]. 软件学报, 2002, 13(11): 2076-2082.</w:t>
      </w:r>
      <w:bookmarkEnd w:id="0"/>
    </w:p>
    <w:p w14:paraId="0DB83369">
      <w:pPr>
        <w:numPr>
          <w:ilvl w:val="0"/>
          <w:numId w:val="1"/>
        </w:numPr>
        <w:spacing w:before="0" w:after="0" w:line="360" w:lineRule="auto"/>
        <w:ind w:left="425" w:leftChars="0" w:hanging="425" w:firstLineChars="0"/>
      </w:pPr>
      <w:bookmarkStart w:id="1" w:name="_Ref20095"/>
      <w:r>
        <w:rPr>
          <w:rFonts w:ascii="宋体" w:hAnsi="宋体" w:eastAsia="宋体"/>
          <w:b w:val="0"/>
          <w:sz w:val="24"/>
        </w:rPr>
        <w:t>杨辅祥, 刘云超, 段智华. 数据清理综述[J]. 计算机应用研究, 2002, 19(3): 3-5.</w:t>
      </w:r>
      <w:bookmarkEnd w:id="1"/>
    </w:p>
    <w:p w14:paraId="62F0C94F">
      <w:pPr>
        <w:numPr>
          <w:ilvl w:val="0"/>
          <w:numId w:val="1"/>
        </w:numPr>
        <w:spacing w:before="0" w:after="0" w:line="360" w:lineRule="auto"/>
        <w:ind w:left="425" w:leftChars="0" w:hanging="425" w:firstLineChars="0"/>
      </w:pPr>
      <w:bookmarkStart w:id="2" w:name="_Ref20137"/>
      <w:r>
        <w:rPr>
          <w:rFonts w:ascii="宋体" w:hAnsi="宋体" w:eastAsia="宋体"/>
          <w:b w:val="0"/>
          <w:sz w:val="24"/>
        </w:rPr>
        <w:t>王曰芬, 章成志, 张蓓蓓, 等. 数据清洗研究综述[J]. 现代图书情报技术, 2007(12): 50-56.</w:t>
      </w:r>
      <w:bookmarkEnd w:id="2"/>
    </w:p>
    <w:p w14:paraId="2915810D">
      <w:pPr>
        <w:numPr>
          <w:ilvl w:val="0"/>
          <w:numId w:val="1"/>
        </w:numPr>
        <w:spacing w:before="0" w:after="0" w:line="360" w:lineRule="auto"/>
        <w:ind w:left="425" w:leftChars="0" w:hanging="425" w:firstLineChars="0"/>
      </w:pPr>
      <w:bookmarkStart w:id="3" w:name="_Ref20189"/>
      <w:r>
        <w:rPr>
          <w:rFonts w:ascii="宋体" w:hAnsi="宋体" w:eastAsia="宋体"/>
          <w:b w:val="0"/>
          <w:sz w:val="24"/>
        </w:rPr>
        <w:t>赵一凡, 卞良, 丛昕. 数据清洗方法研究综述[J]. 软件导刊, 2017, 16(12): 222-224.</w:t>
      </w:r>
      <w:bookmarkEnd w:id="3"/>
    </w:p>
    <w:p w14:paraId="6E9032C6">
      <w:pPr>
        <w:numPr>
          <w:ilvl w:val="0"/>
          <w:numId w:val="1"/>
        </w:numPr>
        <w:spacing w:before="0" w:after="0" w:line="360" w:lineRule="auto"/>
        <w:ind w:left="425" w:leftChars="0" w:hanging="425" w:firstLineChars="0"/>
      </w:pPr>
      <w:bookmarkStart w:id="4" w:name="_Ref20238"/>
      <w:r>
        <w:rPr>
          <w:rFonts w:ascii="宋体" w:hAnsi="宋体" w:eastAsia="宋体"/>
          <w:b w:val="0"/>
          <w:sz w:val="24"/>
        </w:rPr>
        <w:t>郝爽, 李国良, 冯建华, 等. 结构化数据清洗方法综述[J]. 清华大学学报(自然科学版), 2018, 58(12): 1037-1050.</w:t>
      </w:r>
      <w:bookmarkEnd w:id="4"/>
    </w:p>
    <w:p w14:paraId="697599B2">
      <w:pPr>
        <w:numPr>
          <w:ilvl w:val="0"/>
          <w:numId w:val="1"/>
        </w:numPr>
        <w:spacing w:before="0" w:after="0" w:line="360" w:lineRule="auto"/>
        <w:ind w:left="425" w:leftChars="0" w:hanging="425" w:firstLineChars="0"/>
      </w:pPr>
      <w:bookmarkStart w:id="5" w:name="_Ref20291"/>
      <w:r>
        <w:rPr>
          <w:rFonts w:ascii="宋体" w:hAnsi="宋体" w:eastAsia="宋体"/>
          <w:b w:val="0"/>
          <w:sz w:val="24"/>
        </w:rPr>
        <w:t>王铭军, 潘巧明, 刘真, 陈为. 可视数据清洗综述[J]. 中国图象图形学报, 2015, 20(4): 468-482.</w:t>
      </w:r>
      <w:bookmarkEnd w:id="5"/>
    </w:p>
    <w:p w14:paraId="53449299">
      <w:pPr>
        <w:numPr>
          <w:ilvl w:val="0"/>
          <w:numId w:val="1"/>
        </w:numPr>
        <w:spacing w:before="0" w:after="0" w:line="360" w:lineRule="auto"/>
        <w:ind w:left="425" w:leftChars="0" w:hanging="425" w:firstLineChars="0"/>
      </w:pPr>
      <w:bookmarkStart w:id="6" w:name="_Ref20340"/>
      <w:r>
        <w:rPr>
          <w:rFonts w:ascii="宋体" w:hAnsi="宋体" w:eastAsia="宋体"/>
          <w:b w:val="0"/>
          <w:sz w:val="24"/>
        </w:rPr>
        <w:t>杨东华, 李宁宁, 王宏志, 等. 基于任务合并的并行大数据清洗过程优化[J]. 计算机学报, 2016, 39(1): 97-108.</w:t>
      </w:r>
      <w:bookmarkEnd w:id="6"/>
    </w:p>
    <w:p w14:paraId="4C10F9F2">
      <w:pPr>
        <w:numPr>
          <w:ilvl w:val="0"/>
          <w:numId w:val="1"/>
        </w:numPr>
        <w:spacing w:before="0" w:after="0" w:line="360" w:lineRule="auto"/>
        <w:ind w:left="425" w:leftChars="0" w:hanging="425" w:firstLineChars="0"/>
        <w:rPr>
          <w:rFonts w:hint="eastAsia" w:eastAsia="宋体"/>
          <w:lang w:eastAsia="zh-CN"/>
        </w:rPr>
      </w:pPr>
      <w:bookmarkStart w:id="7" w:name="_Ref20382"/>
      <w:r>
        <w:rPr>
          <w:rFonts w:hint="eastAsia" w:ascii="宋体" w:hAnsi="宋体"/>
          <w:b w:val="0"/>
          <w:sz w:val="24"/>
          <w:lang w:eastAsia="zh-CN"/>
        </w:rPr>
        <w:t>彭勃, 李耀东, 龚贤夫. 基于自编码的改进K-means光伏能源数据清洗方法[J]. 计算机科学, 2024, 51(6A): 230700070-5.</w:t>
      </w:r>
      <w:bookmarkEnd w:id="7"/>
    </w:p>
    <w:p w14:paraId="29E54ED8">
      <w:pPr>
        <w:numPr>
          <w:ilvl w:val="0"/>
          <w:numId w:val="1"/>
        </w:numPr>
        <w:spacing w:before="0" w:after="0" w:line="360" w:lineRule="auto"/>
        <w:ind w:left="425" w:leftChars="0" w:hanging="425" w:firstLineChars="0"/>
        <w:rPr>
          <w:rFonts w:hint="eastAsia" w:eastAsia="宋体"/>
          <w:lang w:eastAsia="zh-CN"/>
        </w:rPr>
      </w:pPr>
      <w:bookmarkStart w:id="8" w:name="_Ref20425"/>
      <w:r>
        <w:rPr>
          <w:rFonts w:hint="eastAsia" w:ascii="宋体" w:hAnsi="宋体"/>
          <w:b w:val="0"/>
          <w:sz w:val="24"/>
          <w:lang w:eastAsia="zh-CN"/>
        </w:rPr>
        <w:t>宁太宇, 欧阳鸿武, 陈家一, 等. 新能源汽车产业发展现状和问题[J]. 现代交通与冶金材料, 2023, 3(4): 47-56.</w:t>
      </w:r>
      <w:bookmarkEnd w:id="8"/>
    </w:p>
    <w:sectPr>
      <w:footerReference r:id="rId4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74E6B">
    <w:pPr>
      <w:pStyle w:val="6"/>
      <w:jc w:val="center"/>
    </w:pPr>
  </w:p>
  <w:p w14:paraId="104496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53561471"/>
      <w:docPartObj>
        <w:docPartGallery w:val="autotext"/>
      </w:docPartObj>
    </w:sdtPr>
    <w:sdtContent>
      <w:p w14:paraId="512533FE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018C54BE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9CDFB7"/>
    <w:multiLevelType w:val="singleLevel"/>
    <w:tmpl w:val="4B9CDFB7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FD6"/>
    <w:rsid w:val="00006FD6"/>
    <w:rsid w:val="00027257"/>
    <w:rsid w:val="000B04FB"/>
    <w:rsid w:val="000B318A"/>
    <w:rsid w:val="000E415B"/>
    <w:rsid w:val="0010132E"/>
    <w:rsid w:val="00176C77"/>
    <w:rsid w:val="001C22C9"/>
    <w:rsid w:val="001E704C"/>
    <w:rsid w:val="002658EE"/>
    <w:rsid w:val="00273189"/>
    <w:rsid w:val="002841C2"/>
    <w:rsid w:val="002F3BD5"/>
    <w:rsid w:val="00323911"/>
    <w:rsid w:val="003958F5"/>
    <w:rsid w:val="00447267"/>
    <w:rsid w:val="00476A15"/>
    <w:rsid w:val="004B09D3"/>
    <w:rsid w:val="004C744F"/>
    <w:rsid w:val="004F312B"/>
    <w:rsid w:val="0052084D"/>
    <w:rsid w:val="0056367D"/>
    <w:rsid w:val="0058775A"/>
    <w:rsid w:val="005F12D3"/>
    <w:rsid w:val="00603AE0"/>
    <w:rsid w:val="006360A1"/>
    <w:rsid w:val="0069354B"/>
    <w:rsid w:val="006A6323"/>
    <w:rsid w:val="00714622"/>
    <w:rsid w:val="00812C10"/>
    <w:rsid w:val="008C14FD"/>
    <w:rsid w:val="00926621"/>
    <w:rsid w:val="0093159B"/>
    <w:rsid w:val="0094252A"/>
    <w:rsid w:val="00962195"/>
    <w:rsid w:val="00990276"/>
    <w:rsid w:val="009F6B0E"/>
    <w:rsid w:val="00A01564"/>
    <w:rsid w:val="00A7608A"/>
    <w:rsid w:val="00B07633"/>
    <w:rsid w:val="00B229F1"/>
    <w:rsid w:val="00B309C5"/>
    <w:rsid w:val="00B64F91"/>
    <w:rsid w:val="00C17191"/>
    <w:rsid w:val="00C4524D"/>
    <w:rsid w:val="00C61546"/>
    <w:rsid w:val="00C86953"/>
    <w:rsid w:val="00CE7C75"/>
    <w:rsid w:val="00CF3642"/>
    <w:rsid w:val="00CF7CE3"/>
    <w:rsid w:val="00D110E1"/>
    <w:rsid w:val="00D40FFF"/>
    <w:rsid w:val="00D667F5"/>
    <w:rsid w:val="00D70EE8"/>
    <w:rsid w:val="00DD4B5D"/>
    <w:rsid w:val="00DD5268"/>
    <w:rsid w:val="00E12CA8"/>
    <w:rsid w:val="00E733D1"/>
    <w:rsid w:val="00E86B5D"/>
    <w:rsid w:val="00EC7255"/>
    <w:rsid w:val="00F1671E"/>
    <w:rsid w:val="00F52DD9"/>
    <w:rsid w:val="00F6611C"/>
    <w:rsid w:val="00F911A0"/>
    <w:rsid w:val="00FB2D4C"/>
    <w:rsid w:val="0488238D"/>
    <w:rsid w:val="056C3338"/>
    <w:rsid w:val="0A486E97"/>
    <w:rsid w:val="102606D5"/>
    <w:rsid w:val="105A4792"/>
    <w:rsid w:val="1E3649B9"/>
    <w:rsid w:val="25EB3CE4"/>
    <w:rsid w:val="30A80A8B"/>
    <w:rsid w:val="3C830972"/>
    <w:rsid w:val="451E2976"/>
    <w:rsid w:val="52D25E44"/>
    <w:rsid w:val="55384960"/>
    <w:rsid w:val="6A0F720C"/>
    <w:rsid w:val="789A68EC"/>
    <w:rsid w:val="78D4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line="360" w:lineRule="auto"/>
      <w:outlineLvl w:val="0"/>
    </w:pPr>
    <w:rPr>
      <w:rFonts w:asciiTheme="minorHAnsi" w:hAnsiTheme="minorHAnsi" w:eastAsiaTheme="minorEastAsia" w:cstheme="minorBid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annotation text"/>
    <w:basedOn w:val="1"/>
    <w:unhideWhenUsed/>
    <w:qFormat/>
    <w:uiPriority w:val="99"/>
    <w:pPr>
      <w:jc w:val="left"/>
    </w:p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semiHidden/>
    <w:unhideWhenUsed/>
    <w:uiPriority w:val="99"/>
    <w:rPr>
      <w:color w:val="0000FF"/>
      <w:u w:val="single"/>
    </w:rPr>
  </w:style>
  <w:style w:type="character" w:customStyle="1" w:styleId="12">
    <w:name w:val="标题 1 字符"/>
    <w:basedOn w:val="10"/>
    <w:link w:val="2"/>
    <w:qFormat/>
    <w:uiPriority w:val="9"/>
    <w:rPr>
      <w:b/>
      <w:bCs/>
      <w:kern w:val="44"/>
      <w:sz w:val="28"/>
      <w:szCs w:val="44"/>
    </w:rPr>
  </w:style>
  <w:style w:type="character" w:customStyle="1" w:styleId="13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24"/>
      <w:szCs w:val="32"/>
    </w:rPr>
  </w:style>
  <w:style w:type="character" w:customStyle="1" w:styleId="14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6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4150</Words>
  <Characters>5047</Characters>
  <Lines>9</Lines>
  <Paragraphs>2</Paragraphs>
  <TotalTime>125</TotalTime>
  <ScaleCrop>false</ScaleCrop>
  <LinksUpToDate>false</LinksUpToDate>
  <CharactersWithSpaces>5276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2024-05-26T15:11:00Z</dcterms:created>
  <dc:creator>微软用户</dc:creator>
  <cp:lastModifiedBy>微信用户</cp:lastModifiedBy>
  <dcterms:modified xsi:type="dcterms:W3CDTF">2026-06-09T11:54:49Z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eyJoZGlkIjoiNjZkMWU1ZDQ0MzIwYWE3NTZkOGM3ZjkyNTgzZWJkZjYiLCJ1c2VySWQiOiIxMzU4MjkyNzIxIn0=</vt:lpwstr>
  </property>
  <property fmtid="{D5CDD505-2E9C-101B-9397-08002B2CF9AE}" pid="3" name="KSOProductBuildVer">
    <vt:lpwstr>2052-12.1.0.26375</vt:lpwstr>
  </property>
  <property fmtid="{D5CDD505-2E9C-101B-9397-08002B2CF9AE}" pid="4" name="ICV">
    <vt:lpwstr>C077482631CE49B18B70D94FB94BC20A_12</vt:lpwstr>
  </property>
</Properties>
</file>