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EF9671">
      <w:pPr>
        <w:spacing w:line="360" w:lineRule="auto"/>
        <w:ind w:firstLine="960" w:firstLineChars="200"/>
        <w:rPr>
          <w:rFonts w:eastAsia="黑体" w:cs="宋体"/>
          <w:kern w:val="0"/>
          <w:sz w:val="48"/>
          <w:szCs w:val="48"/>
        </w:rPr>
      </w:pPr>
    </w:p>
    <w:p w14:paraId="7B805694">
      <w:pPr>
        <w:spacing w:line="360" w:lineRule="auto"/>
        <w:ind w:firstLine="960" w:firstLineChars="200"/>
        <w:rPr>
          <w:rFonts w:eastAsia="黑体" w:cs="宋体"/>
          <w:kern w:val="0"/>
          <w:sz w:val="48"/>
          <w:szCs w:val="48"/>
        </w:rPr>
      </w:pPr>
    </w:p>
    <w:p w14:paraId="41CB72A3">
      <w:pPr>
        <w:spacing w:line="360" w:lineRule="auto"/>
        <w:ind w:firstLine="960" w:firstLineChars="200"/>
        <w:rPr>
          <w:rFonts w:eastAsia="黑体" w:cs="宋体"/>
          <w:kern w:val="0"/>
          <w:sz w:val="48"/>
          <w:szCs w:val="48"/>
        </w:rPr>
      </w:pPr>
    </w:p>
    <w:p w14:paraId="73C9B657">
      <w:pPr>
        <w:spacing w:line="360" w:lineRule="auto"/>
        <w:jc w:val="center"/>
        <w:rPr>
          <w:rFonts w:eastAsia="黑体" w:cs="宋体"/>
          <w:kern w:val="0"/>
          <w:sz w:val="84"/>
          <w:szCs w:val="84"/>
        </w:rPr>
      </w:pPr>
      <w:r>
        <w:rPr>
          <w:rFonts w:hint="eastAsia" w:eastAsia="黑体" w:cs="宋体"/>
          <w:kern w:val="0"/>
          <w:sz w:val="84"/>
          <w:szCs w:val="84"/>
        </w:rPr>
        <w:t>湖北文理学院</w:t>
      </w:r>
    </w:p>
    <w:p w14:paraId="0C9493F2">
      <w:pPr>
        <w:spacing w:line="360" w:lineRule="auto"/>
        <w:ind w:firstLine="960" w:firstLineChars="200"/>
        <w:rPr>
          <w:rFonts w:eastAsia="黑体" w:cs="宋体"/>
          <w:kern w:val="0"/>
          <w:sz w:val="48"/>
          <w:szCs w:val="48"/>
        </w:rPr>
      </w:pPr>
    </w:p>
    <w:p w14:paraId="073C2FF2">
      <w:pPr>
        <w:spacing w:line="360" w:lineRule="auto"/>
        <w:ind w:firstLine="1560" w:firstLineChars="300"/>
        <w:rPr>
          <w:rFonts w:eastAsia="黑体" w:cs="宋体"/>
          <w:kern w:val="0"/>
          <w:sz w:val="52"/>
          <w:szCs w:val="48"/>
        </w:rPr>
      </w:pPr>
      <w:r>
        <w:rPr>
          <w:rFonts w:hint="eastAsia" w:eastAsia="黑体" w:cs="宋体"/>
          <w:kern w:val="0"/>
          <w:sz w:val="52"/>
          <w:szCs w:val="48"/>
        </w:rPr>
        <w:t>2025-2026学年度下学期</w:t>
      </w:r>
    </w:p>
    <w:p w14:paraId="27A0CA6B">
      <w:pPr>
        <w:spacing w:line="360" w:lineRule="auto"/>
        <w:jc w:val="center"/>
        <w:rPr>
          <w:rFonts w:eastAsia="黑体" w:cs="宋体"/>
          <w:kern w:val="0"/>
          <w:sz w:val="52"/>
          <w:szCs w:val="48"/>
        </w:rPr>
      </w:pPr>
      <w:r>
        <w:rPr>
          <w:rFonts w:hint="eastAsia" w:eastAsia="黑体" w:cs="宋体"/>
          <w:kern w:val="0"/>
          <w:sz w:val="52"/>
          <w:szCs w:val="48"/>
        </w:rPr>
        <w:t>《数据清洗》课程报告</w:t>
      </w:r>
    </w:p>
    <w:p w14:paraId="7388EBFA">
      <w:pPr>
        <w:spacing w:line="300" w:lineRule="exact"/>
        <w:ind w:firstLine="420" w:firstLineChars="200"/>
        <w:rPr>
          <w:rFonts w:cs="宋体"/>
          <w:kern w:val="0"/>
          <w:szCs w:val="21"/>
        </w:rPr>
      </w:pPr>
    </w:p>
    <w:p w14:paraId="31BC4D22">
      <w:pPr>
        <w:spacing w:line="300" w:lineRule="exact"/>
        <w:ind w:firstLine="420" w:firstLineChars="200"/>
        <w:rPr>
          <w:rFonts w:cs="宋体"/>
          <w:kern w:val="0"/>
          <w:szCs w:val="21"/>
        </w:rPr>
      </w:pPr>
    </w:p>
    <w:p w14:paraId="7B34956B">
      <w:pPr>
        <w:spacing w:line="300" w:lineRule="exact"/>
        <w:ind w:firstLine="420" w:firstLineChars="200"/>
        <w:rPr>
          <w:rFonts w:cs="宋体"/>
          <w:kern w:val="0"/>
          <w:szCs w:val="21"/>
        </w:rPr>
      </w:pPr>
    </w:p>
    <w:p w14:paraId="28766403">
      <w:pPr>
        <w:spacing w:line="300" w:lineRule="exact"/>
        <w:ind w:firstLine="420" w:firstLineChars="200"/>
        <w:rPr>
          <w:rFonts w:cs="宋体"/>
          <w:kern w:val="0"/>
          <w:szCs w:val="21"/>
        </w:rPr>
      </w:pPr>
    </w:p>
    <w:p w14:paraId="28E75EA6">
      <w:pPr>
        <w:spacing w:line="300" w:lineRule="exact"/>
        <w:ind w:firstLine="420" w:firstLineChars="200"/>
        <w:rPr>
          <w:rFonts w:cs="宋体"/>
          <w:kern w:val="0"/>
          <w:szCs w:val="21"/>
        </w:rPr>
      </w:pPr>
    </w:p>
    <w:p w14:paraId="44C748C5">
      <w:pPr>
        <w:spacing w:line="300" w:lineRule="exact"/>
        <w:ind w:firstLine="420" w:firstLineChars="200"/>
        <w:rPr>
          <w:rFonts w:cs="宋体"/>
          <w:kern w:val="0"/>
          <w:szCs w:val="21"/>
        </w:rPr>
      </w:pPr>
    </w:p>
    <w:p w14:paraId="0EE771A5">
      <w:pPr>
        <w:spacing w:line="300" w:lineRule="exact"/>
        <w:ind w:firstLine="420" w:firstLineChars="200"/>
        <w:rPr>
          <w:rFonts w:cs="宋体"/>
          <w:kern w:val="0"/>
          <w:szCs w:val="21"/>
        </w:rPr>
      </w:pPr>
    </w:p>
    <w:p w14:paraId="3C000297">
      <w:pPr>
        <w:ind w:firstLine="420" w:firstLineChars="200"/>
        <w:rPr>
          <w:rFonts w:cs="宋体"/>
          <w:kern w:val="0"/>
          <w:szCs w:val="21"/>
        </w:rPr>
      </w:pPr>
    </w:p>
    <w:p w14:paraId="16AB875A">
      <w:pPr>
        <w:ind w:firstLine="2240" w:firstLineChars="700"/>
        <w:rPr>
          <w:rFonts w:cs="宋体"/>
          <w:kern w:val="0"/>
          <w:sz w:val="28"/>
          <w:szCs w:val="28"/>
        </w:rPr>
      </w:pPr>
      <w:r>
        <w:rPr>
          <w:rFonts w:hint="eastAsia"/>
          <w:sz w:val="32"/>
          <w:szCs w:val="32"/>
        </w:rPr>
        <w:t>学院：</w:t>
      </w:r>
      <w:r>
        <w:rPr>
          <w:rFonts w:hint="eastAsia"/>
          <w:sz w:val="32"/>
          <w:szCs w:val="32"/>
          <w:u w:val="single"/>
        </w:rPr>
        <w:t xml:space="preserve">  数学与统计学院  </w:t>
      </w:r>
    </w:p>
    <w:p w14:paraId="6C80DE24">
      <w:pPr>
        <w:ind w:firstLine="2256" w:firstLineChars="705"/>
        <w:rPr>
          <w:sz w:val="32"/>
          <w:szCs w:val="32"/>
        </w:rPr>
      </w:pPr>
      <w:r>
        <w:rPr>
          <w:rFonts w:hint="eastAsia"/>
          <w:sz w:val="32"/>
          <w:szCs w:val="32"/>
        </w:rPr>
        <w:t>班级：</w:t>
      </w:r>
      <w:r>
        <w:rPr>
          <w:rFonts w:hint="eastAsia"/>
          <w:sz w:val="32"/>
          <w:szCs w:val="32"/>
          <w:u w:val="single"/>
        </w:rPr>
        <w:t xml:space="preserve">  </w:t>
      </w:r>
      <w:r>
        <w:rPr>
          <w:rFonts w:hint="eastAsia"/>
          <w:sz w:val="32"/>
          <w:szCs w:val="32"/>
          <w:u w:val="single"/>
          <w:lang w:val="en-US" w:eastAsia="zh-CN"/>
        </w:rPr>
        <w:t xml:space="preserve">  信息2312     </w:t>
      </w:r>
      <w:r>
        <w:rPr>
          <w:rFonts w:hint="eastAsia"/>
          <w:sz w:val="32"/>
          <w:szCs w:val="32"/>
          <w:u w:val="single"/>
        </w:rPr>
        <w:t xml:space="preserve"> </w:t>
      </w:r>
    </w:p>
    <w:p w14:paraId="3C14C43E">
      <w:pPr>
        <w:ind w:firstLine="2256" w:firstLineChars="705"/>
        <w:rPr>
          <w:sz w:val="32"/>
          <w:szCs w:val="32"/>
        </w:rPr>
      </w:pPr>
      <w:r>
        <w:rPr>
          <w:rFonts w:hint="eastAsia"/>
          <w:sz w:val="32"/>
          <w:szCs w:val="32"/>
        </w:rPr>
        <w:t>姓名：</w:t>
      </w:r>
      <w:r>
        <w:rPr>
          <w:rFonts w:hint="eastAsia"/>
          <w:sz w:val="32"/>
          <w:szCs w:val="32"/>
          <w:u w:val="single"/>
        </w:rPr>
        <w:t xml:space="preserve">     </w:t>
      </w:r>
      <w:r>
        <w:rPr>
          <w:rFonts w:hint="eastAsia"/>
          <w:sz w:val="32"/>
          <w:szCs w:val="32"/>
          <w:u w:val="single"/>
          <w:lang w:val="en-US" w:eastAsia="zh-CN"/>
        </w:rPr>
        <w:t>刘文博</w:t>
      </w:r>
      <w:r>
        <w:rPr>
          <w:rFonts w:hint="eastAsia"/>
          <w:sz w:val="32"/>
          <w:szCs w:val="32"/>
          <w:u w:val="single"/>
        </w:rPr>
        <w:t xml:space="preserve">     </w:t>
      </w:r>
      <w:r>
        <w:rPr>
          <w:rFonts w:hint="eastAsia"/>
          <w:sz w:val="32"/>
          <w:szCs w:val="32"/>
          <w:u w:val="single"/>
          <w:lang w:val="en-US" w:eastAsia="zh-CN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</w:t>
      </w:r>
    </w:p>
    <w:p w14:paraId="19D2CAB2">
      <w:pPr>
        <w:ind w:firstLine="2256" w:firstLineChars="705"/>
        <w:rPr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学号：</w:t>
      </w:r>
      <w:r>
        <w:rPr>
          <w:rFonts w:hint="eastAsia"/>
          <w:sz w:val="32"/>
          <w:szCs w:val="32"/>
          <w:u w:val="single"/>
        </w:rPr>
        <w:t xml:space="preserve">    </w:t>
      </w:r>
      <w:r>
        <w:rPr>
          <w:rFonts w:hint="eastAsia"/>
          <w:sz w:val="32"/>
          <w:szCs w:val="32"/>
          <w:u w:val="single"/>
          <w:lang w:val="en-US" w:eastAsia="zh-CN"/>
        </w:rPr>
        <w:t>2023109223</w:t>
      </w:r>
      <w:r>
        <w:rPr>
          <w:rFonts w:hint="eastAsia"/>
          <w:sz w:val="32"/>
          <w:szCs w:val="32"/>
          <w:u w:val="single"/>
        </w:rPr>
        <w:t xml:space="preserve">    </w:t>
      </w:r>
    </w:p>
    <w:p w14:paraId="45368E16">
      <w:pPr>
        <w:ind w:firstLine="2256" w:firstLineChars="705"/>
        <w:rPr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教师：</w:t>
      </w:r>
      <w:r>
        <w:rPr>
          <w:rFonts w:hint="eastAsia"/>
          <w:sz w:val="32"/>
          <w:szCs w:val="32"/>
          <w:u w:val="single"/>
        </w:rPr>
        <w:t xml:space="preserve">       方磊 </w:t>
      </w:r>
      <w:r>
        <w:rPr>
          <w:sz w:val="32"/>
          <w:szCs w:val="32"/>
          <w:u w:val="single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   </w:t>
      </w:r>
    </w:p>
    <w:p w14:paraId="76826C86">
      <w:pPr>
        <w:ind w:firstLine="560" w:firstLineChars="200"/>
        <w:rPr>
          <w:rFonts w:cs="宋体"/>
          <w:kern w:val="0"/>
          <w:sz w:val="28"/>
          <w:szCs w:val="28"/>
        </w:rPr>
      </w:pPr>
      <w:r>
        <w:rPr>
          <w:rFonts w:cs="宋体"/>
          <w:kern w:val="0"/>
          <w:sz w:val="28"/>
          <w:szCs w:val="28"/>
        </w:rPr>
        <w:t xml:space="preserve"> </w:t>
      </w:r>
    </w:p>
    <w:p w14:paraId="1C579249">
      <w:pPr>
        <w:ind w:left="2339" w:leftChars="1114" w:firstLine="700" w:firstLineChars="200"/>
        <w:rPr>
          <w:rFonts w:cs="宋体"/>
          <w:kern w:val="0"/>
          <w:sz w:val="35"/>
          <w:szCs w:val="21"/>
        </w:rPr>
      </w:pPr>
    </w:p>
    <w:p w14:paraId="105967C9">
      <w:pPr>
        <w:spacing w:line="360" w:lineRule="auto"/>
        <w:jc w:val="center"/>
        <w:rPr>
          <w:rFonts w:ascii="华文中宋" w:hAnsi="华文中宋" w:eastAsia="华文中宋"/>
          <w:sz w:val="30"/>
          <w:szCs w:val="30"/>
        </w:rPr>
      </w:pPr>
      <w:r>
        <w:rPr>
          <w:rFonts w:hint="eastAsia" w:ascii="华文中宋" w:hAnsi="华文中宋" w:eastAsia="华文中宋"/>
          <w:sz w:val="30"/>
          <w:szCs w:val="30"/>
        </w:rPr>
        <w:t>2026年</w:t>
      </w:r>
      <w:bookmarkStart w:id="0" w:name="_GoBack"/>
      <w:bookmarkEnd w:id="0"/>
      <w:r>
        <w:rPr>
          <w:rFonts w:hint="eastAsia" w:ascii="华文中宋" w:hAnsi="华文中宋" w:eastAsia="华文中宋"/>
          <w:sz w:val="30"/>
          <w:szCs w:val="30"/>
          <w:lang w:val="en-US" w:eastAsia="zh-CN"/>
        </w:rPr>
        <w:t>6</w:t>
      </w:r>
      <w:r>
        <w:rPr>
          <w:rFonts w:hint="eastAsia" w:ascii="华文中宋" w:hAnsi="华文中宋" w:eastAsia="华文中宋"/>
          <w:sz w:val="30"/>
          <w:szCs w:val="30"/>
        </w:rPr>
        <w:t xml:space="preserve">月 </w:t>
      </w:r>
      <w:r>
        <w:rPr>
          <w:rFonts w:hint="eastAsia" w:ascii="华文中宋" w:hAnsi="华文中宋" w:eastAsia="华文中宋"/>
          <w:sz w:val="30"/>
          <w:szCs w:val="30"/>
          <w:lang w:val="en-US" w:eastAsia="zh-CN"/>
        </w:rPr>
        <w:t>1</w:t>
      </w:r>
      <w:r>
        <w:rPr>
          <w:rFonts w:hint="eastAsia" w:ascii="华文中宋" w:hAnsi="华文中宋" w:eastAsia="华文中宋"/>
          <w:sz w:val="30"/>
          <w:szCs w:val="30"/>
        </w:rPr>
        <w:t>日</w:t>
      </w:r>
    </w:p>
    <w:p w14:paraId="1B8D70AC"/>
    <w:p w14:paraId="64F9C232">
      <w:pPr>
        <w:widowControl/>
        <w:jc w:val="left"/>
      </w:pPr>
      <w:r>
        <w:br w:type="page"/>
      </w:r>
    </w:p>
    <w:p w14:paraId="2B08891B">
      <w:pPr>
        <w:spacing w:line="360" w:lineRule="auto"/>
        <w:jc w:val="center"/>
        <w:rPr>
          <w:rFonts w:ascii="宋体" w:hAnsi="宋体"/>
          <w:b/>
          <w:sz w:val="32"/>
          <w:szCs w:val="32"/>
        </w:rPr>
      </w:pPr>
      <w:r>
        <w:rPr>
          <w:rFonts w:hint="eastAsia" w:ascii="宋体" w:hAnsi="宋体"/>
          <w:b/>
          <w:sz w:val="32"/>
          <w:szCs w:val="32"/>
        </w:rPr>
        <w:t>评分标准</w:t>
      </w:r>
    </w:p>
    <w:p w14:paraId="6F5DB654">
      <w:pPr>
        <w:spacing w:line="360" w:lineRule="auto"/>
        <w:rPr>
          <w:rFonts w:ascii="黑体" w:hAnsi="黑体" w:eastAsia="黑体"/>
          <w:b/>
          <w:sz w:val="24"/>
          <w:szCs w:val="24"/>
        </w:rPr>
      </w:pPr>
    </w:p>
    <w:tbl>
      <w:tblPr>
        <w:tblStyle w:val="7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8"/>
        <w:gridCol w:w="4194"/>
        <w:gridCol w:w="1456"/>
        <w:gridCol w:w="1444"/>
      </w:tblGrid>
      <w:tr w14:paraId="508A0A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Align w:val="center"/>
          </w:tcPr>
          <w:p w14:paraId="7F7F5576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评分项</w:t>
            </w:r>
          </w:p>
        </w:tc>
        <w:tc>
          <w:tcPr>
            <w:tcW w:w="4194" w:type="dxa"/>
            <w:vAlign w:val="center"/>
          </w:tcPr>
          <w:p w14:paraId="23E87806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评分标准描述</w:t>
            </w:r>
          </w:p>
        </w:tc>
        <w:tc>
          <w:tcPr>
            <w:tcW w:w="1456" w:type="dxa"/>
            <w:vAlign w:val="center"/>
          </w:tcPr>
          <w:p w14:paraId="11D0CC31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评分标准</w:t>
            </w:r>
          </w:p>
        </w:tc>
        <w:tc>
          <w:tcPr>
            <w:tcW w:w="1444" w:type="dxa"/>
            <w:vAlign w:val="center"/>
          </w:tcPr>
          <w:p w14:paraId="514B3908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得分</w:t>
            </w:r>
          </w:p>
        </w:tc>
      </w:tr>
      <w:tr w14:paraId="1DD138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restart"/>
            <w:vAlign w:val="center"/>
          </w:tcPr>
          <w:p w14:paraId="537E40C8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排版</w:t>
            </w:r>
          </w:p>
          <w:p w14:paraId="3F65F5D5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（15%）</w:t>
            </w:r>
          </w:p>
        </w:tc>
        <w:tc>
          <w:tcPr>
            <w:tcW w:w="4194" w:type="dxa"/>
            <w:vAlign w:val="center"/>
          </w:tcPr>
          <w:p w14:paraId="4E3793E9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严格按规定格式排版，整体美观</w:t>
            </w:r>
          </w:p>
        </w:tc>
        <w:tc>
          <w:tcPr>
            <w:tcW w:w="1456" w:type="dxa"/>
            <w:vAlign w:val="center"/>
          </w:tcPr>
          <w:p w14:paraId="786D45DF">
            <w:pPr>
              <w:snapToGrid w:val="0"/>
              <w:spacing w:after="16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bidi="ar"/>
              </w:rPr>
              <w:t>1</w:t>
            </w:r>
            <w:r>
              <w:rPr>
                <w:rFonts w:hint="eastAsia"/>
                <w:sz w:val="28"/>
                <w:szCs w:val="28"/>
                <w:lang w:bidi="ar"/>
              </w:rPr>
              <w:t>3</w:t>
            </w:r>
            <w:r>
              <w:rPr>
                <w:sz w:val="28"/>
                <w:szCs w:val="28"/>
                <w:lang w:bidi="ar"/>
              </w:rPr>
              <w:t>-15</w:t>
            </w:r>
          </w:p>
        </w:tc>
        <w:tc>
          <w:tcPr>
            <w:tcW w:w="1444" w:type="dxa"/>
            <w:vMerge w:val="restart"/>
          </w:tcPr>
          <w:p w14:paraId="32FB22CC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7BD81E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26471F4C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5B693B5E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有1-2处不规范的排版</w:t>
            </w:r>
          </w:p>
        </w:tc>
        <w:tc>
          <w:tcPr>
            <w:tcW w:w="1456" w:type="dxa"/>
            <w:vAlign w:val="center"/>
          </w:tcPr>
          <w:p w14:paraId="1C3B0E0A">
            <w:pPr>
              <w:snapToGrid w:val="0"/>
              <w:spacing w:after="160"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lang w:bidi="ar"/>
              </w:rPr>
              <w:t>10</w:t>
            </w:r>
            <w:r>
              <w:rPr>
                <w:sz w:val="28"/>
                <w:szCs w:val="28"/>
                <w:lang w:bidi="ar"/>
              </w:rPr>
              <w:t>-1</w:t>
            </w:r>
            <w:r>
              <w:rPr>
                <w:rFonts w:hint="eastAsia"/>
                <w:sz w:val="28"/>
                <w:szCs w:val="28"/>
                <w:lang w:bidi="ar"/>
              </w:rPr>
              <w:t>2</w:t>
            </w:r>
          </w:p>
        </w:tc>
        <w:tc>
          <w:tcPr>
            <w:tcW w:w="1444" w:type="dxa"/>
            <w:vMerge w:val="continue"/>
          </w:tcPr>
          <w:p w14:paraId="5BC782B5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5DB487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5C895742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7056FD03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有3-5处排版问题</w:t>
            </w:r>
          </w:p>
        </w:tc>
        <w:tc>
          <w:tcPr>
            <w:tcW w:w="1456" w:type="dxa"/>
            <w:vAlign w:val="center"/>
          </w:tcPr>
          <w:p w14:paraId="5FFD0DD2">
            <w:pPr>
              <w:snapToGrid w:val="0"/>
              <w:spacing w:after="160"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lang w:bidi="ar"/>
              </w:rPr>
              <w:t>7</w:t>
            </w:r>
            <w:r>
              <w:rPr>
                <w:sz w:val="28"/>
                <w:szCs w:val="28"/>
                <w:lang w:bidi="ar"/>
              </w:rPr>
              <w:t>-</w:t>
            </w:r>
            <w:r>
              <w:rPr>
                <w:rFonts w:hint="eastAsia"/>
                <w:sz w:val="28"/>
                <w:szCs w:val="28"/>
                <w:lang w:bidi="ar"/>
              </w:rPr>
              <w:t>9</w:t>
            </w:r>
          </w:p>
        </w:tc>
        <w:tc>
          <w:tcPr>
            <w:tcW w:w="1444" w:type="dxa"/>
            <w:vMerge w:val="continue"/>
          </w:tcPr>
          <w:p w14:paraId="646E16EB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0F0567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2017F545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58F26CED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有6处以上排版问题</w:t>
            </w:r>
          </w:p>
        </w:tc>
        <w:tc>
          <w:tcPr>
            <w:tcW w:w="1456" w:type="dxa"/>
            <w:vAlign w:val="center"/>
          </w:tcPr>
          <w:p w14:paraId="5FBA01F1">
            <w:pPr>
              <w:snapToGrid w:val="0"/>
              <w:spacing w:after="160"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lang w:bidi="ar"/>
              </w:rPr>
              <w:t>4</w:t>
            </w:r>
            <w:r>
              <w:rPr>
                <w:sz w:val="28"/>
                <w:szCs w:val="28"/>
                <w:lang w:bidi="ar"/>
              </w:rPr>
              <w:t>-</w:t>
            </w:r>
            <w:r>
              <w:rPr>
                <w:rFonts w:hint="eastAsia"/>
                <w:sz w:val="28"/>
                <w:szCs w:val="28"/>
                <w:lang w:bidi="ar"/>
              </w:rPr>
              <w:t>6</w:t>
            </w:r>
          </w:p>
        </w:tc>
        <w:tc>
          <w:tcPr>
            <w:tcW w:w="1444" w:type="dxa"/>
            <w:vMerge w:val="continue"/>
          </w:tcPr>
          <w:p w14:paraId="290C4CFC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1E934F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4A82F1AD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3C2439D5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排版混乱，问题较多</w:t>
            </w:r>
          </w:p>
        </w:tc>
        <w:tc>
          <w:tcPr>
            <w:tcW w:w="1456" w:type="dxa"/>
            <w:vAlign w:val="center"/>
          </w:tcPr>
          <w:p w14:paraId="06FAADED">
            <w:pPr>
              <w:snapToGrid w:val="0"/>
              <w:spacing w:after="160"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lang w:bidi="ar"/>
              </w:rPr>
              <w:t>0</w:t>
            </w:r>
            <w:r>
              <w:rPr>
                <w:sz w:val="28"/>
                <w:szCs w:val="28"/>
                <w:lang w:bidi="ar"/>
              </w:rPr>
              <w:t>-3</w:t>
            </w:r>
          </w:p>
        </w:tc>
        <w:tc>
          <w:tcPr>
            <w:tcW w:w="1444" w:type="dxa"/>
            <w:vMerge w:val="continue"/>
          </w:tcPr>
          <w:p w14:paraId="75740EA6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670464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restart"/>
            <w:vAlign w:val="center"/>
          </w:tcPr>
          <w:p w14:paraId="1C3F5A99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参考文献</w:t>
            </w:r>
          </w:p>
          <w:p w14:paraId="7B4B228F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（15%）</w:t>
            </w:r>
          </w:p>
        </w:tc>
        <w:tc>
          <w:tcPr>
            <w:tcW w:w="4194" w:type="dxa"/>
            <w:vAlign w:val="center"/>
          </w:tcPr>
          <w:p w14:paraId="4736B257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参考文献严格按规定格式引用</w:t>
            </w:r>
          </w:p>
        </w:tc>
        <w:tc>
          <w:tcPr>
            <w:tcW w:w="1456" w:type="dxa"/>
            <w:vAlign w:val="center"/>
          </w:tcPr>
          <w:p w14:paraId="1DC91F67">
            <w:pPr>
              <w:snapToGrid w:val="0"/>
              <w:spacing w:after="16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bidi="ar"/>
              </w:rPr>
              <w:t>1</w:t>
            </w:r>
            <w:r>
              <w:rPr>
                <w:rFonts w:hint="eastAsia"/>
                <w:sz w:val="28"/>
                <w:szCs w:val="28"/>
                <w:lang w:bidi="ar"/>
              </w:rPr>
              <w:t>3</w:t>
            </w:r>
            <w:r>
              <w:rPr>
                <w:sz w:val="28"/>
                <w:szCs w:val="28"/>
                <w:lang w:bidi="ar"/>
              </w:rPr>
              <w:t>-15</w:t>
            </w:r>
          </w:p>
        </w:tc>
        <w:tc>
          <w:tcPr>
            <w:tcW w:w="1444" w:type="dxa"/>
            <w:vMerge w:val="restart"/>
          </w:tcPr>
          <w:p w14:paraId="62DDE9F7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1A2965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4FA6F1ED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283482DE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有1-2处引用或格式不正确</w:t>
            </w:r>
          </w:p>
        </w:tc>
        <w:tc>
          <w:tcPr>
            <w:tcW w:w="1456" w:type="dxa"/>
            <w:vAlign w:val="center"/>
          </w:tcPr>
          <w:p w14:paraId="1AA50FAD">
            <w:pPr>
              <w:snapToGrid w:val="0"/>
              <w:spacing w:after="160"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lang w:bidi="ar"/>
              </w:rPr>
              <w:t>10</w:t>
            </w:r>
            <w:r>
              <w:rPr>
                <w:sz w:val="28"/>
                <w:szCs w:val="28"/>
                <w:lang w:bidi="ar"/>
              </w:rPr>
              <w:t>-1</w:t>
            </w:r>
            <w:r>
              <w:rPr>
                <w:rFonts w:hint="eastAsia"/>
                <w:sz w:val="28"/>
                <w:szCs w:val="28"/>
                <w:lang w:bidi="ar"/>
              </w:rPr>
              <w:t>2</w:t>
            </w:r>
          </w:p>
        </w:tc>
        <w:tc>
          <w:tcPr>
            <w:tcW w:w="1444" w:type="dxa"/>
            <w:vMerge w:val="continue"/>
          </w:tcPr>
          <w:p w14:paraId="2B6B745A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3154BB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7F577785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79D5B7BE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有3-5处引用或格式不正确</w:t>
            </w:r>
          </w:p>
        </w:tc>
        <w:tc>
          <w:tcPr>
            <w:tcW w:w="1456" w:type="dxa"/>
            <w:vAlign w:val="center"/>
          </w:tcPr>
          <w:p w14:paraId="45C7C981">
            <w:pPr>
              <w:snapToGrid w:val="0"/>
              <w:spacing w:after="160"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lang w:bidi="ar"/>
              </w:rPr>
              <w:t>7</w:t>
            </w:r>
            <w:r>
              <w:rPr>
                <w:sz w:val="28"/>
                <w:szCs w:val="28"/>
                <w:lang w:bidi="ar"/>
              </w:rPr>
              <w:t>-</w:t>
            </w:r>
            <w:r>
              <w:rPr>
                <w:rFonts w:hint="eastAsia"/>
                <w:sz w:val="28"/>
                <w:szCs w:val="28"/>
                <w:lang w:bidi="ar"/>
              </w:rPr>
              <w:t>9</w:t>
            </w:r>
          </w:p>
        </w:tc>
        <w:tc>
          <w:tcPr>
            <w:tcW w:w="1444" w:type="dxa"/>
            <w:vMerge w:val="continue"/>
          </w:tcPr>
          <w:p w14:paraId="361BF594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093DBF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13B9AB67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3ABC7E4E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有6处以上引用或格式不正确</w:t>
            </w:r>
          </w:p>
        </w:tc>
        <w:tc>
          <w:tcPr>
            <w:tcW w:w="1456" w:type="dxa"/>
            <w:vAlign w:val="center"/>
          </w:tcPr>
          <w:p w14:paraId="546F2044">
            <w:pPr>
              <w:snapToGrid w:val="0"/>
              <w:spacing w:after="160"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lang w:bidi="ar"/>
              </w:rPr>
              <w:t>4</w:t>
            </w:r>
            <w:r>
              <w:rPr>
                <w:sz w:val="28"/>
                <w:szCs w:val="28"/>
                <w:lang w:bidi="ar"/>
              </w:rPr>
              <w:t>-</w:t>
            </w:r>
            <w:r>
              <w:rPr>
                <w:rFonts w:hint="eastAsia"/>
                <w:sz w:val="28"/>
                <w:szCs w:val="28"/>
                <w:lang w:bidi="ar"/>
              </w:rPr>
              <w:t>6</w:t>
            </w:r>
          </w:p>
        </w:tc>
        <w:tc>
          <w:tcPr>
            <w:tcW w:w="1444" w:type="dxa"/>
            <w:vMerge w:val="continue"/>
          </w:tcPr>
          <w:p w14:paraId="3F5DCA7A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3201BB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70690586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49292209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引用混乱，问题较多</w:t>
            </w:r>
          </w:p>
        </w:tc>
        <w:tc>
          <w:tcPr>
            <w:tcW w:w="1456" w:type="dxa"/>
            <w:vAlign w:val="center"/>
          </w:tcPr>
          <w:p w14:paraId="779E95FB">
            <w:pPr>
              <w:snapToGrid w:val="0"/>
              <w:spacing w:after="160"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lang w:bidi="ar"/>
              </w:rPr>
              <w:t>0</w:t>
            </w:r>
            <w:r>
              <w:rPr>
                <w:sz w:val="28"/>
                <w:szCs w:val="28"/>
                <w:lang w:bidi="ar"/>
              </w:rPr>
              <w:t>-3</w:t>
            </w:r>
          </w:p>
        </w:tc>
        <w:tc>
          <w:tcPr>
            <w:tcW w:w="1444" w:type="dxa"/>
            <w:vMerge w:val="continue"/>
          </w:tcPr>
          <w:p w14:paraId="1ABA9DB4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54997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restart"/>
            <w:vAlign w:val="center"/>
          </w:tcPr>
          <w:p w14:paraId="03DB0A17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40"/>
              </w:rPr>
              <w:t>数据清洗综合应用实践过程</w:t>
            </w:r>
          </w:p>
          <w:p w14:paraId="2DBA7A21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（40%）</w:t>
            </w:r>
          </w:p>
        </w:tc>
        <w:tc>
          <w:tcPr>
            <w:tcW w:w="4194" w:type="dxa"/>
            <w:vAlign w:val="center"/>
          </w:tcPr>
          <w:p w14:paraId="707DBADB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分析合理，过程</w:t>
            </w:r>
            <w:r>
              <w:rPr>
                <w:sz w:val="28"/>
                <w:szCs w:val="28"/>
              </w:rPr>
              <w:t>完整，</w:t>
            </w:r>
            <w:r>
              <w:rPr>
                <w:rFonts w:hint="eastAsia"/>
                <w:sz w:val="28"/>
                <w:szCs w:val="28"/>
              </w:rPr>
              <w:t>图表恰当</w:t>
            </w:r>
          </w:p>
        </w:tc>
        <w:tc>
          <w:tcPr>
            <w:tcW w:w="1456" w:type="dxa"/>
            <w:vAlign w:val="center"/>
          </w:tcPr>
          <w:p w14:paraId="45520807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>
              <w:rPr>
                <w:rFonts w:hint="eastAsia"/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-40</w:t>
            </w:r>
          </w:p>
        </w:tc>
        <w:tc>
          <w:tcPr>
            <w:tcW w:w="1444" w:type="dxa"/>
            <w:vMerge w:val="restart"/>
          </w:tcPr>
          <w:p w14:paraId="2FC07402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26E34A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04BF2911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538B59B3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分析</w:t>
            </w:r>
            <w:r>
              <w:rPr>
                <w:sz w:val="28"/>
                <w:szCs w:val="28"/>
              </w:rPr>
              <w:t>较</w:t>
            </w:r>
            <w:r>
              <w:rPr>
                <w:rFonts w:hint="eastAsia"/>
                <w:sz w:val="28"/>
                <w:szCs w:val="28"/>
              </w:rPr>
              <w:t>合理，过程</w:t>
            </w:r>
            <w:r>
              <w:rPr>
                <w:sz w:val="28"/>
                <w:szCs w:val="28"/>
              </w:rPr>
              <w:t>较完整</w:t>
            </w:r>
          </w:p>
        </w:tc>
        <w:tc>
          <w:tcPr>
            <w:tcW w:w="1456" w:type="dxa"/>
            <w:vAlign w:val="center"/>
          </w:tcPr>
          <w:p w14:paraId="2BE26EFD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25</w:t>
            </w:r>
            <w:r>
              <w:rPr>
                <w:sz w:val="28"/>
                <w:szCs w:val="28"/>
              </w:rPr>
              <w:t>-</w:t>
            </w:r>
            <w:r>
              <w:rPr>
                <w:rFonts w:hint="eastAsia"/>
                <w:sz w:val="28"/>
                <w:szCs w:val="28"/>
              </w:rPr>
              <w:t>32</w:t>
            </w:r>
          </w:p>
        </w:tc>
        <w:tc>
          <w:tcPr>
            <w:tcW w:w="1444" w:type="dxa"/>
            <w:vMerge w:val="continue"/>
          </w:tcPr>
          <w:p w14:paraId="7E1FF838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099691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0F0C4A0D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3552B617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分析</w:t>
            </w:r>
            <w:r>
              <w:rPr>
                <w:sz w:val="28"/>
                <w:szCs w:val="28"/>
              </w:rPr>
              <w:t>基本</w:t>
            </w:r>
            <w:r>
              <w:rPr>
                <w:rFonts w:hint="eastAsia"/>
                <w:sz w:val="28"/>
                <w:szCs w:val="28"/>
              </w:rPr>
              <w:t>合理，过程</w:t>
            </w:r>
            <w:r>
              <w:rPr>
                <w:sz w:val="28"/>
                <w:szCs w:val="28"/>
              </w:rPr>
              <w:t>基本完整</w:t>
            </w:r>
          </w:p>
        </w:tc>
        <w:tc>
          <w:tcPr>
            <w:tcW w:w="1456" w:type="dxa"/>
            <w:vAlign w:val="center"/>
          </w:tcPr>
          <w:p w14:paraId="494D7DF0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17</w:t>
            </w:r>
            <w:r>
              <w:rPr>
                <w:sz w:val="28"/>
                <w:szCs w:val="28"/>
              </w:rPr>
              <w:t>-</w:t>
            </w:r>
            <w:r>
              <w:rPr>
                <w:rFonts w:hint="eastAsia"/>
                <w:sz w:val="28"/>
                <w:szCs w:val="28"/>
              </w:rPr>
              <w:t>24</w:t>
            </w:r>
          </w:p>
        </w:tc>
        <w:tc>
          <w:tcPr>
            <w:tcW w:w="1444" w:type="dxa"/>
            <w:vMerge w:val="continue"/>
          </w:tcPr>
          <w:p w14:paraId="0F44E7C8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4592C4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796522D6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6D8F6384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思路模糊，层次模糊</w:t>
            </w:r>
          </w:p>
        </w:tc>
        <w:tc>
          <w:tcPr>
            <w:tcW w:w="1456" w:type="dxa"/>
            <w:vAlign w:val="center"/>
          </w:tcPr>
          <w:p w14:paraId="5F2431B7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9</w:t>
            </w:r>
            <w:r>
              <w:rPr>
                <w:sz w:val="28"/>
                <w:szCs w:val="28"/>
              </w:rPr>
              <w:t>-</w:t>
            </w:r>
            <w:r>
              <w:rPr>
                <w:rFonts w:hint="eastAsia"/>
                <w:sz w:val="28"/>
                <w:szCs w:val="28"/>
              </w:rPr>
              <w:t>16</w:t>
            </w:r>
          </w:p>
        </w:tc>
        <w:tc>
          <w:tcPr>
            <w:tcW w:w="1444" w:type="dxa"/>
            <w:vMerge w:val="continue"/>
          </w:tcPr>
          <w:p w14:paraId="60E7C979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00051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61F5AF0F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38392497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态度不端正，敷衍应付</w:t>
            </w:r>
          </w:p>
        </w:tc>
        <w:tc>
          <w:tcPr>
            <w:tcW w:w="1456" w:type="dxa"/>
            <w:vAlign w:val="center"/>
          </w:tcPr>
          <w:p w14:paraId="24B2DFF3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-</w:t>
            </w:r>
            <w:r>
              <w:rPr>
                <w:rFonts w:hint="eastAsia"/>
                <w:sz w:val="28"/>
                <w:szCs w:val="28"/>
              </w:rPr>
              <w:t>8</w:t>
            </w:r>
          </w:p>
        </w:tc>
        <w:tc>
          <w:tcPr>
            <w:tcW w:w="1444" w:type="dxa"/>
            <w:vMerge w:val="continue"/>
          </w:tcPr>
          <w:p w14:paraId="236CC68C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1F122F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restart"/>
            <w:vAlign w:val="center"/>
          </w:tcPr>
          <w:p w14:paraId="050736D4">
            <w:pPr>
              <w:snapToGrid w:val="0"/>
              <w:spacing w:line="360" w:lineRule="auto"/>
              <w:jc w:val="center"/>
              <w:rPr>
                <w:sz w:val="24"/>
                <w:szCs w:val="40"/>
              </w:rPr>
            </w:pPr>
            <w:r>
              <w:rPr>
                <w:sz w:val="24"/>
                <w:szCs w:val="40"/>
              </w:rPr>
              <w:t>文献综述</w:t>
            </w:r>
          </w:p>
          <w:p w14:paraId="03DA8B5A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（30%）</w:t>
            </w:r>
          </w:p>
        </w:tc>
        <w:tc>
          <w:tcPr>
            <w:tcW w:w="4194" w:type="dxa"/>
            <w:vAlign w:val="center"/>
          </w:tcPr>
          <w:p w14:paraId="3DA58760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内容全面，逻辑清晰，层次分明</w:t>
            </w:r>
          </w:p>
        </w:tc>
        <w:tc>
          <w:tcPr>
            <w:tcW w:w="1456" w:type="dxa"/>
            <w:vAlign w:val="center"/>
          </w:tcPr>
          <w:p w14:paraId="6A21AC00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25-30</w:t>
            </w:r>
          </w:p>
        </w:tc>
        <w:tc>
          <w:tcPr>
            <w:tcW w:w="1444" w:type="dxa"/>
            <w:vMerge w:val="restart"/>
          </w:tcPr>
          <w:p w14:paraId="23A60C13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400AAC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612BB381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3D898BA2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内容较全面，逻辑较清晰</w:t>
            </w:r>
          </w:p>
        </w:tc>
        <w:tc>
          <w:tcPr>
            <w:tcW w:w="1456" w:type="dxa"/>
            <w:vAlign w:val="center"/>
          </w:tcPr>
          <w:p w14:paraId="49D2D9E0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-</w:t>
            </w:r>
            <w:r>
              <w:rPr>
                <w:rFonts w:hint="eastAsia"/>
                <w:sz w:val="28"/>
                <w:szCs w:val="28"/>
              </w:rPr>
              <w:t>24</w:t>
            </w:r>
          </w:p>
        </w:tc>
        <w:tc>
          <w:tcPr>
            <w:tcW w:w="1444" w:type="dxa"/>
            <w:vMerge w:val="continue"/>
          </w:tcPr>
          <w:p w14:paraId="57E80BF5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1B6B5A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36D383A3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6F79E10B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内容基本全面，逻辑基本清晰</w:t>
            </w:r>
          </w:p>
        </w:tc>
        <w:tc>
          <w:tcPr>
            <w:tcW w:w="1456" w:type="dxa"/>
            <w:vAlign w:val="center"/>
          </w:tcPr>
          <w:p w14:paraId="65A7F502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>
              <w:rPr>
                <w:rFonts w:hint="eastAsia"/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-</w:t>
            </w:r>
            <w:r>
              <w:rPr>
                <w:rFonts w:hint="eastAsia"/>
                <w:sz w:val="28"/>
                <w:szCs w:val="28"/>
              </w:rPr>
              <w:t>18</w:t>
            </w:r>
          </w:p>
        </w:tc>
        <w:tc>
          <w:tcPr>
            <w:tcW w:w="1444" w:type="dxa"/>
            <w:vMerge w:val="continue"/>
          </w:tcPr>
          <w:p w14:paraId="277D08B9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75C0F4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3C2E9A89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1C49E35D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内容片面，逻辑混乱</w:t>
            </w:r>
          </w:p>
        </w:tc>
        <w:tc>
          <w:tcPr>
            <w:tcW w:w="1456" w:type="dxa"/>
            <w:vAlign w:val="center"/>
          </w:tcPr>
          <w:p w14:paraId="2125E824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7-12</w:t>
            </w:r>
          </w:p>
        </w:tc>
        <w:tc>
          <w:tcPr>
            <w:tcW w:w="1444" w:type="dxa"/>
            <w:vMerge w:val="continue"/>
          </w:tcPr>
          <w:p w14:paraId="777307F7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166161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428" w:type="dxa"/>
            <w:vMerge w:val="continue"/>
            <w:vAlign w:val="center"/>
          </w:tcPr>
          <w:p w14:paraId="179AB273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4194" w:type="dxa"/>
            <w:vAlign w:val="center"/>
          </w:tcPr>
          <w:p w14:paraId="39DFDC2C">
            <w:pPr>
              <w:snapToGrid w:val="0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态度不端正，敷衍应付</w:t>
            </w:r>
          </w:p>
        </w:tc>
        <w:tc>
          <w:tcPr>
            <w:tcW w:w="1456" w:type="dxa"/>
            <w:vAlign w:val="center"/>
          </w:tcPr>
          <w:p w14:paraId="3DE7B6E6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-</w:t>
            </w:r>
            <w:r>
              <w:rPr>
                <w:rFonts w:hint="eastAsia"/>
                <w:sz w:val="28"/>
                <w:szCs w:val="28"/>
              </w:rPr>
              <w:t>6</w:t>
            </w:r>
          </w:p>
        </w:tc>
        <w:tc>
          <w:tcPr>
            <w:tcW w:w="1444" w:type="dxa"/>
            <w:vMerge w:val="continue"/>
          </w:tcPr>
          <w:p w14:paraId="5E15E849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14:paraId="1D9C74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78" w:type="dxa"/>
            <w:gridSpan w:val="3"/>
            <w:vAlign w:val="center"/>
          </w:tcPr>
          <w:p w14:paraId="32C23F62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  <w:p w14:paraId="5D3AFB30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总分</w:t>
            </w:r>
          </w:p>
          <w:p w14:paraId="03102D61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444" w:type="dxa"/>
          </w:tcPr>
          <w:p w14:paraId="73A0543B">
            <w:pPr>
              <w:snapToGrid w:val="0"/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</w:tbl>
    <w:p w14:paraId="46A2FFEC"/>
    <w:p w14:paraId="4AA31D87"/>
    <w:p w14:paraId="7438C647"/>
    <w:p w14:paraId="5D2ACE6F">
      <w:pPr>
        <w:widowControl/>
        <w:jc w:val="left"/>
        <w:sectPr>
          <w:footerReference r:id="rId3" w:type="default"/>
          <w:pgSz w:w="11906" w:h="16838"/>
          <w:pgMar w:top="1440" w:right="1797" w:bottom="1440" w:left="1797" w:header="851" w:footer="992" w:gutter="0"/>
          <w:cols w:space="425" w:num="1"/>
          <w:docGrid w:type="lines" w:linePitch="312" w:charSpace="0"/>
        </w:sectPr>
      </w:pPr>
    </w:p>
    <w:p>
      <w:pPr>
        <w:spacing w:line="360" w:lineRule="auto" w:before="0" w:after="0"/>
      </w:pPr>
      <w:r>
        <w:rPr>
          <w:rFonts w:ascii="黑体" w:hAnsi="黑体" w:eastAsia="黑体"/>
          <w:b/>
          <w:sz w:val="28"/>
        </w:rPr>
        <w:t>1数据清洗综合应用实践过程展示</w:t>
      </w:r>
    </w:p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1.1案例题目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（1）案例题目：基于 Python 的中国新能源汽车数据清洗与趋势分析。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（2）数据集来源说明：本案例数据来自 China Data Portal 提供的公开 API，其中新能源汽车年度销量来源标注为中国汽车工业协会（CAAM），中国汽车月度产量来源标注为国家统计局（NBS），中国与全球电动汽车销量对比来源标注为 IEA、EV-Volumes、中国汽车工业协会等公开统计口径。数据接口包括：https://chinadata.live/api/v2/data/china-nev-sales、https://chinadata.live/api/v2/data/china-car-production-monthly、https://chinadata.live/api/v2/data/ev-sales-china-vs-world。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（3）案例应用背景说明：新能源汽车是我国汽车产业转型升级的重要方向，也是当前制造业、低碳交通和智能网联汽车领域的热点。本案例通过清洗新能源汽车销量、汽车产量和全球对比数据，分析中国新能源汽车市场增长趋势，并展示时间序列数据清洗的基本流程。</w:t>
      </w:r>
    </w:p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1.2 分析数据集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（1）原始数据集的名称：中国新能源汽车年度销量数据、中国汽车月度产量数据、中国与全球电动汽车销量对比数据。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（2）数据的记录数量：月度汽车产量原始数据 164 条，补齐完整月份后为 191 条；年度新能源汽车分析表为 14 条。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（3）数据的字段数量：清洗后的月度产量表包含 11 个字段，年度新能源汽车分析表包含 13 个字段。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（4）数据的字段名称及内涵介绍如下表所示。</w:t>
      </w:r>
    </w:p>
    <w:p>
      <w:pPr>
        <w:keepLines/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</w:rPr>
        <w:t>表1-1  中国新能源汽车数据集主要字段说明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特征名称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含义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单位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数据类型</w:t>
            </w:r>
          </w:p>
        </w:tc>
      </w:tr>
      <w:tr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date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月份日期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年月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日期</w:t>
            </w:r>
          </w:p>
        </w:tc>
      </w:tr>
      <w:tr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production_10k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汽车月度产量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万辆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浮点数</w:t>
            </w:r>
          </w:p>
        </w:tc>
      </w:tr>
      <w:tr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production_missing_flag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原始月份是否缺失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0/1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整数</w:t>
            </w:r>
          </w:p>
        </w:tc>
      </w:tr>
      <w:tr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production_filled_10k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清洗后汽车月度产量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万辆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浮点数</w:t>
            </w:r>
          </w:p>
        </w:tc>
      </w:tr>
      <w:tr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production_yoy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汽车月度产量同比增速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比例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浮点数</w:t>
            </w:r>
          </w:p>
        </w:tc>
      </w:tr>
      <w:tr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nev_sales_10k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新能源汽车年度销量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万辆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浮点数</w:t>
            </w:r>
          </w:p>
        </w:tc>
      </w:tr>
      <w:tr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china_world_share_pct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中国电动汽车销量全球占比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%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浮点数</w:t>
            </w:r>
          </w:p>
        </w:tc>
      </w:tr>
      <w:tr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policy_stage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新能源汽车发展阶段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类别</w:t>
            </w:r>
          </w:p>
        </w:tc>
        <w:tc>
          <w:tcPr>
            <w:tcW w:type="dxa" w:w="2078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文本</w:t>
            </w:r>
          </w:p>
        </w:tc>
      </w:tr>
    </w:tbl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（5）数据集存在的问题：原始 API 表格本身没有空单元格，但月度产量数据不是完整月份序列。按完整月份索引补齐后，可以发现 27 个未单独报告月份，这类问题属于时间序列缺失；不同数据集的时间频率和单位不同，需要统一年份字段、单位口径和字段命名；月度产量存在少量极端值，需要用统计方法检查；年度销量与月度产量汇总需要按年份合并。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（6）清洗目标：统一字段格式，补齐完整月份索引，标记并填补未报告月份，检查并处理异常值，构造同比增速、政策阶段、全球占比等分析字段，输出可复现的清洗后数据、质量汇总表和图表。</w:t>
      </w:r>
    </w:p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1.3 数据清洗过程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针对原始数据存在的时间序列不完整、字段命名不统一、单位口径不同、缺失月份和异常值等问题，本报告使用 Python 完成数据清洗。具体过程如下表所示。</w:t>
      </w:r>
    </w:p>
    <w:p>
      <w:pPr>
        <w:keepLines/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</w:rPr>
        <w:t>表1-2  数据清洗过程记录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156"/>
        <w:gridCol w:w="4156"/>
      </w:tblGrid>
      <w:tr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清洗步骤</w:t>
            </w:r>
          </w:p>
        </w:tc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处理说明</w:t>
            </w:r>
          </w:p>
        </w:tc>
      </w:tr>
      <w:tr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字段规范化</w:t>
            </w:r>
          </w:p>
        </w:tc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将月度产量字段统一为 date、production_10k，并转换日期类型。</w:t>
            </w:r>
          </w:p>
        </w:tc>
      </w:tr>
      <w:tr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补全时间索引</w:t>
            </w:r>
          </w:p>
        </w:tc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补齐完整月份序列，新增 27 条原始未报告月份。</w:t>
            </w:r>
          </w:p>
        </w:tc>
      </w:tr>
      <w:tr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缺失值和异常值处理</w:t>
            </w:r>
          </w:p>
        </w:tc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缺失值使用同月历史中位数填补；IQR 截尾范围 [54.6, 132.2]，调整 3 个值。</w:t>
            </w:r>
          </w:p>
        </w:tc>
      </w:tr>
      <w:tr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特征构造</w:t>
            </w:r>
          </w:p>
        </w:tc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新增 year、month、quarter、production_yoy、production_level 等字段。</w:t>
            </w:r>
          </w:p>
        </w:tc>
      </w:tr>
      <w:tr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年度数据合并</w:t>
            </w:r>
          </w:p>
        </w:tc>
        <w:tc>
          <w:tcPr>
            <w:tcW w:type="dxa" w:w="4156"/>
          </w:tcPr>
          <w:p>
            <w:pPr>
              <w:spacing w:line="360" w:lineRule="auto" w:before="0" w:after="0"/>
            </w:pPr>
            <w:r>
              <w:rPr>
                <w:rFonts w:ascii="宋体" w:hAnsi="宋体" w:eastAsia="宋体"/>
                <w:sz w:val="20"/>
              </w:rPr>
              <w:t>合并年度销量、年度产量汇总和全球对比数据，新增同比增速、全球占比和政策阶段。</w:t>
            </w:r>
          </w:p>
        </w:tc>
      </w:tr>
    </w:tbl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1.4 数据清洗前后对比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本节只展示数据清洗前后的直接对比。清洗后，月度产量表和年度分析表的缺失值均为 0。需要说明的是，原始 API 数据没有空单元格，真正的问题是缺少部分月份记录；月度数据从原始 164 条补齐为 191 条，填补前识别出 27 个时间序列缺失值，清洗后全部补齐，解决了时间序列不连续的问题。异常值方面，月度产量使用 IQR 方法检查，截尾范围为 [54.6, 132.2]，共调整 3 个极端值。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92040" cy="2717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issing_before_aft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27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</w:rPr>
        <w:t>图1-1  补齐月份后填补前与清洗后缺失值对比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92040" cy="19568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oduction_boxplot_before_af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195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</w:rPr>
        <w:t>图1-2  月度产量异常值处理前后对比</w:t>
      </w:r>
    </w:p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1.5 清洗后数据分析结果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本节基于清洗后的数据进行趋势分析和业务对比分析，以下图表不属于清洗前后对比图。年度表将新能源汽车销量、年度汽车产量汇总和全球对比数据按年份合并，便于进行趋势分析。2024 年中国新能源汽车销量为 1286.6 万辆，折合约 12.866 百万辆；中国电动汽车销量全球占比约为 64.7%。从趋势看，2021 年以后中国新能源汽车销量进入规模化增长阶段，全球占比长期保持较高水平。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92040" cy="24460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v_sales_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2446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</w:rPr>
        <w:t>图1-3  清洗后中国新能源汽车年度销量趋势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92040" cy="24460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nev_yoy_grow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2446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</w:rPr>
        <w:t>图1-4  清洗后中国新能源汽车年度销量同比增速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92040" cy="22236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onthly_car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222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</w:rPr>
        <w:t>图1-5  清洗后中国汽车月度产量趋势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92040" cy="2717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hina_world_sh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27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</w:rPr>
        <w:t>图1-6  清洗后中国电动汽车销量全球占比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92040" cy="24460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ina_vs_world_ev_sa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2446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</w:rPr>
        <w:t>图1-7  清洗后中国与世界其他地区电动汽车销量业务对比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92040" cy="36690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nnual_correl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66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</w:rPr>
        <w:t>图1-8  清洗后年度新能源汽车关键指标相关系数热力图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rPr>
          <w:rFonts w:ascii="黑体" w:hAnsi="黑体" w:eastAsia="黑体"/>
          <w:b/>
          <w:sz w:val="28"/>
        </w:rPr>
        <w:t>2 数据清洗综述</w:t>
      </w:r>
    </w:p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2.1基本概念及内涵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数据清洗是数据预处理的重要组成部分，主要用于识别并处理数据中的缺失值、重复值、异常值、格式不一致、编码不统一和逻辑冲突等问题。国内关于数据质量和数据清洗的研究普遍认为，数据清洗不仅是简单地删除错误记录，更重要的是结合业务背景判断问题产生的原因，并通过可复现的规则对数据进行修正和验证。对于本报告使用的中国新能源汽车数据而言，数据质量问题主要体现在时间序列不完整、月度统计缺口、指标单位不一致和跨数据源合并口径不同等方面。</w:t>
      </w:r>
    </w:p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2.2 数据清洗主要内容。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数据清洗的主要内容包括数据剖析、缺失值处理、重复值处理、异常值检测、格式标准化、数据转换、数据集成和清洗结果验证。常用方法包括众数填补、中位数填补、分组填补、插值法、IQR 异常值检测、标准差法、正则表达式解析和基于业务规则的逻辑校验等。Python 中的 Pandas、NumPy、Matplotlib 和 Seaborn 能够较好地支持课程案例中的数据清洗与可视化。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在本案例中，月度产量数据首先被转换为标准日期格式，然后按完整月份序列补齐。对未单独报告的月份，本报告保留 production_missing_flag 字段作为缺失标记，并用同月历史中位数填补。对于极端月度产量，采用 IQR 方法进行检查和截尾处理。年度数据部分则按 year 字段合并新能源汽车销量、汽车产量和全球对比数据，并构造同比增速、全球占比和政策阶段等分析字段。</w:t>
      </w:r>
    </w:p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2.3 应用领域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数据清洗广泛应用于政府统计、金融风控、医疗健康、电子商务、工业制造、交通出行和能源管理等领域。在新能源汽车领域，数据清洗可以用于产销量统计、充电基础设施分析、用户行为研究、产业链监测、市场预测和政策效果评估等任务。高质量的数据清洗能够提升后续统计分析和预测建模的可靠性。</w:t>
      </w:r>
    </w:p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2.4 热点问题或难点问题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当前数据清洗的热点问题包括大规模数据自动清洗、多源异构数据融合、缺失值机制识别、异常值自动检测、清洗规则可解释性和清洗过程可追溯等。新能源汽车数据具有统计口径多、更新频率不同、产业链环节复杂等特点，因此在清洗过程中既要关注数值分布，也要关注数据来源和指标含义。例如，新能源汽车销量和汽车产量属于不同统计口径，不能简单把二者相除解释为严格渗透率，只能作为口径对比指标辅助观察趋势。</w:t>
      </w:r>
    </w:p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2.5 今后的发展趋势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未来数据清洗将更加重视自动化、智能化和可解释性。一方面，机器学习和大语言模型可以辅助识别字段语义、推荐清洗规则和生成数据质量报告；另一方面，关键行业数据仍然需要人工结合业务背景进行判断。对于新能源汽车这类政策和市场共同驱动的热点数据，后续可以继续融合充电桩、地区经济、人口规模和政策补贴等数据，构建更加完整的数据分析体系。</w:t>
      </w:r>
    </w:p>
    <w:p>
      <w:pPr>
        <w:spacing w:line="360" w:lineRule="auto" w:before="0" w:after="0"/>
      </w:pPr>
      <w:r>
        <w:rPr>
          <w:rFonts w:ascii="黑体" w:hAnsi="黑体" w:eastAsia="黑体"/>
          <w:b/>
          <w:sz w:val="24"/>
        </w:rPr>
        <w:t>参考文献：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[1] 郭志懋, 周傲英. 数据质量和数据清洗研究综述[J]. 软件学报, 2002, 13(11): 2076-2082.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[2] 杨辅祥, 刘云超, 段智华. 数据清理综述[J]. 计算机应用研究, 2002, 19(3): 3-5.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[3] 王曰芬, 章成志, 张蓓蓓, 等. 数据清洗研究综述[J]. 现代图书情报技术, 2007(12): 50-56.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[4] 赵一凡, 卞良, 丛昕. 数据清洗方法研究综述[J]. 软件导刊, 2017, 16(12): 222-224.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[5] 郝爽, 李国良, 冯建华, 等. 结构化数据清洗方法综述[J]. 清华大学学报(自然科学版), 2018, 58(12): 1037-1050.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[6] 王铭军, 潘巧明, 刘真, 陈为. 可视数据清洗综述[J]. 中国图象图形学报, 2015, 20(4): 468-482.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[7] 杨东华, 李宁宁, 王宏志, 等. 基于任务合并的并行大数据清洗过程优化[J]. 计算机学报, 2016, 39(1): 97-108.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[8] 国家市场监督管理总局, 中国国家标准化管理委员会. 信息技术 数据质量评价指标: GB/T 36344-2018[S]. 北京: 中国标准出版社, 2018.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[9] 国务院办公厅. 新能源汽车产业发展规划(2021-2035年)[Z]. 2020.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  <w:t>[10] China Data Portal. China NEV Sales, China Monthly Car Production, Electric Vehicle Sales: China vs World[DS/OL]. 2026.</w:t>
      </w:r>
    </w:p>
    <w:sectPr>
      <w:footerReference r:id="rId4" w:type="default"/>
      <w:pgSz w:w="11906" w:h="16838"/>
      <w:pgMar w:top="1440" w:right="1797" w:bottom="1440" w:left="1797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10" w:usb3="00000000" w:csb0="0004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74E6B">
    <w:pPr>
      <w:pStyle w:val="5"/>
      <w:jc w:val="center"/>
    </w:pPr>
  </w:p>
  <w:p w14:paraId="104496B2">
    <w:pPr>
      <w:pStyle w:val="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53561471"/>
      <w:docPartObj>
        <w:docPartGallery w:val="autotext"/>
      </w:docPartObj>
    </w:sdtPr>
    <w:sdtContent>
      <w:p w14:paraId="512533FE">
        <w:pPr>
          <w:pStyle w:val="5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018C54BE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6FD6"/>
    <w:rsid w:val="00006FD6"/>
    <w:rsid w:val="00027257"/>
    <w:rsid w:val="000B04FB"/>
    <w:rsid w:val="000B318A"/>
    <w:rsid w:val="000E415B"/>
    <w:rsid w:val="0010132E"/>
    <w:rsid w:val="00176C77"/>
    <w:rsid w:val="001C22C9"/>
    <w:rsid w:val="001E704C"/>
    <w:rsid w:val="002658EE"/>
    <w:rsid w:val="00273189"/>
    <w:rsid w:val="002841C2"/>
    <w:rsid w:val="002F3BD5"/>
    <w:rsid w:val="00323911"/>
    <w:rsid w:val="003958F5"/>
    <w:rsid w:val="00447267"/>
    <w:rsid w:val="00476A15"/>
    <w:rsid w:val="004B09D3"/>
    <w:rsid w:val="004C744F"/>
    <w:rsid w:val="004F312B"/>
    <w:rsid w:val="0052084D"/>
    <w:rsid w:val="0056367D"/>
    <w:rsid w:val="0058775A"/>
    <w:rsid w:val="005F12D3"/>
    <w:rsid w:val="00603AE0"/>
    <w:rsid w:val="006360A1"/>
    <w:rsid w:val="0069354B"/>
    <w:rsid w:val="006A6323"/>
    <w:rsid w:val="00714622"/>
    <w:rsid w:val="00812C10"/>
    <w:rsid w:val="008C14FD"/>
    <w:rsid w:val="00926621"/>
    <w:rsid w:val="0093159B"/>
    <w:rsid w:val="0094252A"/>
    <w:rsid w:val="00962195"/>
    <w:rsid w:val="00990276"/>
    <w:rsid w:val="009F6B0E"/>
    <w:rsid w:val="00A01564"/>
    <w:rsid w:val="00A7608A"/>
    <w:rsid w:val="00B07633"/>
    <w:rsid w:val="00B229F1"/>
    <w:rsid w:val="00B309C5"/>
    <w:rsid w:val="00B64F91"/>
    <w:rsid w:val="00C17191"/>
    <w:rsid w:val="00C4524D"/>
    <w:rsid w:val="00C61546"/>
    <w:rsid w:val="00C86953"/>
    <w:rsid w:val="00CE7C75"/>
    <w:rsid w:val="00CF3642"/>
    <w:rsid w:val="00CF7CE3"/>
    <w:rsid w:val="00D110E1"/>
    <w:rsid w:val="00D40FFF"/>
    <w:rsid w:val="00D667F5"/>
    <w:rsid w:val="00D70EE8"/>
    <w:rsid w:val="00DD4B5D"/>
    <w:rsid w:val="00DD5268"/>
    <w:rsid w:val="00E12CA8"/>
    <w:rsid w:val="00E733D1"/>
    <w:rsid w:val="00E86B5D"/>
    <w:rsid w:val="00EC7255"/>
    <w:rsid w:val="00F1671E"/>
    <w:rsid w:val="00F52DD9"/>
    <w:rsid w:val="00F6611C"/>
    <w:rsid w:val="00F911A0"/>
    <w:rsid w:val="00FB2D4C"/>
    <w:rsid w:val="0A486E97"/>
    <w:rsid w:val="102606D5"/>
    <w:rsid w:val="105A4792"/>
    <w:rsid w:val="25EB3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line="360" w:lineRule="auto"/>
      <w:outlineLvl w:val="0"/>
    </w:pPr>
    <w:rPr>
      <w:rFonts w:asciiTheme="minorHAnsi" w:hAnsiTheme="minorHAnsi" w:eastAsiaTheme="minorEastAsia" w:cstheme="minorBidi"/>
      <w:b/>
      <w:bCs/>
      <w:kern w:val="44"/>
      <w:sz w:val="28"/>
      <w:szCs w:val="44"/>
    </w:rPr>
  </w:style>
  <w:style w:type="paragraph" w:styleId="3">
    <w:name w:val="heading 2"/>
    <w:basedOn w:val="1"/>
    <w:next w:val="1"/>
    <w:link w:val="11"/>
    <w:unhideWhenUsed/>
    <w:qFormat/>
    <w:uiPriority w:val="9"/>
    <w:pPr>
      <w:keepNext/>
      <w:keepLines/>
      <w:outlineLvl w:val="1"/>
    </w:pPr>
    <w:rPr>
      <w:rFonts w:asciiTheme="majorHAnsi" w:hAnsiTheme="majorHAnsi" w:eastAsiaTheme="majorEastAsia" w:cstheme="majorBidi"/>
      <w:b/>
      <w:bCs/>
      <w:sz w:val="24"/>
      <w:szCs w:val="32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annotation text"/>
    <w:basedOn w:val="1"/>
    <w:unhideWhenUsed/>
    <w:qFormat/>
    <w:uiPriority w:val="99"/>
    <w:pPr>
      <w:jc w:val="left"/>
    </w:pPr>
  </w:style>
  <w:style w:type="paragraph" w:styleId="5">
    <w:name w:val="foot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6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table" w:styleId="8">
    <w:name w:val="Table Grid"/>
    <w:basedOn w:val="7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字符"/>
    <w:basedOn w:val="9"/>
    <w:link w:val="2"/>
    <w:uiPriority w:val="9"/>
    <w:rPr>
      <w:b/>
      <w:bCs/>
      <w:kern w:val="44"/>
      <w:sz w:val="28"/>
      <w:szCs w:val="44"/>
    </w:rPr>
  </w:style>
  <w:style w:type="character" w:customStyle="1" w:styleId="11">
    <w:name w:val="标题 2 字符"/>
    <w:basedOn w:val="9"/>
    <w:link w:val="3"/>
    <w:uiPriority w:val="9"/>
    <w:rPr>
      <w:rFonts w:asciiTheme="majorHAnsi" w:hAnsiTheme="majorHAnsi" w:eastAsiaTheme="majorEastAsia" w:cstheme="majorBidi"/>
      <w:b/>
      <w:bCs/>
      <w:sz w:val="24"/>
      <w:szCs w:val="32"/>
    </w:rPr>
  </w:style>
  <w:style w:type="character" w:customStyle="1" w:styleId="12">
    <w:name w:val="页眉 字符"/>
    <w:basedOn w:val="9"/>
    <w:link w:val="6"/>
    <w:uiPriority w:val="99"/>
    <w:rPr>
      <w:sz w:val="18"/>
      <w:szCs w:val="18"/>
    </w:rPr>
  </w:style>
  <w:style w:type="character" w:customStyle="1" w:styleId="13">
    <w:name w:val="页脚 字符"/>
    <w:basedOn w:val="9"/>
    <w:link w:val="5"/>
    <w:qFormat/>
    <w:uiPriority w:val="99"/>
    <w:rPr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4</Pages>
  <Words>797</Words>
  <Characters>1019</Characters>
  <Lines>9</Lines>
  <Paragraphs>2</Paragraphs>
  <TotalTime>17</TotalTime>
  <ScaleCrop>false</ScaleCrop>
  <LinksUpToDate>false</LinksUpToDate>
  <CharactersWithSpaces>1110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2024-05-26T15:11:00Z</dcterms:created>
  <dc:creator>微软用户</dc:creator>
  <cp:lastModifiedBy>微信用户</cp:lastModifiedBy>
  <dcterms:modified xsi:type="dcterms:W3CDTF">2026-06-01T06:01:00Z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eyJoZGlkIjoiNjZkMWU1ZDQ0MzIwYWE3NTZkOGM3ZjkyNTgzZWJkZjYiLCJ1c2VySWQiOiIxMzU4MjkyNzIxIn0=</vt:lpwstr>
  </property>
  <property fmtid="{D5CDD505-2E9C-101B-9397-08002B2CF9AE}" pid="3" name="KSOProductBuildVer">
    <vt:lpwstr>2052-12.1.0.26375</vt:lpwstr>
  </property>
  <property fmtid="{D5CDD505-2E9C-101B-9397-08002B2CF9AE}" pid="4" name="ICV">
    <vt:lpwstr>C077482631CE49B18B70D94FB94BC20A_12</vt:lpwstr>
  </property>
</Properties>
</file>