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CA2D9C" w14:textId="77777777" w:rsidR="000D74DC" w:rsidRDefault="000D74DC">
      <w:pPr>
        <w:spacing w:before="1200"/>
      </w:pPr>
    </w:p>
    <w:p w14:paraId="38445C11" w14:textId="136A5DFE" w:rsidR="000D74DC" w:rsidRDefault="00E44D87">
      <w:pPr>
        <w:spacing w:after="100"/>
        <w:jc w:val="center"/>
      </w:pPr>
      <w:r>
        <w:rPr>
          <w:b/>
          <w:bCs/>
          <w:sz w:val="26"/>
          <w:szCs w:val="26"/>
        </w:rPr>
        <w:t xml:space="preserve">UNIVERSIDADE DE FORTALEZA - </w:t>
      </w:r>
      <w:r w:rsidR="00000000">
        <w:rPr>
          <w:b/>
          <w:bCs/>
          <w:sz w:val="26"/>
          <w:szCs w:val="26"/>
        </w:rPr>
        <w:t>UNIFOR</w:t>
      </w:r>
    </w:p>
    <w:p w14:paraId="318CB9F7" w14:textId="77777777" w:rsidR="000D74DC" w:rsidRDefault="00000000">
      <w:pPr>
        <w:spacing w:after="100"/>
        <w:jc w:val="center"/>
      </w:pPr>
      <w:r>
        <w:rPr>
          <w:sz w:val="24"/>
          <w:szCs w:val="24"/>
        </w:rPr>
        <w:t>Curso de Análise e Desenvolvimento de Sistemas</w:t>
      </w:r>
    </w:p>
    <w:p w14:paraId="7EC6FEA3" w14:textId="77777777" w:rsidR="000D74DC" w:rsidRDefault="00000000">
      <w:pPr>
        <w:spacing w:after="1600"/>
        <w:jc w:val="center"/>
      </w:pPr>
      <w:r>
        <w:rPr>
          <w:i/>
          <w:iCs/>
          <w:sz w:val="24"/>
          <w:szCs w:val="24"/>
        </w:rPr>
        <w:t xml:space="preserve">F105 – </w:t>
      </w:r>
      <w:proofErr w:type="spellStart"/>
      <w:r>
        <w:rPr>
          <w:i/>
          <w:iCs/>
          <w:sz w:val="24"/>
          <w:szCs w:val="24"/>
        </w:rPr>
        <w:t>Datamining</w:t>
      </w:r>
      <w:proofErr w:type="spellEnd"/>
      <w:r>
        <w:rPr>
          <w:i/>
          <w:iCs/>
          <w:sz w:val="24"/>
          <w:szCs w:val="24"/>
        </w:rPr>
        <w:t xml:space="preserve"> e </w:t>
      </w:r>
      <w:proofErr w:type="spellStart"/>
      <w:r>
        <w:rPr>
          <w:i/>
          <w:iCs/>
          <w:sz w:val="24"/>
          <w:szCs w:val="24"/>
        </w:rPr>
        <w:t>Webscraping</w:t>
      </w:r>
      <w:proofErr w:type="spellEnd"/>
    </w:p>
    <w:p w14:paraId="33239F1D" w14:textId="77777777" w:rsidR="000D74DC" w:rsidRDefault="00000000">
      <w:pPr>
        <w:spacing w:after="200" w:line="360" w:lineRule="auto"/>
        <w:jc w:val="center"/>
      </w:pPr>
      <w:r>
        <w:rPr>
          <w:b/>
          <w:bCs/>
          <w:sz w:val="32"/>
          <w:szCs w:val="32"/>
        </w:rPr>
        <w:t>Monitoramento de Preços da Cesta Básica: Coleta de Dados via API Interna do Supermercado São Luiz</w:t>
      </w:r>
    </w:p>
    <w:p w14:paraId="789BE496" w14:textId="77777777" w:rsidR="000D74DC" w:rsidRDefault="00000000">
      <w:pPr>
        <w:spacing w:after="1600"/>
        <w:jc w:val="center"/>
      </w:pPr>
      <w:r>
        <w:rPr>
          <w:i/>
          <w:iCs/>
        </w:rPr>
        <w:t>Trabalho de conclusão da disciplina</w:t>
      </w:r>
    </w:p>
    <w:p w14:paraId="0F9D5285" w14:textId="77777777" w:rsidR="000D74DC" w:rsidRDefault="00000000">
      <w:pPr>
        <w:spacing w:after="120"/>
        <w:jc w:val="center"/>
      </w:pPr>
      <w:r>
        <w:rPr>
          <w:b/>
          <w:bCs/>
        </w:rPr>
        <w:t>Integrantes:</w:t>
      </w:r>
    </w:p>
    <w:p w14:paraId="21736DBE" w14:textId="77777777" w:rsidR="000D74DC" w:rsidRDefault="00000000">
      <w:pPr>
        <w:spacing w:after="60"/>
        <w:jc w:val="center"/>
      </w:pPr>
      <w:r>
        <w:t>Nelivaldo Moreira Lyra – Matrícula 2415633</w:t>
      </w:r>
    </w:p>
    <w:p w14:paraId="6445D90E" w14:textId="77777777" w:rsidR="000D74DC" w:rsidRDefault="00000000">
      <w:pPr>
        <w:spacing w:after="1600"/>
        <w:jc w:val="center"/>
      </w:pPr>
      <w:r>
        <w:t>Cauã de Oliveira Silva Paiva – Matrícula 2415484</w:t>
      </w:r>
    </w:p>
    <w:p w14:paraId="66A4CF6A" w14:textId="77777777" w:rsidR="000D74DC" w:rsidRDefault="00000000">
      <w:pPr>
        <w:spacing w:after="60"/>
        <w:jc w:val="center"/>
      </w:pPr>
      <w:r>
        <w:t>Fortaleza – CE</w:t>
      </w:r>
    </w:p>
    <w:p w14:paraId="5BB613D6" w14:textId="77777777" w:rsidR="000D74DC" w:rsidRDefault="00000000">
      <w:pPr>
        <w:jc w:val="center"/>
      </w:pPr>
      <w:r>
        <w:t>Setembro de 2026</w:t>
      </w:r>
    </w:p>
    <w:p w14:paraId="7323DC05" w14:textId="77777777" w:rsidR="000D74DC" w:rsidRDefault="00000000">
      <w:r>
        <w:br w:type="page"/>
      </w:r>
    </w:p>
    <w:p w14:paraId="3D0B3C42" w14:textId="77777777" w:rsidR="000D74DC" w:rsidRDefault="00000000">
      <w:pPr>
        <w:pStyle w:val="Ttulo1"/>
        <w:spacing w:before="400"/>
      </w:pPr>
      <w:r>
        <w:lastRenderedPageBreak/>
        <w:t>3. Fonte dos Dados</w:t>
      </w:r>
    </w:p>
    <w:p w14:paraId="73138AF0" w14:textId="77777777" w:rsidR="000D74DC" w:rsidRDefault="00000000">
      <w:pPr>
        <w:spacing w:after="200" w:line="300" w:lineRule="auto"/>
        <w:jc w:val="both"/>
      </w:pPr>
      <w:r>
        <w:t xml:space="preserve">A fonte de dados escolhida foi a loja online do supermercado São Luiz (mercadinhossaoluiz.com.br), especificamente a unidade identificada internamente como </w:t>
      </w:r>
      <w:proofErr w:type="spellStart"/>
      <w:r>
        <w:rPr>
          <w:rFonts w:ascii="Courier New" w:eastAsia="Courier New" w:hAnsi="Courier New" w:cs="Courier New"/>
        </w:rPr>
        <w:t>market_id</w:t>
      </w:r>
      <w:proofErr w:type="spellEnd"/>
      <w:r>
        <w:rPr>
          <w:rFonts w:ascii="Courier New" w:eastAsia="Courier New" w:hAnsi="Courier New" w:cs="Courier New"/>
        </w:rPr>
        <w:t xml:space="preserve"> = 355</w:t>
      </w:r>
      <w:r>
        <w:t xml:space="preserve">. A categoria de análise definida foi </w:t>
      </w:r>
      <w:r>
        <w:rPr>
          <w:b/>
          <w:bCs/>
        </w:rPr>
        <w:t>produtos de supermercado</w:t>
      </w:r>
      <w:r>
        <w:t>, restrita aos cinco itens que compõem a cesta básica considerada neste trabalho: arroz, feijão, açúcar, óleo e ovos (o item leite foi substituído por ovos após verificação de que a categoria de leite não estava disponível de forma equivalente na fonte escolhida).</w:t>
      </w:r>
    </w:p>
    <w:p w14:paraId="4FC606A8" w14:textId="77777777" w:rsidR="000D74DC" w:rsidRDefault="00000000">
      <w:pPr>
        <w:pStyle w:val="Ttulo1"/>
        <w:spacing w:before="400"/>
      </w:pPr>
      <w:r>
        <w:t>4. Método de Coleta</w:t>
      </w:r>
    </w:p>
    <w:p w14:paraId="7AFA4367" w14:textId="77777777" w:rsidR="000D74DC" w:rsidRDefault="00000000">
      <w:pPr>
        <w:spacing w:after="200" w:line="300" w:lineRule="auto"/>
        <w:jc w:val="both"/>
      </w:pPr>
      <w:r>
        <w:t xml:space="preserve">O site do São Luiz é implementado como uma aplicação de página única (SPA) em </w:t>
      </w:r>
      <w:proofErr w:type="spellStart"/>
      <w:r>
        <w:t>React</w:t>
      </w:r>
      <w:proofErr w:type="spellEnd"/>
      <w:r>
        <w:t xml:space="preserve">: o código-fonte HTML entregue pelo servidor não contém nenhuma informação de produto ou preço, apenas uma </w:t>
      </w:r>
      <w:r>
        <w:rPr>
          <w:rFonts w:ascii="Courier New" w:eastAsia="Courier New" w:hAnsi="Courier New" w:cs="Courier New"/>
        </w:rPr>
        <w:t>&lt;</w:t>
      </w:r>
      <w:proofErr w:type="spellStart"/>
      <w:r>
        <w:rPr>
          <w:rFonts w:ascii="Courier New" w:eastAsia="Courier New" w:hAnsi="Courier New" w:cs="Courier New"/>
        </w:rPr>
        <w:t>div</w:t>
      </w:r>
      <w:proofErr w:type="spellEnd"/>
      <w:r>
        <w:rPr>
          <w:rFonts w:ascii="Courier New" w:eastAsia="Courier New" w:hAnsi="Courier New" w:cs="Courier New"/>
        </w:rPr>
        <w:t xml:space="preserve"> id="root"&gt;</w:t>
      </w:r>
      <w:r>
        <w:t xml:space="preserve"> vazia que é preenchida dinamicamente pelo </w:t>
      </w:r>
      <w:proofErr w:type="spellStart"/>
      <w:r>
        <w:t>JavaScript</w:t>
      </w:r>
      <w:proofErr w:type="spellEnd"/>
      <w:r>
        <w:t xml:space="preserve"> no navegador do usuário. A verificação disso foi feita inspecionando o código-fonte da página (Ctrl/</w:t>
      </w:r>
      <w:proofErr w:type="spellStart"/>
      <w:r>
        <w:t>Cmd+U</w:t>
      </w:r>
      <w:proofErr w:type="spellEnd"/>
      <w:r>
        <w:t>) antes de decidir a estratégia de coleta.</w:t>
      </w:r>
    </w:p>
    <w:p w14:paraId="6DF8C798" w14:textId="77777777" w:rsidR="000D74DC" w:rsidRDefault="00000000">
      <w:pPr>
        <w:spacing w:after="200" w:line="300" w:lineRule="auto"/>
        <w:jc w:val="both"/>
      </w:pPr>
      <w:r>
        <w:t xml:space="preserve">Diante disso, em vez de renderizar a página com uma ferramenta como o </w:t>
      </w:r>
      <w:proofErr w:type="spellStart"/>
      <w:r>
        <w:t>Selenium</w:t>
      </w:r>
      <w:proofErr w:type="spellEnd"/>
      <w:r>
        <w:t>, a equipe optou por investigar as requisições de rede feitas pelo próprio site (</w:t>
      </w:r>
      <w:proofErr w:type="spellStart"/>
      <w:r>
        <w:t>DevTools</w:t>
      </w:r>
      <w:proofErr w:type="spellEnd"/>
      <w:r>
        <w:t xml:space="preserve"> do navegador, aba Network, filtro </w:t>
      </w:r>
      <w:proofErr w:type="spellStart"/>
      <w:r>
        <w:t>Fetch</w:t>
      </w:r>
      <w:proofErr w:type="spellEnd"/>
      <w:r>
        <w:t xml:space="preserve">/XHR). Essa investigação revelou que o </w:t>
      </w:r>
      <w:proofErr w:type="spellStart"/>
      <w:r>
        <w:t>frontend</w:t>
      </w:r>
      <w:proofErr w:type="spellEnd"/>
      <w:r>
        <w:t xml:space="preserve"> consome uma API JSON própria, hospedada em </w:t>
      </w:r>
      <w:r>
        <w:rPr>
          <w:rFonts w:ascii="Courier New" w:eastAsia="Courier New" w:hAnsi="Courier New" w:cs="Courier New"/>
        </w:rPr>
        <w:t>merconnect.mercadapp.com.br</w:t>
      </w:r>
      <w:r>
        <w:t xml:space="preserve"> (plataforma de e-commerce "</w:t>
      </w:r>
      <w:proofErr w:type="spellStart"/>
      <w:r>
        <w:t>mercadapp</w:t>
      </w:r>
      <w:proofErr w:type="spellEnd"/>
      <w:r>
        <w:t xml:space="preserve">", utilizada como </w:t>
      </w:r>
      <w:proofErr w:type="spellStart"/>
      <w:r>
        <w:t>white-label</w:t>
      </w:r>
      <w:proofErr w:type="spellEnd"/>
      <w:r>
        <w:t xml:space="preserve"> por diversos supermercados, entre eles o São Luiz), no formato:</w:t>
      </w:r>
    </w:p>
    <w:tbl>
      <w:tblPr>
        <w:tblStyle w:val="a"/>
        <w:tblW w:w="902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0D74DC" w14:paraId="2B25474A" w14:textId="77777777">
        <w:tc>
          <w:tcPr>
            <w:tcW w:w="9026" w:type="dxa"/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C0DF1C0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GET https://merconnect.mercadapp.com.br/mapp/v3/markets/{market_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id}/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items</w:t>
            </w:r>
          </w:p>
          <w:p w14:paraId="3E00435E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?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={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}&amp;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category_id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={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category_id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</w:tr>
    </w:tbl>
    <w:p w14:paraId="502CA910" w14:textId="77777777" w:rsidR="000D74DC" w:rsidRDefault="000D74DC">
      <w:pPr>
        <w:spacing w:after="200"/>
      </w:pPr>
    </w:p>
    <w:p w14:paraId="5C5EBA14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 xml:space="preserve">Justificativa da escolha (API em vez de </w:t>
      </w:r>
      <w:proofErr w:type="spellStart"/>
      <w:r>
        <w:rPr>
          <w:b/>
          <w:bCs/>
        </w:rPr>
        <w:t>scraping</w:t>
      </w:r>
      <w:proofErr w:type="spellEnd"/>
      <w:r>
        <w:rPr>
          <w:b/>
          <w:bCs/>
        </w:rPr>
        <w:t xml:space="preserve"> de HTML):</w:t>
      </w:r>
      <w:r>
        <w:t xml:space="preserve"> como essa API já devolve os dados estruturados em JSON (nome, preço, preço original, código de barras, estoque, categoria), sua utilização é tecnicamente mais robusta e eficiente do que interpretar HTML renderizado via </w:t>
      </w:r>
      <w:proofErr w:type="spellStart"/>
      <w:r>
        <w:t>Selenium</w:t>
      </w:r>
      <w:proofErr w:type="spellEnd"/>
      <w:r>
        <w:t xml:space="preserve"> — não depende de seletores CSS sujeitos a mudanças de layout, e não exige o custo computacional de abrir um navegador automatizado. É importante registrar, no entanto, que esta não é uma API pública documentada oficialmente pelo São Luiz ou pela </w:t>
      </w:r>
      <w:proofErr w:type="spellStart"/>
      <w:r>
        <w:t>mercadapp</w:t>
      </w:r>
      <w:proofErr w:type="spellEnd"/>
      <w:r>
        <w:t>: trata-se de uma interface interna, destinada ao consumo pelo próprio site, descoberta por meio de engenharia reversa do tráfego de rede — uma técnica legítima e amplamente usada em projetos de coleta de dados, mas que traz implicações importantes discutidas na seção de Aspectos Éticos e Legais.</w:t>
      </w:r>
    </w:p>
    <w:p w14:paraId="3915875A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Autenticação e paginação:</w:t>
      </w:r>
      <w:r>
        <w:t xml:space="preserve"> a API exige um cabeçalho </w:t>
      </w:r>
      <w:proofErr w:type="spellStart"/>
      <w:r>
        <w:rPr>
          <w:rFonts w:ascii="Courier New" w:eastAsia="Courier New" w:hAnsi="Courier New" w:cs="Courier New"/>
        </w:rPr>
        <w:t>Authorization</w:t>
      </w:r>
      <w:proofErr w:type="spellEnd"/>
      <w:r>
        <w:rPr>
          <w:rFonts w:ascii="Courier New" w:eastAsia="Courier New" w:hAnsi="Courier New" w:cs="Courier New"/>
        </w:rPr>
        <w:t xml:space="preserve">: </w:t>
      </w:r>
      <w:proofErr w:type="spellStart"/>
      <w:r>
        <w:rPr>
          <w:rFonts w:ascii="Courier New" w:eastAsia="Courier New" w:hAnsi="Courier New" w:cs="Courier New"/>
        </w:rPr>
        <w:t>Bearer</w:t>
      </w:r>
      <w:proofErr w:type="spellEnd"/>
      <w:r>
        <w:rPr>
          <w:rFonts w:ascii="Courier New" w:eastAsia="Courier New" w:hAnsi="Courier New" w:cs="Courier New"/>
        </w:rPr>
        <w:t xml:space="preserve"> &lt;token&gt;</w:t>
      </w:r>
      <w:r>
        <w:t xml:space="preserve">. Esse token é gerado do lado do cliente (navegador) e tem vida curta — na prática, verificamos que um token deixa de ser aceito (erro HTTP 401) após alguns minutos, exigindo nova captura via </w:t>
      </w:r>
      <w:proofErr w:type="spellStart"/>
      <w:r>
        <w:t>DevTools</w:t>
      </w:r>
      <w:proofErr w:type="spellEnd"/>
      <w:r>
        <w:t xml:space="preserve"> a cada execução manual do script. A paginação é feita de forma simples, incrementando o parâmetro </w:t>
      </w:r>
      <w:proofErr w:type="spellStart"/>
      <w:r>
        <w:rPr>
          <w:rFonts w:ascii="Courier New" w:eastAsia="Courier New" w:hAnsi="Courier New" w:cs="Courier New"/>
        </w:rPr>
        <w:t>page</w:t>
      </w:r>
      <w:proofErr w:type="spellEnd"/>
      <w:r>
        <w:t xml:space="preserve"> e consultando o campo </w:t>
      </w:r>
      <w:proofErr w:type="spellStart"/>
      <w:r>
        <w:rPr>
          <w:rFonts w:ascii="Courier New" w:eastAsia="Courier New" w:hAnsi="Courier New" w:cs="Courier New"/>
        </w:rPr>
        <w:t>has_next_page</w:t>
      </w:r>
      <w:proofErr w:type="spellEnd"/>
      <w:r>
        <w:t xml:space="preserve"> da resposta para saber quando parar.</w:t>
      </w:r>
    </w:p>
    <w:p w14:paraId="09F66BBA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lastRenderedPageBreak/>
        <w:t>Limite de página por categoria:</w:t>
      </w:r>
      <w:r>
        <w:t xml:space="preserve"> por padrão, a API pode devolver centenas de itens em algumas categorias (ex.: mais de 150 produtos na categoria de óleos). Como a atividade exige um mínimo de 30 registros no total (e não por item), o script foi ajustado para coletar no máximo 3 páginas por categoria — o suficiente para ultrapassar o mínimo exigido somando as cinco categorias, sem gerar volume de requisições desnecessário.</w:t>
      </w:r>
    </w:p>
    <w:p w14:paraId="4D8F84DA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Incidente observado durante os testes:</w:t>
      </w:r>
      <w:r>
        <w:t xml:space="preserve"> ao tentar coletar um número maior de páginas em sequência rápida, a API retornou erro HTTP 403 (</w:t>
      </w:r>
      <w:proofErr w:type="spellStart"/>
      <w:r>
        <w:t>Forbidden</w:t>
      </w:r>
      <w:proofErr w:type="spellEnd"/>
      <w:r>
        <w:t xml:space="preserve">), inclusive em </w:t>
      </w:r>
      <w:proofErr w:type="spellStart"/>
      <w:r>
        <w:t>endpoints</w:t>
      </w:r>
      <w:proofErr w:type="spellEnd"/>
      <w:r>
        <w:t xml:space="preserve"> não relacionados à coleta (como um </w:t>
      </w:r>
      <w:proofErr w:type="spellStart"/>
      <w:r>
        <w:t>endpoint</w:t>
      </w:r>
      <w:proofErr w:type="spellEnd"/>
      <w:r>
        <w:t xml:space="preserve"> de avisos do próprio site), sugerindo um bloqueio temporário por parte de um mecanismo de proteção contra abuso (rate </w:t>
      </w:r>
      <w:proofErr w:type="spellStart"/>
      <w:r>
        <w:t>limiting</w:t>
      </w:r>
      <w:proofErr w:type="spellEnd"/>
      <w:r>
        <w:t xml:space="preserve"> / WAF) associado ao IP de origem das requisições. Esse episódio reforçou, na prática, a necessidade dos cuidados discutidos na seção seguinte.</w:t>
      </w:r>
    </w:p>
    <w:p w14:paraId="15E88793" w14:textId="77777777" w:rsidR="000D74DC" w:rsidRDefault="00000000">
      <w:pPr>
        <w:pStyle w:val="Ttulo1"/>
        <w:spacing w:before="400"/>
      </w:pPr>
      <w:r>
        <w:t>5. Pré-processamento</w:t>
      </w:r>
    </w:p>
    <w:p w14:paraId="14A5C6DB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Tratamento de valores ausentes e duplicados.</w:t>
      </w:r>
      <w:r>
        <w:t xml:space="preserve"> Registros sem </w:t>
      </w:r>
      <w:proofErr w:type="spellStart"/>
      <w:r>
        <w:rPr>
          <w:rFonts w:ascii="Courier New" w:eastAsia="Courier New" w:hAnsi="Courier New" w:cs="Courier New"/>
        </w:rPr>
        <w:t>nome_produto</w:t>
      </w:r>
      <w:proofErr w:type="spellEnd"/>
      <w:r>
        <w:t xml:space="preserve"> ou </w:t>
      </w:r>
      <w:proofErr w:type="spellStart"/>
      <w:r>
        <w:rPr>
          <w:rFonts w:ascii="Courier New" w:eastAsia="Courier New" w:hAnsi="Courier New" w:cs="Courier New"/>
        </w:rPr>
        <w:t>preco</w:t>
      </w:r>
      <w:proofErr w:type="spellEnd"/>
      <w:r>
        <w:t xml:space="preserve"> foram descartados (campos essenciais para a análise); quando </w:t>
      </w:r>
      <w:proofErr w:type="spellStart"/>
      <w:r>
        <w:rPr>
          <w:rFonts w:ascii="Courier New" w:eastAsia="Courier New" w:hAnsi="Courier New" w:cs="Courier New"/>
        </w:rPr>
        <w:t>preco_original</w:t>
      </w:r>
      <w:proofErr w:type="spellEnd"/>
      <w:r>
        <w:t xml:space="preserve"> vinha vazio, foi preenchido com o próprio </w:t>
      </w:r>
      <w:proofErr w:type="spellStart"/>
      <w:r>
        <w:rPr>
          <w:rFonts w:ascii="Courier New" w:eastAsia="Courier New" w:hAnsi="Courier New" w:cs="Courier New"/>
        </w:rPr>
        <w:t>preco</w:t>
      </w:r>
      <w:proofErr w:type="spellEnd"/>
      <w:r>
        <w:t xml:space="preserve"> (significa "sem desconto ativo", não um dado faltante de fato). Duplicatas foram removidas por </w:t>
      </w:r>
      <w:proofErr w:type="spellStart"/>
      <w:r>
        <w:rPr>
          <w:rFonts w:ascii="Courier New" w:eastAsia="Courier New" w:hAnsi="Courier New" w:cs="Courier New"/>
        </w:rPr>
        <w:t>codigo_barras</w:t>
      </w:r>
      <w:proofErr w:type="spellEnd"/>
      <w:r>
        <w:t xml:space="preserve"> (chave mais confiável que o nome do produto, que pode se repetir com pequenas variações de embalagem).</w:t>
      </w:r>
    </w:p>
    <w:p w14:paraId="36CA78BB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Padronização.</w:t>
      </w:r>
      <w:r>
        <w:t xml:space="preserve"> Preços foram convertidos para </w:t>
      </w:r>
      <w:proofErr w:type="spellStart"/>
      <w:r>
        <w:rPr>
          <w:rFonts w:ascii="Courier New" w:eastAsia="Courier New" w:hAnsi="Courier New" w:cs="Courier New"/>
        </w:rPr>
        <w:t>float</w:t>
      </w:r>
      <w:proofErr w:type="spellEnd"/>
      <w:r>
        <w:t xml:space="preserve"> com 2 casas decimais de forma tolerante a formato (aceita tanto o número já numérico salvo pelo </w:t>
      </w:r>
      <w:r>
        <w:rPr>
          <w:rFonts w:ascii="Courier New" w:eastAsia="Courier New" w:hAnsi="Courier New" w:cs="Courier New"/>
        </w:rPr>
        <w:t>coleta.py</w:t>
      </w:r>
      <w:r>
        <w:t xml:space="preserve"> quanto uma eventual </w:t>
      </w:r>
      <w:proofErr w:type="spellStart"/>
      <w:r>
        <w:t>string</w:t>
      </w:r>
      <w:proofErr w:type="spellEnd"/>
      <w:r>
        <w:t xml:space="preserve"> em formato BR, ex. "R$ 1.234,56"). Nomes de produto foram normalizados (espaços extras removidos).</w:t>
      </w:r>
    </w:p>
    <w:p w14:paraId="1086681E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Filtro de relevância por item básico (achado importante).</w:t>
      </w:r>
      <w:r>
        <w:t xml:space="preserve"> Ao navegar manualmente pela estrutura de categorias do site (inspecionando o estado interno da aplicação </w:t>
      </w:r>
      <w:proofErr w:type="spellStart"/>
      <w:r>
        <w:t>React</w:t>
      </w:r>
      <w:proofErr w:type="spellEnd"/>
      <w:r>
        <w:t>, não só a interface visível) confirmamos que:</w:t>
      </w:r>
    </w:p>
    <w:p w14:paraId="0F54F3A2" w14:textId="77777777" w:rsidR="000D74D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rFonts w:ascii="Courier New" w:eastAsia="Courier New" w:hAnsi="Courier New" w:cs="Courier New"/>
          <w:color w:val="000000"/>
        </w:rPr>
        <w:t>arroz</w:t>
      </w:r>
      <w:r>
        <w:rPr>
          <w:color w:val="000000"/>
        </w:rPr>
        <w:t xml:space="preserve"> (13758), </w:t>
      </w:r>
      <w:r>
        <w:rPr>
          <w:rFonts w:ascii="Courier New" w:eastAsia="Courier New" w:hAnsi="Courier New" w:cs="Courier New"/>
          <w:color w:val="000000"/>
        </w:rPr>
        <w:t>feijão</w:t>
      </w:r>
      <w:r>
        <w:rPr>
          <w:color w:val="000000"/>
        </w:rPr>
        <w:t xml:space="preserve"> (13759) e </w:t>
      </w:r>
      <w:r>
        <w:rPr>
          <w:rFonts w:ascii="Courier New" w:eastAsia="Courier New" w:hAnsi="Courier New" w:cs="Courier New"/>
          <w:color w:val="000000"/>
        </w:rPr>
        <w:t>açúcar</w:t>
      </w:r>
      <w:r>
        <w:rPr>
          <w:color w:val="000000"/>
        </w:rPr>
        <w:t xml:space="preserve"> (13760) são categorias de nível 2 dedicadas exclusivamente a cada item — praticamente sem ruído (foi encontrado 1 produto fora do escopo: "BISCOITO ARROZ NATURATTA INTEGRAL ZERO 60G" dentro da categoria de arroz).</w:t>
      </w:r>
    </w:p>
    <w:p w14:paraId="49135230" w14:textId="77777777" w:rsidR="000D74D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proofErr w:type="spellStart"/>
      <w:r>
        <w:rPr>
          <w:rFonts w:ascii="Courier New" w:eastAsia="Courier New" w:hAnsi="Courier New" w:cs="Courier New"/>
          <w:color w:val="000000"/>
        </w:rPr>
        <w:t>oleo</w:t>
      </w:r>
      <w:proofErr w:type="spellEnd"/>
      <w:r>
        <w:rPr>
          <w:color w:val="000000"/>
        </w:rPr>
        <w:t xml:space="preserve"> (13799) na verdade corresponde à categoria "Temperos" — um balde amplo que mistura óleos com condimentos, molhos e maionese.</w:t>
      </w:r>
    </w:p>
    <w:p w14:paraId="0544C818" w14:textId="77777777" w:rsidR="000D74D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rFonts w:ascii="Courier New" w:eastAsia="Courier New" w:hAnsi="Courier New" w:cs="Courier New"/>
          <w:color w:val="000000"/>
        </w:rPr>
        <w:t>ovos</w:t>
      </w:r>
      <w:r>
        <w:rPr>
          <w:color w:val="000000"/>
        </w:rPr>
        <w:t xml:space="preserve"> (13797) corresponde à categoria "Mercearia" — outro balde amplo, que mistura ovos com sopas instantâneas, enlatados e mistura para bolo.</w:t>
      </w:r>
    </w:p>
    <w:p w14:paraId="3ABCED3A" w14:textId="77777777" w:rsidR="000D74DC" w:rsidRDefault="000D74DC">
      <w:pPr>
        <w:spacing w:after="100"/>
      </w:pPr>
    </w:p>
    <w:p w14:paraId="7CE59FDC" w14:textId="77777777" w:rsidR="000D74DC" w:rsidRDefault="00000000">
      <w:pPr>
        <w:spacing w:after="200" w:line="300" w:lineRule="auto"/>
        <w:jc w:val="both"/>
      </w:pPr>
      <w:r>
        <w:t xml:space="preserve">O site não expõe, no nível usado pela API de coleta, uma categoria dedicada só a "óleo de cozinha" ou só a "ovos" — essas são subdivisões de terceiro nível, usadas apenas como filtro dentro da interface, sem um identificador estável e documentado que pudéssemos usar diretamente na URL da API. Coletar por essas categorias amplas foi, portanto, uma decisão consciente (é a granularidade que a fonte de dados realmente oferece), mas exigiu um passo adicional de limpeza: um filtro de relevância, </w:t>
      </w:r>
      <w:r>
        <w:lastRenderedPageBreak/>
        <w:t xml:space="preserve">aplicado por </w:t>
      </w:r>
      <w:proofErr w:type="spellStart"/>
      <w:r>
        <w:rPr>
          <w:rFonts w:ascii="Courier New" w:eastAsia="Courier New" w:hAnsi="Courier New" w:cs="Courier New"/>
        </w:rPr>
        <w:t>item_basico</w:t>
      </w:r>
      <w:proofErr w:type="spellEnd"/>
      <w:r>
        <w:t>, que mantém apenas produtos cujo nome começa com o padrão esperado (ex.: só "ÓLEO DE {SOJA|MILHO|CANOLA|GIRASSOL|COCO|...}" para óleo — excluindo de propósito azeite de oliva, por ser um produto de categoria de preço distinta, e itens não alimentícios que aparecem na mesma prateleira do site, como óleo de banho/reparo capilar).</w:t>
      </w:r>
    </w:p>
    <w:p w14:paraId="1032BA4E" w14:textId="77777777" w:rsidR="000D74DC" w:rsidRDefault="00000000">
      <w:pPr>
        <w:spacing w:after="200" w:line="300" w:lineRule="auto"/>
        <w:jc w:val="both"/>
      </w:pPr>
      <w:r>
        <w:t xml:space="preserve">Os itens removidos por esse filtro foram salvos separadamente em </w:t>
      </w:r>
      <w:r>
        <w:rPr>
          <w:rFonts w:ascii="Courier New" w:eastAsia="Courier New" w:hAnsi="Courier New" w:cs="Courier New"/>
        </w:rPr>
        <w:t>itens_excluidos_pelo_filtro.csv</w:t>
      </w:r>
      <w:r>
        <w:t>, preservando rastreabilidade da limpeza para fins de auditoria/relatório.</w:t>
      </w:r>
    </w:p>
    <w:p w14:paraId="0521EDB9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Script:</w:t>
      </w:r>
      <w:r>
        <w:t xml:space="preserve"> </w:t>
      </w:r>
      <w:r>
        <w:rPr>
          <w:rFonts w:ascii="Courier New" w:eastAsia="Courier New" w:hAnsi="Courier New" w:cs="Courier New"/>
        </w:rPr>
        <w:t>tratamento.py</w:t>
      </w:r>
      <w:r>
        <w:t xml:space="preserve">, que lê </w:t>
      </w:r>
      <w:r>
        <w:rPr>
          <w:rFonts w:ascii="Courier New" w:eastAsia="Courier New" w:hAnsi="Courier New" w:cs="Courier New"/>
        </w:rPr>
        <w:t>dados_brutos.csv</w:t>
      </w:r>
      <w:r>
        <w:t xml:space="preserve"> e gera </w:t>
      </w:r>
      <w:r>
        <w:rPr>
          <w:rFonts w:ascii="Courier New" w:eastAsia="Courier New" w:hAnsi="Courier New" w:cs="Courier New"/>
        </w:rPr>
        <w:t>dados_tratados.csv</w:t>
      </w:r>
      <w:r>
        <w:t>.</w:t>
      </w:r>
    </w:p>
    <w:p w14:paraId="01A98C35" w14:textId="77777777" w:rsidR="000D74DC" w:rsidRDefault="00000000">
      <w:pPr>
        <w:pStyle w:val="Ttulo1"/>
        <w:spacing w:before="400"/>
      </w:pPr>
      <w:r>
        <w:t>6. Mineração de Dados, Análises e Visualizações</w:t>
      </w:r>
    </w:p>
    <w:p w14:paraId="607470FE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Estatísticas descritivas</w:t>
      </w:r>
      <w:r>
        <w:t xml:space="preserve"> (calculadas em </w:t>
      </w:r>
      <w:r>
        <w:rPr>
          <w:rFonts w:ascii="Courier New" w:eastAsia="Courier New" w:hAnsi="Courier New" w:cs="Courier New"/>
        </w:rPr>
        <w:t>analise.py</w:t>
      </w:r>
      <w:r>
        <w:t xml:space="preserve">, salvas em </w:t>
      </w:r>
      <w:r>
        <w:rPr>
          <w:rFonts w:ascii="Courier New" w:eastAsia="Courier New" w:hAnsi="Courier New" w:cs="Courier New"/>
        </w:rPr>
        <w:t>estatisticas_descritivas.csv</w:t>
      </w:r>
      <w:r>
        <w:t>):</w:t>
      </w:r>
    </w:p>
    <w:tbl>
      <w:tblPr>
        <w:tblStyle w:val="a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1150"/>
        <w:gridCol w:w="1350"/>
        <w:gridCol w:w="1400"/>
        <w:gridCol w:w="1350"/>
        <w:gridCol w:w="1350"/>
        <w:gridCol w:w="1026"/>
      </w:tblGrid>
      <w:tr w:rsidR="000D74DC" w14:paraId="5D22D81E" w14:textId="77777777">
        <w:trPr>
          <w:tblHeader/>
        </w:trPr>
        <w:tc>
          <w:tcPr>
            <w:tcW w:w="140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FB2C3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11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9DD1F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Contagem</w:t>
            </w:r>
          </w:p>
        </w:tc>
        <w:tc>
          <w:tcPr>
            <w:tcW w:w="13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4D8E2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Média (R$)</w:t>
            </w:r>
          </w:p>
        </w:tc>
        <w:tc>
          <w:tcPr>
            <w:tcW w:w="140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14226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Mediana (R$)</w:t>
            </w:r>
          </w:p>
        </w:tc>
        <w:tc>
          <w:tcPr>
            <w:tcW w:w="13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382CC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Mínimo (R$)</w:t>
            </w:r>
          </w:p>
        </w:tc>
        <w:tc>
          <w:tcPr>
            <w:tcW w:w="13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DA188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Máximo (R$)</w:t>
            </w:r>
          </w:p>
        </w:tc>
        <w:tc>
          <w:tcPr>
            <w:tcW w:w="1026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FA9495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Desvio padrão</w:t>
            </w:r>
          </w:p>
        </w:tc>
      </w:tr>
      <w:tr w:rsidR="000D74DC" w14:paraId="4F348124" w14:textId="77777777"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9D563" w14:textId="77777777" w:rsidR="000D74DC" w:rsidRDefault="00000000">
            <w:r>
              <w:rPr>
                <w:sz w:val="20"/>
                <w:szCs w:val="20"/>
              </w:rPr>
              <w:t>Arroz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BEC51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59F7E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17,39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463DD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12,81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7ECE1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4,94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7342E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43,63</w:t>
            </w:r>
          </w:p>
        </w:tc>
        <w:tc>
          <w:tcPr>
            <w:tcW w:w="10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8447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12,52</w:t>
            </w:r>
          </w:p>
        </w:tc>
      </w:tr>
      <w:tr w:rsidR="000D74DC" w14:paraId="3E9D2559" w14:textId="77777777">
        <w:tc>
          <w:tcPr>
            <w:tcW w:w="140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B2AC1" w14:textId="77777777" w:rsidR="000D74DC" w:rsidRDefault="00000000">
            <w:r>
              <w:rPr>
                <w:sz w:val="20"/>
                <w:szCs w:val="20"/>
              </w:rPr>
              <w:t>Feijão</w:t>
            </w:r>
          </w:p>
        </w:tc>
        <w:tc>
          <w:tcPr>
            <w:tcW w:w="11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3FE6F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13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4DDBD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12,27</w:t>
            </w:r>
          </w:p>
        </w:tc>
        <w:tc>
          <w:tcPr>
            <w:tcW w:w="140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B6756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10,15</w:t>
            </w:r>
          </w:p>
        </w:tc>
        <w:tc>
          <w:tcPr>
            <w:tcW w:w="13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399E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6,58</w:t>
            </w:r>
          </w:p>
        </w:tc>
        <w:tc>
          <w:tcPr>
            <w:tcW w:w="13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7211D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32,41</w:t>
            </w:r>
          </w:p>
        </w:tc>
        <w:tc>
          <w:tcPr>
            <w:tcW w:w="1026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30A5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6,29</w:t>
            </w:r>
          </w:p>
        </w:tc>
      </w:tr>
      <w:tr w:rsidR="000D74DC" w14:paraId="4024B78E" w14:textId="77777777"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EA777" w14:textId="77777777" w:rsidR="000D74DC" w:rsidRDefault="00000000">
            <w:r>
              <w:rPr>
                <w:sz w:val="20"/>
                <w:szCs w:val="20"/>
              </w:rPr>
              <w:t>Açúcar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B5BCC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D533C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8,85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F127E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7,13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5429E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3,67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96EE1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23,25</w:t>
            </w:r>
          </w:p>
        </w:tc>
        <w:tc>
          <w:tcPr>
            <w:tcW w:w="10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F9285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5,09</w:t>
            </w:r>
          </w:p>
        </w:tc>
      </w:tr>
      <w:tr w:rsidR="000D74DC" w14:paraId="759A0559" w14:textId="77777777">
        <w:tc>
          <w:tcPr>
            <w:tcW w:w="140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2A81D" w14:textId="77777777" w:rsidR="000D74DC" w:rsidRDefault="00000000">
            <w:r>
              <w:rPr>
                <w:sz w:val="20"/>
                <w:szCs w:val="20"/>
              </w:rPr>
              <w:t>Óleo</w:t>
            </w:r>
          </w:p>
        </w:tc>
        <w:tc>
          <w:tcPr>
            <w:tcW w:w="11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83F19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95E66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19,66</w:t>
            </w:r>
          </w:p>
        </w:tc>
        <w:tc>
          <w:tcPr>
            <w:tcW w:w="140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7515D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20,95</w:t>
            </w:r>
          </w:p>
        </w:tc>
        <w:tc>
          <w:tcPr>
            <w:tcW w:w="13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91C3F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9,46</w:t>
            </w:r>
          </w:p>
        </w:tc>
        <w:tc>
          <w:tcPr>
            <w:tcW w:w="13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D9752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27,26</w:t>
            </w:r>
          </w:p>
        </w:tc>
        <w:tc>
          <w:tcPr>
            <w:tcW w:w="1026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2F6FC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7,42</w:t>
            </w:r>
          </w:p>
        </w:tc>
      </w:tr>
      <w:tr w:rsidR="000D74DC" w14:paraId="590CD927" w14:textId="77777777"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C2570" w14:textId="77777777" w:rsidR="000D74DC" w:rsidRDefault="00000000">
            <w:r>
              <w:rPr>
                <w:sz w:val="20"/>
                <w:szCs w:val="20"/>
              </w:rPr>
              <w:t>Ovos</w:t>
            </w:r>
          </w:p>
        </w:tc>
        <w:tc>
          <w:tcPr>
            <w:tcW w:w="11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50824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6075E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15,37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5AD7D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16,83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D767D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9,67</w:t>
            </w:r>
          </w:p>
        </w:tc>
        <w:tc>
          <w:tcPr>
            <w:tcW w:w="13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790B2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25,63</w:t>
            </w:r>
          </w:p>
        </w:tc>
        <w:tc>
          <w:tcPr>
            <w:tcW w:w="10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6DD19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5,79</w:t>
            </w:r>
          </w:p>
        </w:tc>
      </w:tr>
    </w:tbl>
    <w:p w14:paraId="5CF39B89" w14:textId="77777777" w:rsidR="000D74DC" w:rsidRDefault="000D74DC">
      <w:pPr>
        <w:spacing w:after="300"/>
      </w:pPr>
    </w:p>
    <w:p w14:paraId="08A2C5F8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Gráficos gerados</w:t>
      </w:r>
      <w:r>
        <w:t xml:space="preserve"> (3 gráficos distintos, cada um com título, eixos e legenda, exigência do critério 4):</w:t>
      </w:r>
    </w:p>
    <w:p w14:paraId="67915D7C" w14:textId="77777777" w:rsidR="000D74D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rFonts w:ascii="Courier New" w:eastAsia="Courier New" w:hAnsi="Courier New" w:cs="Courier New"/>
          <w:color w:val="000000"/>
        </w:rPr>
        <w:t>grafico1_preco_medio.png</w:t>
      </w:r>
      <w:r>
        <w:rPr>
          <w:color w:val="000000"/>
        </w:rPr>
        <w:t xml:space="preserve"> — barras com o preço médio de cada item básico.</w:t>
      </w:r>
    </w:p>
    <w:p w14:paraId="4EBC4632" w14:textId="77777777" w:rsidR="000D74D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rFonts w:ascii="Courier New" w:eastAsia="Courier New" w:hAnsi="Courier New" w:cs="Courier New"/>
          <w:color w:val="000000"/>
        </w:rPr>
        <w:t>grafico2_distribuicao_precos.png</w:t>
      </w:r>
      <w:r>
        <w:rPr>
          <w:color w:val="000000"/>
        </w:rPr>
        <w:t xml:space="preserve"> — </w:t>
      </w:r>
      <w:proofErr w:type="spellStart"/>
      <w:r>
        <w:rPr>
          <w:color w:val="000000"/>
        </w:rPr>
        <w:t>boxplot</w:t>
      </w:r>
      <w:proofErr w:type="spellEnd"/>
      <w:r>
        <w:rPr>
          <w:color w:val="000000"/>
        </w:rPr>
        <w:t xml:space="preserve"> da distribuição de preços por item, evidenciando dispersão e outliers.</w:t>
      </w:r>
    </w:p>
    <w:p w14:paraId="27DDD870" w14:textId="77777777" w:rsidR="000D74D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rFonts w:ascii="Courier New" w:eastAsia="Courier New" w:hAnsi="Courier New" w:cs="Courier New"/>
          <w:color w:val="000000"/>
        </w:rPr>
        <w:t>grafico3_menor_maior_preco.png</w:t>
      </w:r>
      <w:r>
        <w:rPr>
          <w:color w:val="000000"/>
        </w:rPr>
        <w:t xml:space="preserve"> — barras horizontais comparando o produto mais barato e o mais caro de cada item, respondendo diretamente à pergunta de negócio.</w:t>
      </w:r>
    </w:p>
    <w:p w14:paraId="04C5063A" w14:textId="77777777" w:rsidR="000D74DC" w:rsidRDefault="000D74DC">
      <w:pPr>
        <w:spacing w:after="100"/>
      </w:pPr>
    </w:p>
    <w:p w14:paraId="158C81C4" w14:textId="77777777" w:rsidR="000D74DC" w:rsidRDefault="00000000">
      <w:pPr>
        <w:spacing w:before="200" w:after="100"/>
        <w:jc w:val="center"/>
      </w:pPr>
      <w:r>
        <w:rPr>
          <w:noProof/>
        </w:rPr>
        <w:lastRenderedPageBreak/>
        <w:drawing>
          <wp:inline distT="0" distB="0" distL="0" distR="0" wp14:anchorId="23132DBF" wp14:editId="31CEC6C3">
            <wp:extent cx="4762500" cy="30575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057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5AF380" w14:textId="77777777" w:rsidR="000D74DC" w:rsidRDefault="00000000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Figura 1 — Preço médio por item básico.</w:t>
      </w:r>
    </w:p>
    <w:p w14:paraId="1E3C514A" w14:textId="77777777" w:rsidR="000D74DC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64AC0087" wp14:editId="359D2524">
            <wp:extent cx="4762500" cy="2857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074AEB" w14:textId="77777777" w:rsidR="000D74DC" w:rsidRDefault="00000000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Figura 2 — Distribuição (</w:t>
      </w:r>
      <w:proofErr w:type="spellStart"/>
      <w:r>
        <w:rPr>
          <w:i/>
          <w:iCs/>
          <w:color w:val="595959"/>
          <w:sz w:val="20"/>
          <w:szCs w:val="20"/>
        </w:rPr>
        <w:t>boxplot</w:t>
      </w:r>
      <w:proofErr w:type="spellEnd"/>
      <w:r>
        <w:rPr>
          <w:i/>
          <w:iCs/>
          <w:color w:val="595959"/>
          <w:sz w:val="20"/>
          <w:szCs w:val="20"/>
        </w:rPr>
        <w:t>) de preços por item básico.</w:t>
      </w:r>
    </w:p>
    <w:p w14:paraId="31D1D457" w14:textId="77777777" w:rsidR="000D74DC" w:rsidRDefault="00000000">
      <w:pPr>
        <w:spacing w:before="200" w:after="100"/>
        <w:jc w:val="center"/>
      </w:pPr>
      <w:r>
        <w:rPr>
          <w:noProof/>
        </w:rPr>
        <w:lastRenderedPageBreak/>
        <w:drawing>
          <wp:inline distT="0" distB="0" distL="0" distR="0" wp14:anchorId="68A6B7B5" wp14:editId="5EE28E97">
            <wp:extent cx="4762500" cy="264795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64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BE592" w14:textId="77777777" w:rsidR="000D74DC" w:rsidRDefault="00000000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Figura 3 — Produto mais barato x mais caro por item básico.</w:t>
      </w:r>
    </w:p>
    <w:p w14:paraId="7E32F551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Padrões identificados:</w:t>
      </w:r>
    </w:p>
    <w:p w14:paraId="03FA181E" w14:textId="77777777" w:rsidR="000D74D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Em média, Óleo é o item mais caro da cesta (R$ 19,66) e Açúcar o mais barato (R$ 8,85).</w:t>
      </w:r>
    </w:p>
    <w:p w14:paraId="2C7BFBC2" w14:textId="77777777" w:rsidR="000D74D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Arroz é o item com maior variação de preço entre produtos coletados (783% entre o mais barato e o mais caro) — mas esse número precisa de uma ressalva importante: o produto mais caro coletado não é um arroz comum, e sim um arroz especial ("ARROZ NEGRO LA PASTINA 500G", um arroz negro/integral de nicho), enquanto o mais barato é um arroz branco comum de 1kg. A diferença reflete, portanto, tipos de produto muito distintos dentro da mesma categoria, não apenas diferença de marca para um produto equivalente — um cuidado metodológico que vale registrar na conclusão.</w:t>
      </w:r>
    </w:p>
    <w:p w14:paraId="2B76188B" w14:textId="77777777" w:rsidR="000D74D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Já Ovos é o item com menor variação percentual entre marcas (165%), sugerindo um mercado mais padronizado para esse produto nessa loja.</w:t>
      </w:r>
    </w:p>
    <w:p w14:paraId="6C9868E1" w14:textId="77777777" w:rsidR="000D74D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Arroz também é o item com maior dispersão de preços (desvio padrão de R$ 12,52), coerente com ser a categoria com mais produtos coletados (30) e maior variedade de tipos.</w:t>
      </w:r>
    </w:p>
    <w:p w14:paraId="2DFC7E85" w14:textId="77777777" w:rsidR="000D74DC" w:rsidRDefault="000D74DC">
      <w:pPr>
        <w:spacing w:after="100"/>
      </w:pPr>
    </w:p>
    <w:p w14:paraId="4A8E74AE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Limitação de amostra registrada:</w:t>
      </w:r>
      <w:r>
        <w:t xml:space="preserve"> a categoria "óleo" ficou com apenas 4 produtos após o filtro de relevância (contra 13–30 dos demais itens), porque ela corresponde, na fonte de dados, à categoria ampla "Temperos" (ver seção 5) — dentro do limite de páginas coletadas, poucos itens eram efetivamente óleo de cozinha. A equipe optou conscientemente por manter os 4 registros disponíveis em vez de arriscar uma nova coleta (tokens de curta duração), reconhecendo que a comparação de marcas para esse item específico tem uma base amostral menor que a dos demais.</w:t>
      </w:r>
    </w:p>
    <w:p w14:paraId="561F122C" w14:textId="77777777" w:rsidR="000D74DC" w:rsidRDefault="00000000">
      <w:pPr>
        <w:pStyle w:val="Ttulo1"/>
        <w:spacing w:before="400"/>
      </w:pPr>
      <w:r>
        <w:t>7. Pipeline e Dashboard</w:t>
      </w:r>
    </w:p>
    <w:p w14:paraId="01090F75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lastRenderedPageBreak/>
        <w:t>Dashboard</w:t>
      </w:r>
      <w:r>
        <w:t xml:space="preserve"> (</w:t>
      </w:r>
      <w:r>
        <w:rPr>
          <w:rFonts w:ascii="Courier New" w:eastAsia="Courier New" w:hAnsi="Courier New" w:cs="Courier New"/>
        </w:rPr>
        <w:t>dashboard.png</w:t>
      </w:r>
      <w:r>
        <w:t xml:space="preserve">, Python + </w:t>
      </w:r>
      <w:proofErr w:type="spellStart"/>
      <w:r>
        <w:t>Matplotlib</w:t>
      </w:r>
      <w:proofErr w:type="spellEnd"/>
      <w:r>
        <w:t>, critério 5): combina em uma única figura o gráfico de preço médio por item e o gráfico de menor x maior preço, dando uma visão consolidada da cesta em um único painel.</w:t>
      </w:r>
    </w:p>
    <w:p w14:paraId="53A2BD71" w14:textId="77777777" w:rsidR="000D74DC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34853004" wp14:editId="748FD846">
            <wp:extent cx="5905500" cy="235267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352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4A6BE6" w14:textId="77777777" w:rsidR="000D74DC" w:rsidRDefault="00000000">
      <w:pPr>
        <w:spacing w:after="300"/>
        <w:jc w:val="center"/>
      </w:pPr>
      <w:r>
        <w:rPr>
          <w:i/>
          <w:iCs/>
          <w:color w:val="595959"/>
          <w:sz w:val="20"/>
          <w:szCs w:val="20"/>
        </w:rPr>
        <w:t>Figura 4 — Dashboard consolidado (preço médio + menor x maior preço).</w:t>
      </w:r>
    </w:p>
    <w:p w14:paraId="331A1F50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Resposta à pergunta de negócio</w:t>
      </w:r>
      <w:r>
        <w:t xml:space="preserve"> ("Quais marcas de cada item básico têm o menor e o maior preço no São Luiz, e qual a diferença entre elas?"), com base em </w:t>
      </w:r>
      <w:r>
        <w:rPr>
          <w:rFonts w:ascii="Courier New" w:eastAsia="Courier New" w:hAnsi="Courier New" w:cs="Courier New"/>
        </w:rPr>
        <w:t>resumo_menor_maior_preco.csv</w:t>
      </w:r>
      <w:r>
        <w:t>:</w:t>
      </w:r>
    </w:p>
    <w:tbl>
      <w:tblPr>
        <w:tblStyle w:val="a1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2450"/>
        <w:gridCol w:w="850"/>
        <w:gridCol w:w="2450"/>
        <w:gridCol w:w="850"/>
        <w:gridCol w:w="1576"/>
      </w:tblGrid>
      <w:tr w:rsidR="000D74DC" w14:paraId="13D5B81E" w14:textId="77777777">
        <w:trPr>
          <w:tblHeader/>
        </w:trPr>
        <w:tc>
          <w:tcPr>
            <w:tcW w:w="8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001DA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4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3CE1B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Mais barato</w:t>
            </w:r>
          </w:p>
        </w:tc>
        <w:tc>
          <w:tcPr>
            <w:tcW w:w="8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6A757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Preço</w:t>
            </w:r>
          </w:p>
        </w:tc>
        <w:tc>
          <w:tcPr>
            <w:tcW w:w="24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EA406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Mais caro</w:t>
            </w:r>
          </w:p>
        </w:tc>
        <w:tc>
          <w:tcPr>
            <w:tcW w:w="850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757E9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Preço</w:t>
            </w:r>
          </w:p>
        </w:tc>
        <w:tc>
          <w:tcPr>
            <w:tcW w:w="1576" w:type="dxa"/>
            <w:shd w:val="clear" w:color="auto" w:fill="2A78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48EC3" w14:textId="77777777" w:rsidR="000D74D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Diferença</w:t>
            </w:r>
          </w:p>
        </w:tc>
      </w:tr>
      <w:tr w:rsidR="000D74DC" w14:paraId="00369BFF" w14:textId="77777777"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51252" w14:textId="77777777" w:rsidR="000D74DC" w:rsidRDefault="00000000">
            <w:r>
              <w:rPr>
                <w:sz w:val="20"/>
                <w:szCs w:val="20"/>
              </w:rPr>
              <w:t>Arroz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C88D7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Arroz Ara Branco Longo Fino Tipo 1 1kg</w:t>
            </w:r>
          </w:p>
        </w:tc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A6AA8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R$ 4,94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AA4F8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Arroz Negro La </w:t>
            </w:r>
            <w:proofErr w:type="spellStart"/>
            <w:r>
              <w:rPr>
                <w:sz w:val="20"/>
                <w:szCs w:val="20"/>
              </w:rPr>
              <w:t>Pastina</w:t>
            </w:r>
            <w:proofErr w:type="spellEnd"/>
            <w:r>
              <w:rPr>
                <w:sz w:val="20"/>
                <w:szCs w:val="20"/>
              </w:rPr>
              <w:t xml:space="preserve"> 500g</w:t>
            </w:r>
          </w:p>
        </w:tc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79430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R$ 43,63</w:t>
            </w:r>
          </w:p>
        </w:tc>
        <w:tc>
          <w:tcPr>
            <w:tcW w:w="157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CC3F6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+783%</w:t>
            </w:r>
          </w:p>
        </w:tc>
      </w:tr>
      <w:tr w:rsidR="000D74DC" w14:paraId="37B20387" w14:textId="77777777">
        <w:tc>
          <w:tcPr>
            <w:tcW w:w="8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B4121" w14:textId="77777777" w:rsidR="000D74DC" w:rsidRDefault="00000000">
            <w:r>
              <w:rPr>
                <w:sz w:val="20"/>
                <w:szCs w:val="20"/>
              </w:rPr>
              <w:t>Feijão</w:t>
            </w:r>
          </w:p>
        </w:tc>
        <w:tc>
          <w:tcPr>
            <w:tcW w:w="24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E715F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Feijão de Corda Fibra Tipo 1 1kg</w:t>
            </w:r>
          </w:p>
        </w:tc>
        <w:tc>
          <w:tcPr>
            <w:tcW w:w="8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01E56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R$ 6,58</w:t>
            </w:r>
          </w:p>
        </w:tc>
        <w:tc>
          <w:tcPr>
            <w:tcW w:w="24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86E08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Feijão Verde Natan 1kg</w:t>
            </w:r>
          </w:p>
        </w:tc>
        <w:tc>
          <w:tcPr>
            <w:tcW w:w="8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209DC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R$ 32,41</w:t>
            </w:r>
          </w:p>
        </w:tc>
        <w:tc>
          <w:tcPr>
            <w:tcW w:w="1576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13EC7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+393%</w:t>
            </w:r>
          </w:p>
        </w:tc>
      </w:tr>
      <w:tr w:rsidR="000D74DC" w14:paraId="0BF0A207" w14:textId="77777777"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E2477" w14:textId="77777777" w:rsidR="000D74DC" w:rsidRDefault="00000000">
            <w:r>
              <w:rPr>
                <w:sz w:val="20"/>
                <w:szCs w:val="20"/>
              </w:rPr>
              <w:t>Açúcar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9BB94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Açúcar Cristal Olho D'Água 1kg</w:t>
            </w:r>
          </w:p>
        </w:tc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DE826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R$ 3,67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FA2F1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Açúcar Mascavo União Pacote 1kg</w:t>
            </w:r>
          </w:p>
        </w:tc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AC6AE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R$ 23,25</w:t>
            </w:r>
          </w:p>
        </w:tc>
        <w:tc>
          <w:tcPr>
            <w:tcW w:w="157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4AD7D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+534%</w:t>
            </w:r>
          </w:p>
        </w:tc>
      </w:tr>
      <w:tr w:rsidR="000D74DC" w14:paraId="01FEBA86" w14:textId="77777777">
        <w:tc>
          <w:tcPr>
            <w:tcW w:w="8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4A58F" w14:textId="77777777" w:rsidR="000D74DC" w:rsidRDefault="00000000">
            <w:r>
              <w:rPr>
                <w:sz w:val="20"/>
                <w:szCs w:val="20"/>
              </w:rPr>
              <w:t>Óleo</w:t>
            </w:r>
          </w:p>
        </w:tc>
        <w:tc>
          <w:tcPr>
            <w:tcW w:w="24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02F92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Óleo de Soja Soya 900ml</w:t>
            </w:r>
          </w:p>
        </w:tc>
        <w:tc>
          <w:tcPr>
            <w:tcW w:w="8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DDEF7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R$ 9,46</w:t>
            </w:r>
          </w:p>
        </w:tc>
        <w:tc>
          <w:tcPr>
            <w:tcW w:w="24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F64EC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Óleo de Girassol </w:t>
            </w:r>
            <w:proofErr w:type="spellStart"/>
            <w:r>
              <w:rPr>
                <w:sz w:val="20"/>
                <w:szCs w:val="20"/>
              </w:rPr>
              <w:t>Mazola</w:t>
            </w:r>
            <w:proofErr w:type="spellEnd"/>
            <w:r>
              <w:rPr>
                <w:sz w:val="20"/>
                <w:szCs w:val="20"/>
              </w:rPr>
              <w:t xml:space="preserve"> 900ml</w:t>
            </w:r>
          </w:p>
        </w:tc>
        <w:tc>
          <w:tcPr>
            <w:tcW w:w="850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F9E9C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R$ 27,26</w:t>
            </w:r>
          </w:p>
        </w:tc>
        <w:tc>
          <w:tcPr>
            <w:tcW w:w="1576" w:type="dxa"/>
            <w:shd w:val="clear" w:color="auto" w:fill="F2F6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4773A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+188%</w:t>
            </w:r>
          </w:p>
        </w:tc>
      </w:tr>
      <w:tr w:rsidR="000D74DC" w14:paraId="4BB4B6B4" w14:textId="77777777"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660FA" w14:textId="77777777" w:rsidR="000D74DC" w:rsidRDefault="00000000">
            <w:r>
              <w:rPr>
                <w:sz w:val="20"/>
                <w:szCs w:val="20"/>
              </w:rPr>
              <w:t>Ovos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31670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Ovo Branco Grande Cage-Free </w:t>
            </w:r>
            <w:proofErr w:type="spellStart"/>
            <w:r>
              <w:rPr>
                <w:sz w:val="20"/>
                <w:szCs w:val="20"/>
              </w:rPr>
              <w:t>Avine</w:t>
            </w:r>
            <w:proofErr w:type="spellEnd"/>
            <w:r>
              <w:rPr>
                <w:sz w:val="20"/>
                <w:szCs w:val="20"/>
              </w:rPr>
              <w:t xml:space="preserve"> (10un)</w:t>
            </w:r>
          </w:p>
        </w:tc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09956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R$ 9,67</w:t>
            </w:r>
          </w:p>
        </w:tc>
        <w:tc>
          <w:tcPr>
            <w:tcW w:w="24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73921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Ovo Branco </w:t>
            </w:r>
            <w:proofErr w:type="spellStart"/>
            <w:r>
              <w:rPr>
                <w:sz w:val="20"/>
                <w:szCs w:val="20"/>
              </w:rPr>
              <w:t>Avine</w:t>
            </w:r>
            <w:proofErr w:type="spellEnd"/>
            <w:r>
              <w:rPr>
                <w:sz w:val="20"/>
                <w:szCs w:val="20"/>
              </w:rPr>
              <w:t xml:space="preserve"> Extra (30un)</w:t>
            </w:r>
          </w:p>
        </w:tc>
        <w:tc>
          <w:tcPr>
            <w:tcW w:w="85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78C5E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R$ 25,63</w:t>
            </w:r>
          </w:p>
        </w:tc>
        <w:tc>
          <w:tcPr>
            <w:tcW w:w="157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0CE3C" w14:textId="77777777" w:rsidR="000D74DC" w:rsidRDefault="00000000">
            <w:pPr>
              <w:jc w:val="center"/>
            </w:pPr>
            <w:r>
              <w:rPr>
                <w:sz w:val="20"/>
                <w:szCs w:val="20"/>
              </w:rPr>
              <w:t>+165%</w:t>
            </w:r>
          </w:p>
        </w:tc>
      </w:tr>
    </w:tbl>
    <w:p w14:paraId="6ED1E83C" w14:textId="77777777" w:rsidR="000D74DC" w:rsidRDefault="000D74DC">
      <w:pPr>
        <w:spacing w:after="300"/>
      </w:pPr>
    </w:p>
    <w:p w14:paraId="05C745A1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Pipeline de automação proposto</w:t>
      </w:r>
      <w:r>
        <w:t xml:space="preserve"> (agendamento diário): um agendador (</w:t>
      </w:r>
      <w:proofErr w:type="spellStart"/>
      <w:r>
        <w:t>cron</w:t>
      </w:r>
      <w:proofErr w:type="spellEnd"/>
      <w:r>
        <w:t xml:space="preserve">, Task </w:t>
      </w:r>
      <w:proofErr w:type="spellStart"/>
      <w:r>
        <w:t>Scheduler</w:t>
      </w:r>
      <w:proofErr w:type="spellEnd"/>
      <w:r>
        <w:t xml:space="preserve"> ou um serviço como </w:t>
      </w:r>
      <w:proofErr w:type="spellStart"/>
      <w:r>
        <w:t>Airflow</w:t>
      </w:r>
      <w:proofErr w:type="spellEnd"/>
      <w:r>
        <w:t xml:space="preserve">) dispararia </w:t>
      </w:r>
      <w:r>
        <w:rPr>
          <w:rFonts w:ascii="Courier New" w:eastAsia="Courier New" w:hAnsi="Courier New" w:cs="Courier New"/>
        </w:rPr>
        <w:t>coleta.py</w:t>
      </w:r>
      <w:r>
        <w:t xml:space="preserve"> diariamente, seguido de </w:t>
      </w:r>
      <w:r>
        <w:rPr>
          <w:rFonts w:ascii="Courier New" w:eastAsia="Courier New" w:hAnsi="Courier New" w:cs="Courier New"/>
        </w:rPr>
        <w:t>tratamento.py</w:t>
      </w:r>
      <w:r>
        <w:t xml:space="preserve"> e </w:t>
      </w:r>
      <w:r>
        <w:rPr>
          <w:rFonts w:ascii="Courier New" w:eastAsia="Courier New" w:hAnsi="Courier New" w:cs="Courier New"/>
        </w:rPr>
        <w:t>analise.py</w:t>
      </w:r>
      <w:r>
        <w:t xml:space="preserve"> em sequência, com o token renovado a cada execução (via login automatizado, se a empresa tivesse acordo formal de uso da API) e alertas em caso de falha (401/403).</w:t>
      </w:r>
    </w:p>
    <w:tbl>
      <w:tblPr>
        <w:tblStyle w:val="a2"/>
        <w:tblW w:w="902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0D74DC" w14:paraId="2ED043CF" w14:textId="77777777">
        <w:tc>
          <w:tcPr>
            <w:tcW w:w="9026" w:type="dxa"/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8C6E051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Agendador diário 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cron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/ Task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Scheduler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Airflow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  <w:p w14:paraId="1098716C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│</w:t>
            </w:r>
          </w:p>
          <w:p w14:paraId="43440896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▼</w:t>
            </w:r>
          </w:p>
          <w:p w14:paraId="240A3FDB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coleta.py  ─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─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►  tratamento.py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──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►  analise.py</w:t>
            </w:r>
            <w:proofErr w:type="gramEnd"/>
          </w:p>
          <w:p w14:paraId="38407479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(extrai da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limpa,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>dedup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,   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estatísticas,</w:t>
            </w:r>
          </w:p>
          <w:p w14:paraId="1BC11D7A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API)   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filtra </w:t>
            </w:r>
            <w:proofErr w:type="gramStart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relevância)   </w:t>
            </w:r>
            <w:proofErr w:type="gramEnd"/>
            <w:r>
              <w:rPr>
                <w:rFonts w:ascii="Courier New" w:eastAsia="Courier New" w:hAnsi="Courier New" w:cs="Courier New"/>
                <w:sz w:val="19"/>
                <w:szCs w:val="19"/>
              </w:rPr>
              <w:t>gráficos, dashboard)</w:t>
            </w:r>
          </w:p>
          <w:p w14:paraId="5A948ACA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│</w:t>
            </w:r>
          </w:p>
          <w:p w14:paraId="0F9D4D70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lastRenderedPageBreak/>
              <w:t xml:space="preserve">        ▼ (em caso de 401/403)</w:t>
            </w:r>
          </w:p>
          <w:p w14:paraId="20B0844D" w14:textId="77777777" w:rsidR="000D74DC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alerta + renovação do token</w:t>
            </w:r>
          </w:p>
        </w:tc>
      </w:tr>
    </w:tbl>
    <w:p w14:paraId="06C61AC5" w14:textId="77777777" w:rsidR="000D74DC" w:rsidRDefault="00000000">
      <w:pPr>
        <w:pStyle w:val="Ttulo1"/>
        <w:spacing w:before="400"/>
      </w:pPr>
      <w:r>
        <w:t>8. Aspectos Éticos e Legais</w:t>
      </w:r>
    </w:p>
    <w:p w14:paraId="78FD9E60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Os dados coletados eram publicamente acessíveis?</w:t>
      </w:r>
      <w:r>
        <w:t xml:space="preserve"> Sim. As informações de produto e preço estão disponíveis para qualquer visitante do site, sem necessidade de login ou cadastro.</w:t>
      </w:r>
    </w:p>
    <w:p w14:paraId="34B1CC86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Existia uma API que poderia ser utilizada como alternativa?</w:t>
      </w:r>
      <w:r>
        <w:t xml:space="preserve"> A própria fonte de dados é consumida via uma API — porém não uma API pública e documentada, oferecida oficialmente para desenvolvedores externos, e sim uma interface interna do site, obtida por engenharia reversa do tráfego de rede (ver seção Método de Coleta). Não foi identificada, no escopo desta atividade, uma API pública oficial e documentada para os mesmos dados.</w:t>
      </w:r>
    </w:p>
    <w:p w14:paraId="24001011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Foram coletados dados pessoais?</w:t>
      </w:r>
      <w:r>
        <w:t xml:space="preserve"> Não. Os registros coletados contêm apenas informações de produtos (nome, preço, código de barras, estoque, categoria); nenhum dado de clientes, pedidos ou informações pessoais foi acessado ou armazenado.</w:t>
      </w:r>
    </w:p>
    <w:p w14:paraId="3175186B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A coleta poderia causar sobrecarga ao servidor?</w:t>
      </w:r>
      <w:r>
        <w:t xml:space="preserve"> Sim, caso feita sem controle — e isso foi observado na prática: uma sequência de requisições em ritmo elevado (mesmo com pausa de 1 segundo entre chamadas) foi suficiente para que um mecanismo de proteção do servidor retornasse erro 403. Isso confirma que o serviço monitora e limita o volume de requisições por origem.</w:t>
      </w:r>
    </w:p>
    <w:p w14:paraId="74369C35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Que cuidados deveriam ser adotados caso esse processo fosse utilizado continuamente por uma empresa?</w:t>
      </w:r>
      <w:r>
        <w:t xml:space="preserve"> Com base na experiência prática desta atividade, recomenda-se:</w:t>
      </w:r>
    </w:p>
    <w:p w14:paraId="6E138733" w14:textId="77777777" w:rsidR="000D74D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 xml:space="preserve">Limitar a frequência e o volume de requisições (rate </w:t>
      </w:r>
      <w:proofErr w:type="spellStart"/>
      <w:r>
        <w:rPr>
          <w:color w:val="000000"/>
        </w:rPr>
        <w:t>limiting</w:t>
      </w:r>
      <w:proofErr w:type="spellEnd"/>
      <w:r>
        <w:rPr>
          <w:color w:val="000000"/>
        </w:rPr>
        <w:t xml:space="preserve"> no lado do cliente, com pausas e </w:t>
      </w:r>
      <w:proofErr w:type="spellStart"/>
      <w:r>
        <w:rPr>
          <w:color w:val="000000"/>
        </w:rPr>
        <w:t>backoff</w:t>
      </w:r>
      <w:proofErr w:type="spellEnd"/>
      <w:r>
        <w:rPr>
          <w:color w:val="000000"/>
        </w:rPr>
        <w:t xml:space="preserve"> progressivo em caso de erro).</w:t>
      </w:r>
    </w:p>
    <w:p w14:paraId="7E36A995" w14:textId="77777777" w:rsidR="000D74D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Coletar apenas os dados estritamente necessários para a análise, em vez de varrer o catálogo completo.</w:t>
      </w:r>
    </w:p>
    <w:p w14:paraId="1214B54A" w14:textId="77777777" w:rsidR="000D74D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 xml:space="preserve">Tratar o token de autenticação como uma credencial sensível (nunca </w:t>
      </w:r>
      <w:proofErr w:type="spellStart"/>
      <w:r>
        <w:rPr>
          <w:color w:val="000000"/>
        </w:rPr>
        <w:t>versionado</w:t>
      </w:r>
      <w:proofErr w:type="spellEnd"/>
      <w:r>
        <w:rPr>
          <w:color w:val="000000"/>
        </w:rPr>
        <w:t xml:space="preserve"> em repositórios públicos, armazenado via variável de ambiente).</w:t>
      </w:r>
    </w:p>
    <w:p w14:paraId="3F7B8A9C" w14:textId="77777777" w:rsidR="000D74D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Monitorar respostas de erro (401/403/429) para identificar bloqueios e ajustar o comportamento automaticamente.</w:t>
      </w:r>
    </w:p>
    <w:p w14:paraId="01815B64" w14:textId="77777777" w:rsidR="000D74D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Avaliar, junto à empresa proprietária do site, a possibilidade de acordo formal de uso de dados, já que se trata de uma API não documentada publicamente.</w:t>
      </w:r>
    </w:p>
    <w:p w14:paraId="5A9BC133" w14:textId="77777777" w:rsidR="000D74DC" w:rsidRDefault="000D74DC">
      <w:pPr>
        <w:spacing w:after="200"/>
      </w:pPr>
    </w:p>
    <w:p w14:paraId="244FB25F" w14:textId="77777777" w:rsidR="000D74DC" w:rsidRDefault="00000000">
      <w:pPr>
        <w:spacing w:after="200" w:line="300" w:lineRule="auto"/>
        <w:jc w:val="both"/>
      </w:pPr>
      <w:r>
        <w:rPr>
          <w:b/>
          <w:bCs/>
        </w:rPr>
        <w:t>Três boas práticas adotadas nesta coleta:</w:t>
      </w:r>
    </w:p>
    <w:p w14:paraId="207ABA95" w14:textId="77777777" w:rsidR="000D74D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Pausa de 1,5 segundo entre requisições consecutivas, para não sobrecarregar o servidor.</w:t>
      </w:r>
    </w:p>
    <w:p w14:paraId="1F54B854" w14:textId="77777777" w:rsidR="000D74D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lastRenderedPageBreak/>
        <w:t>Limite de páginas por categoria, coletando apenas o volume necessário para a análise (não uma extração massiva do catálogo completo).</w:t>
      </w:r>
    </w:p>
    <w:p w14:paraId="10302BF6" w14:textId="77777777" w:rsidR="000D74D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  <w:jc w:val="both"/>
      </w:pPr>
      <w:r>
        <w:rPr>
          <w:color w:val="000000"/>
        </w:rPr>
        <w:t>Token de autenticação mantido fora do código-fonte (variável de ambiente), evitando exposição de credenciais em caso de publicação do código.</w:t>
      </w:r>
    </w:p>
    <w:sectPr w:rsidR="000D74DC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61F18524-3CE2-4C46-AD41-330900EAB8C9}"/>
    <w:embedBold r:id="rId2" w:fontKey="{704E845C-DF43-4249-9211-74448FC4A270}"/>
    <w:embedItalic r:id="rId3" w:fontKey="{F0907992-ABA0-9F44-8260-989B1D02352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64907526-34C3-AD45-B23E-15E91BBE2A9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36AE9D52-8571-484B-9400-1829494142A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4C796715-A0C7-1D45-BAC7-6EDD52C51B0E}"/>
  </w:font>
  <w:font w:name="Cambria">
    <w:panose1 w:val="02040503050406030204"/>
    <w:charset w:val="00"/>
    <w:family w:val="roman"/>
    <w:notTrueType/>
    <w:pitch w:val="default"/>
    <w:embedRegular r:id="rId7" w:fontKey="{791B8040-E609-5D4F-9159-ED5ADF098C8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1D62F6"/>
    <w:multiLevelType w:val="multilevel"/>
    <w:tmpl w:val="2C76F376"/>
    <w:lvl w:ilvl="0">
      <w:start w:val="1"/>
      <w:numFmt w:val="bullet"/>
      <w:lvlText w:val="•"/>
      <w:lvlJc w:val="left"/>
      <w:pPr>
        <w:ind w:left="46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5E37668"/>
    <w:multiLevelType w:val="multilevel"/>
    <w:tmpl w:val="7EC4B370"/>
    <w:lvl w:ilvl="0">
      <w:start w:val="1"/>
      <w:numFmt w:val="decimal"/>
      <w:lvlText w:val="%1."/>
      <w:lvlJc w:val="left"/>
      <w:pPr>
        <w:ind w:left="46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66BF7CB1"/>
    <w:multiLevelType w:val="multilevel"/>
    <w:tmpl w:val="AF32AA0A"/>
    <w:lvl w:ilvl="0">
      <w:start w:val="1"/>
      <w:numFmt w:val="decimal"/>
      <w:lvlText w:val="%1."/>
      <w:lvlJc w:val="left"/>
      <w:pPr>
        <w:ind w:left="46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75341D38"/>
    <w:multiLevelType w:val="multilevel"/>
    <w:tmpl w:val="62FE319E"/>
    <w:lvl w:ilvl="0">
      <w:start w:val="1"/>
      <w:numFmt w:val="decimal"/>
      <w:lvlText w:val="%1."/>
      <w:lvlJc w:val="left"/>
      <w:pPr>
        <w:ind w:left="46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7D4F1DEE"/>
    <w:multiLevelType w:val="multilevel"/>
    <w:tmpl w:val="D88617B8"/>
    <w:lvl w:ilvl="0">
      <w:start w:val="1"/>
      <w:numFmt w:val="decimal"/>
      <w:lvlText w:val="%1."/>
      <w:lvlJc w:val="left"/>
      <w:pPr>
        <w:ind w:left="46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594094123">
    <w:abstractNumId w:val="0"/>
  </w:num>
  <w:num w:numId="2" w16cid:durableId="513106926">
    <w:abstractNumId w:val="4"/>
  </w:num>
  <w:num w:numId="3" w16cid:durableId="354159128">
    <w:abstractNumId w:val="2"/>
  </w:num>
  <w:num w:numId="4" w16cid:durableId="512452405">
    <w:abstractNumId w:val="1"/>
  </w:num>
  <w:num w:numId="5" w16cid:durableId="192154081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74DC"/>
    <w:rsid w:val="000D74DC"/>
    <w:rsid w:val="00E44D87"/>
    <w:rsid w:val="00FB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3D8B1B"/>
  <w15:docId w15:val="{A01077E3-4EE6-2F44-9B6A-61C2C5E85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single" w:sz="6" w:space="4" w:color="2A78D6"/>
        <w:right w:val="nil"/>
        <w:between w:val="nil"/>
      </w:pBdr>
      <w:spacing w:before="360" w:after="20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2087</Words>
  <Characters>11270</Characters>
  <Application>Microsoft Office Word</Application>
  <DocSecurity>0</DocSecurity>
  <Lines>93</Lines>
  <Paragraphs>26</Paragraphs>
  <ScaleCrop>false</ScaleCrop>
  <Company/>
  <LinksUpToDate>false</LinksUpToDate>
  <CharactersWithSpaces>13331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Nelivaldo Moreira Lyra</cp:lastModifiedBy>
  <cp:revision>2</cp:revision>
  <dcterms:created xsi:type="dcterms:W3CDTF">2026-09-14T01:14:00Z</dcterms:created>
  <dcterms:modified xsi:type="dcterms:W3CDTF">2026-09-14T01:16:00Z</dcterms:modified>
</cp:coreProperties>
</file>