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3A3F44"/>
        <w:spacing w:before="0" w:after="40"/>
        <w:ind w:hanging="0" w:left="-900" w:right="-900"/>
        <w:rPr/>
      </w:pPr>
      <w:r>
        <w:rPr>
          <w:sz w:val="8"/>
          <w:szCs w:val="8"/>
        </w:rPr>
        <w:t xml:space="preserve">  </w:t>
      </w:r>
    </w:p>
    <w:p>
      <w:pPr>
        <w:pStyle w:val="Normal"/>
        <w:shd w:val="clear" w:color="auto" w:fill="3A3F44"/>
        <w:spacing w:before="0" w:after="22"/>
        <w:ind w:hanging="0" w:left="-900" w:right="-900"/>
        <w:rPr/>
      </w:pPr>
      <w:r>
        <w:rPr>
          <w:rFonts w:eastAsia="Calibri" w:cs="Calibri" w:ascii="Calibri" w:hAnsi="Calibri"/>
          <w:b/>
          <w:bCs/>
          <w:color w:val="FFFFFF"/>
          <w:spacing w:val="8"/>
          <w:sz w:val="38"/>
          <w:szCs w:val="38"/>
        </w:rPr>
        <w:t xml:space="preserve"> </w:t>
      </w:r>
      <w:r>
        <w:rPr>
          <w:rFonts w:eastAsia="Calibri" w:cs="Calibri" w:ascii="Calibri" w:hAnsi="Calibri"/>
          <w:b/>
          <w:bCs/>
          <w:color w:val="FFFFFF"/>
          <w:spacing w:val="8"/>
          <w:sz w:val="38"/>
          <w:szCs w:val="38"/>
        </w:rPr>
        <w:t>NASIR MAHMOOD ABBASI, PhD</w:t>
      </w:r>
    </w:p>
    <w:p>
      <w:pPr>
        <w:pStyle w:val="Normal"/>
        <w:shd w:val="clear" w:color="auto" w:fill="3A3F44"/>
        <w:spacing w:before="0" w:after="45"/>
        <w:ind w:hanging="0" w:left="-900" w:right="-900"/>
        <w:rPr/>
      </w:pPr>
      <w:r>
        <w:rPr>
          <w:rFonts w:eastAsia="Calibri" w:cs="Calibri" w:ascii="Calibri" w:hAnsi="Calibri"/>
          <w:color w:val="DCDEE0"/>
          <w:sz w:val="22"/>
          <w:szCs w:val="22"/>
        </w:rPr>
        <w:t xml:space="preserve">   </w:t>
      </w:r>
      <w:r>
        <w:rPr>
          <w:rFonts w:eastAsia="Calibri" w:cs="Calibri" w:ascii="Calibri" w:hAnsi="Calibri"/>
          <w:color w:val="DCDEE0"/>
          <w:sz w:val="22"/>
          <w:szCs w:val="22"/>
        </w:rPr>
        <w:t>Bioinformatician</w:t>
      </w:r>
    </w:p>
    <w:p>
      <w:pPr>
        <w:pStyle w:val="Normal"/>
        <w:shd w:val="clear" w:color="auto" w:fill="3A3F44"/>
        <w:spacing w:before="0" w:after="22"/>
        <w:ind w:hanging="0" w:left="-900" w:right="-900"/>
        <w:rPr/>
      </w:pPr>
      <w:r>
        <w:rPr>
          <w:rFonts w:eastAsia="Calibri" w:cs="Calibri" w:ascii="Calibri" w:hAnsi="Calibri"/>
          <w:color w:val="FFFFFF"/>
          <w:sz w:val="16"/>
          <w:szCs w:val="16"/>
        </w:rPr>
        <w:t xml:space="preserve">    </w:t>
      </w:r>
      <w:r>
        <w:rPr>
          <w:rFonts w:eastAsia="Calibri" w:cs="Calibri" w:ascii="Calibri" w:hAnsi="Calibri"/>
          <w:color w:val="FFFFFF"/>
          <w:sz w:val="16"/>
          <w:szCs w:val="16"/>
        </w:rPr>
        <w:t xml:space="preserve">+33 7 66 03 75 20  (mobile within France)   |   nmabbasi@gmail.com   </w:t>
      </w:r>
    </w:p>
    <w:p>
      <w:pPr>
        <w:pStyle w:val="Normal"/>
        <w:shd w:val="clear" w:color="auto" w:fill="3A3F44"/>
        <w:spacing w:before="0" w:after="0"/>
        <w:ind w:hanging="0" w:left="-900" w:right="-900"/>
        <w:rPr/>
      </w:pPr>
      <w:r>
        <w:rPr>
          <w:sz w:val="8"/>
          <w:szCs w:val="8"/>
        </w:rPr>
        <w:t xml:space="preserve">  </w:t>
      </w:r>
    </w:p>
    <w:p>
      <w:pPr>
        <w:pStyle w:val="Normal"/>
        <w:spacing w:before="200" w:after="40"/>
        <w:rPr/>
      </w:pPr>
      <w:r>
        <w:rPr/>
        <w:drawing>
          <wp:inline distT="0" distB="0" distL="0" distR="0">
            <wp:extent cx="123825" cy="1238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</w:t>
      </w:r>
      <w:hyperlink r:id="rId3">
        <w:r>
          <w:rPr>
            <w:rStyle w:val="ListLabel451"/>
            <w:rFonts w:eastAsia="Calibri" w:cs="Calibri" w:ascii="Calibri" w:hAnsi="Calibri"/>
            <w:color w:val="555B61"/>
            <w:sz w:val="18"/>
            <w:szCs w:val="18"/>
            <w:u w:val="single"/>
          </w:rPr>
          <w:t>nmabbasi.github.io</w:t>
        </w:r>
      </w:hyperlink>
      <w:r>
        <w:rPr>
          <w:rFonts w:eastAsia="Calibri" w:cs="Calibri" w:ascii="Calibri" w:hAnsi="Calibri"/>
          <w:color w:val="595959"/>
          <w:sz w:val="18"/>
          <w:szCs w:val="18"/>
        </w:rPr>
        <w:t xml:space="preserve">     |     </w:t>
      </w:r>
      <w:r>
        <w:rPr/>
        <w:drawing>
          <wp:inline distT="0" distB="0" distL="0" distR="0">
            <wp:extent cx="123825" cy="1238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</w:t>
      </w:r>
      <w:hyperlink r:id="rId5">
        <w:r>
          <w:rPr>
            <w:rStyle w:val="ListLabel451"/>
            <w:rFonts w:eastAsia="Calibri" w:cs="Calibri" w:ascii="Calibri" w:hAnsi="Calibri"/>
            <w:color w:val="555B61"/>
            <w:sz w:val="18"/>
            <w:szCs w:val="18"/>
            <w:u w:val="single"/>
          </w:rPr>
          <w:t>linkedin.com/in/nmabbasi</w:t>
        </w:r>
      </w:hyperlink>
      <w:r>
        <w:rPr>
          <w:rFonts w:eastAsia="Calibri" w:cs="Calibri" w:ascii="Calibri" w:hAnsi="Calibri"/>
          <w:color w:val="595959"/>
          <w:sz w:val="18"/>
          <w:szCs w:val="18"/>
        </w:rPr>
        <w:t xml:space="preserve">     |     </w:t>
      </w:r>
      <w:r>
        <w:rPr/>
        <w:drawing>
          <wp:inline distT="0" distB="0" distL="0" distR="0">
            <wp:extent cx="123825" cy="12382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</w:t>
      </w:r>
      <w:hyperlink r:id="rId7">
        <w:r>
          <w:rPr>
            <w:rStyle w:val="ListLabel451"/>
            <w:rFonts w:eastAsia="Calibri" w:cs="Calibri" w:ascii="Calibri" w:hAnsi="Calibri"/>
            <w:color w:val="555B61"/>
            <w:sz w:val="18"/>
            <w:szCs w:val="18"/>
            <w:u w:val="single"/>
          </w:rPr>
          <w:t>0009-0005-0083-1984</w:t>
        </w:r>
      </w:hyperlink>
    </w:p>
    <w:p>
      <w:pPr>
        <w:pStyle w:val="Normal"/>
        <w:pBdr>
          <w:bottom w:val="single" w:sz="6" w:space="4" w:color="C7C9CC"/>
        </w:pBdr>
        <w:spacing w:before="0" w:after="200"/>
        <w:rPr/>
      </w:pPr>
      <w:r>
        <w:rPr/>
      </w:r>
    </w:p>
    <w:p>
      <w:pPr>
        <w:pStyle w:val="Normal"/>
        <w:pBdr>
          <w:bottom w:val="single" w:sz="10" w:space="4" w:color="3A3F44"/>
        </w:pBdr>
        <w:spacing w:before="130" w:after="55"/>
        <w:rPr/>
      </w:pPr>
      <w:r>
        <w:rPr/>
        <w:drawing>
          <wp:inline distT="0" distB="0" distL="0" distR="0">
            <wp:extent cx="142875" cy="14287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</w:t>
      </w:r>
      <w:r>
        <w:rPr>
          <w:rFonts w:eastAsia="Calibri" w:cs="Calibri" w:ascii="Calibri" w:hAnsi="Calibri"/>
          <w:b/>
          <w:bCs/>
          <w:color w:val="3A3F44"/>
          <w:spacing w:val="14"/>
          <w:sz w:val="22"/>
          <w:szCs w:val="22"/>
        </w:rPr>
        <w:t>RESEARCH PROFILE</w:t>
      </w:r>
    </w:p>
    <w:p>
      <w:pPr>
        <w:pStyle w:val="Normal"/>
        <w:spacing w:lineRule="auto" w:line="240" w:before="0" w:after="100"/>
        <w:rPr/>
      </w:pPr>
      <w:r>
        <w:rPr>
          <w:rFonts w:ascii="Cambria" w:hAnsi="Cambria"/>
          <w:sz w:val="20"/>
          <w:szCs w:val="20"/>
        </w:rPr>
        <w:t>Bioinformatician with a PhD in Cancer Biology, working at the interface of computational analysis and</w:t>
      </w:r>
    </w:p>
    <w:p>
      <w:pPr>
        <w:pStyle w:val="Normal"/>
        <w:spacing w:lineRule="auto" w:line="240" w:before="0" w:after="100"/>
        <w:rPr/>
      </w:pPr>
      <w:r>
        <w:rPr>
          <w:rFonts w:ascii="Cambria" w:hAnsi="Cambria"/>
          <w:sz w:val="20"/>
          <w:szCs w:val="20"/>
        </w:rPr>
        <w:t>experimental biology. Doctoral work applied single-cell multi-omics to characterize tumor heterogeneity in</w:t>
      </w:r>
    </w:p>
    <w:p>
      <w:pPr>
        <w:pStyle w:val="Normal"/>
        <w:spacing w:lineRule="auto" w:line="240" w:before="0" w:after="100"/>
        <w:rPr/>
      </w:pPr>
      <w:r>
        <w:rPr>
          <w:rFonts w:ascii="Cambria" w:hAnsi="Cambria"/>
          <w:sz w:val="20"/>
          <w:szCs w:val="20"/>
        </w:rPr>
        <w:t>Sézary syndrome, a rare cutaneous T-cell lymphoma.</w:t>
      </w:r>
    </w:p>
    <w:p>
      <w:pPr>
        <w:pStyle w:val="ListParagraph"/>
        <w:numPr>
          <w:ilvl w:val="0"/>
          <w:numId w:val="27"/>
        </w:numPr>
        <w:spacing w:lineRule="auto" w:line="240" w:before="0" w:after="40"/>
        <w:rPr/>
      </w:pPr>
      <w:r>
        <w:rPr>
          <w:rFonts w:ascii="Cambria" w:hAnsi="Cambria"/>
          <w:sz w:val="20"/>
          <w:szCs w:val="20"/>
        </w:rPr>
        <w:t>Builds analysis pipelines from raw sequencing data through to biological interpretation</w:t>
      </w:r>
    </w:p>
    <w:p>
      <w:pPr>
        <w:pStyle w:val="ListParagraph"/>
        <w:numPr>
          <w:ilvl w:val="0"/>
          <w:numId w:val="28"/>
        </w:numPr>
        <w:spacing w:lineRule="auto" w:line="240" w:before="0" w:after="40"/>
        <w:rPr/>
      </w:pPr>
      <w:r>
        <w:rPr>
          <w:rFonts w:ascii="Cambria" w:hAnsi="Cambria"/>
          <w:sz w:val="20"/>
          <w:szCs w:val="20"/>
        </w:rPr>
        <w:t>Works independently to frame an open research question and carry it to a defensible result</w:t>
      </w:r>
    </w:p>
    <w:p>
      <w:pPr>
        <w:pStyle w:val="ListParagraph"/>
        <w:numPr>
          <w:ilvl w:val="0"/>
          <w:numId w:val="29"/>
        </w:numPr>
        <w:spacing w:lineRule="auto" w:line="240" w:before="0" w:after="40"/>
        <w:rPr/>
      </w:pPr>
      <w:r>
        <w:rPr>
          <w:rFonts w:ascii="Cambria" w:hAnsi="Cambria"/>
          <w:sz w:val="20"/>
          <w:szCs w:val="20"/>
        </w:rPr>
        <w:t>Collaborates with wet-lab and clinical teams to test computational predictions</w:t>
      </w:r>
    </w:p>
    <w:p>
      <w:pPr>
        <w:pStyle w:val="ListParagraph"/>
        <w:numPr>
          <w:ilvl w:val="0"/>
          <w:numId w:val="30"/>
        </w:numPr>
        <w:spacing w:lineRule="auto" w:line="240" w:before="0" w:after="40"/>
        <w:rPr/>
      </w:pPr>
      <w:r>
        <w:rPr>
          <w:rFonts w:ascii="Cambria" w:hAnsi="Cambria"/>
          <w:sz w:val="20"/>
          <w:szCs w:val="20"/>
        </w:rPr>
        <w:t>Project management: time management, prioritization across concurrent analyses and collaborators</w:t>
      </w:r>
    </w:p>
    <w:p>
      <w:pPr>
        <w:pStyle w:val="ListParagraph"/>
        <w:numPr>
          <w:ilvl w:val="0"/>
          <w:numId w:val="31"/>
        </w:numPr>
        <w:spacing w:lineRule="auto" w:line="240" w:before="0" w:after="40"/>
        <w:rPr/>
      </w:pPr>
      <w:r>
        <w:rPr>
          <w:rFonts w:ascii="Cambria" w:hAnsi="Cambria"/>
          <w:sz w:val="20"/>
          <w:szCs w:val="20"/>
        </w:rPr>
        <w:t>Open to postdoctoral, research, or industry roles in genomics, oncology, or single-cell biology</w:t>
      </w:r>
    </w:p>
    <w:p>
      <w:pPr>
        <w:pStyle w:val="ListParagraph"/>
        <w:numPr>
          <w:ilvl w:val="0"/>
          <w:numId w:val="0"/>
        </w:numPr>
        <w:spacing w:before="0" w:after="40"/>
        <w:ind w:hanging="0" w:left="720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"/>
        <w:pBdr>
          <w:bottom w:val="single" w:sz="10" w:space="4" w:color="3A3F44"/>
        </w:pBdr>
        <w:spacing w:before="130" w:after="55"/>
        <w:rPr/>
      </w:pPr>
      <w:r>
        <w:rPr/>
        <w:drawing>
          <wp:inline distT="0" distB="0" distL="0" distR="0">
            <wp:extent cx="142875" cy="14287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</w:t>
      </w:r>
      <w:r>
        <w:rPr>
          <w:rFonts w:eastAsia="Calibri" w:cs="Calibri" w:ascii="Calibri" w:hAnsi="Calibri"/>
          <w:b/>
          <w:bCs/>
          <w:color w:val="3A3F44"/>
          <w:spacing w:val="14"/>
          <w:sz w:val="22"/>
          <w:szCs w:val="22"/>
        </w:rPr>
        <w:t>EDUCATION</w:t>
      </w:r>
    </w:p>
    <w:p>
      <w:pPr>
        <w:pStyle w:val="Normal"/>
        <w:tabs>
          <w:tab w:val="clear" w:pos="720"/>
          <w:tab w:val="right" w:pos="9026" w:leader="none"/>
        </w:tabs>
        <w:spacing w:before="65" w:after="6"/>
        <w:rPr/>
      </w:pPr>
      <w:r>
        <w:rPr>
          <w:rFonts w:eastAsia="Cambria" w:cs="Cambria" w:ascii="Cambria" w:hAnsi="Cambria"/>
          <w:b/>
          <w:bCs/>
          <w:color w:val="222222"/>
          <w:sz w:val="21"/>
          <w:szCs w:val="21"/>
        </w:rPr>
        <w:t>PhD in Cancer Biology, Université de Bordeaux</w:t>
      </w:r>
      <w:r>
        <w:rPr>
          <w:rFonts w:eastAsia="Calibri" w:cs="Calibri" w:ascii="Calibri" w:hAnsi="Calibri"/>
          <w:i/>
          <w:iCs/>
          <w:color w:val="555B61"/>
          <w:sz w:val="19"/>
          <w:szCs w:val="19"/>
        </w:rPr>
        <w:tab/>
      </w:r>
      <w:r>
        <w:rPr>
          <w:rFonts w:eastAsia="Calibri" w:cs="Calibri" w:ascii="Calibri" w:hAnsi="Calibri"/>
          <w:b/>
          <w:bCs/>
          <w:i/>
          <w:iCs/>
          <w:color w:val="555B61"/>
          <w:sz w:val="19"/>
          <w:szCs w:val="19"/>
        </w:rPr>
        <w:t>Sep 2023 – Jun 2026</w:t>
      </w:r>
    </w:p>
    <w:p>
      <w:pPr>
        <w:pStyle w:val="Normal"/>
        <w:spacing w:before="0" w:after="22"/>
        <w:rPr/>
      </w:pPr>
      <w:r>
        <w:rPr>
          <w:rFonts w:eastAsia="Calibri" w:cs="Calibri" w:ascii="Calibri" w:hAnsi="Calibri"/>
          <w:i/>
          <w:iCs/>
          <w:color w:val="595959"/>
          <w:sz w:val="19"/>
          <w:szCs w:val="19"/>
        </w:rPr>
        <w:t xml:space="preserve">Research unit: INSERM U1312 </w:t>
      </w:r>
      <w:r>
        <w:rPr>
          <w:rFonts w:eastAsia="Cambria" w:cs="Cambria" w:ascii="Cambria" w:hAnsi="Cambria"/>
          <w:i/>
          <w:iCs/>
          <w:color w:val="222222"/>
          <w:sz w:val="19"/>
          <w:szCs w:val="19"/>
        </w:rPr>
        <w:t>|</w:t>
      </w:r>
      <w:r>
        <w:rPr>
          <w:rFonts w:eastAsia="Calibri" w:cs="Calibri" w:ascii="Calibri" w:hAnsi="Calibri"/>
          <w:i/>
          <w:iCs/>
          <w:color w:val="595959"/>
          <w:sz w:val="19"/>
          <w:szCs w:val="19"/>
        </w:rPr>
        <w:t xml:space="preserve"> Bordeaux Research in Translational Oncology (BRIC)</w:t>
      </w:r>
    </w:p>
    <w:p>
      <w:pPr>
        <w:pStyle w:val="Normal"/>
        <w:spacing w:before="0" w:after="22"/>
        <w:rPr/>
      </w:pPr>
      <w:r>
        <w:rPr>
          <w:rFonts w:eastAsia="Calibri" w:cs="Calibri" w:ascii="Calibri" w:hAnsi="Calibri"/>
          <w:b/>
          <w:bCs/>
          <w:i/>
          <w:iCs/>
          <w:color w:val="595959"/>
          <w:sz w:val="19"/>
          <w:szCs w:val="19"/>
        </w:rPr>
        <w:t>Supervisors:</w:t>
      </w:r>
      <w:r>
        <w:rPr>
          <w:rFonts w:eastAsia="Calibri" w:cs="Calibri" w:ascii="Calibri" w:hAnsi="Calibri"/>
          <w:i/>
          <w:iCs/>
          <w:color w:val="595959"/>
          <w:sz w:val="19"/>
          <w:szCs w:val="19"/>
        </w:rPr>
        <w:t xml:space="preserve"> Prof. Audrey Gros (Director) and Dr. Slim Karkar (Co-Director)</w:t>
      </w:r>
    </w:p>
    <w:p>
      <w:pPr>
        <w:pStyle w:val="Normal"/>
        <w:spacing w:before="0" w:after="22"/>
        <w:rPr/>
      </w:pPr>
      <w:r>
        <w:rPr>
          <w:rFonts w:eastAsia="Calibri" w:cs="Calibri" w:ascii="Calibri" w:hAnsi="Calibri"/>
          <w:i/>
          <w:iCs/>
          <w:color w:val="595959"/>
          <w:sz w:val="19"/>
          <w:szCs w:val="19"/>
        </w:rPr>
        <w:t xml:space="preserve">Thesis defended 23 June 2026 </w:t>
      </w:r>
      <w:r>
        <w:rPr>
          <w:rFonts w:eastAsia="Cambria" w:cs="Cambria" w:ascii="Cambria" w:hAnsi="Cambria"/>
          <w:i/>
          <w:iCs/>
          <w:color w:val="222222"/>
          <w:sz w:val="19"/>
          <w:szCs w:val="19"/>
        </w:rPr>
        <w:t xml:space="preserve">| </w:t>
      </w:r>
      <w:r>
        <w:rPr>
          <w:rFonts w:eastAsia="Calibri" w:cs="Calibri" w:ascii="Calibri" w:hAnsi="Calibri"/>
          <w:i/>
          <w:iCs/>
          <w:color w:val="595959"/>
          <w:sz w:val="19"/>
          <w:szCs w:val="19"/>
        </w:rPr>
        <w:t>manuscript to be published online by end of August, 2026</w:t>
      </w:r>
    </w:p>
    <w:p>
      <w:pPr>
        <w:pStyle w:val="Normal"/>
        <w:spacing w:before="40" w:after="90"/>
        <w:rPr>
          <w:rFonts w:ascii="Cambria" w:hAnsi="Cambria" w:eastAsia="Cambria" w:cs="Cambria"/>
          <w:b/>
          <w:bCs/>
          <w:color w:val="222222"/>
          <w:sz w:val="20"/>
          <w:szCs w:val="20"/>
        </w:rPr>
      </w:pPr>
      <w:r>
        <w:rPr>
          <w:rFonts w:eastAsia="Cambria" w:cs="Cambria" w:ascii="Cambria" w:hAnsi="Cambria"/>
          <w:b/>
          <w:bCs/>
          <w:color w:val="222222"/>
          <w:sz w:val="20"/>
          <w:szCs w:val="20"/>
        </w:rPr>
      </w:r>
    </w:p>
    <w:p>
      <w:pPr>
        <w:pStyle w:val="Normal"/>
        <w:spacing w:before="40" w:after="90"/>
        <w:rPr/>
      </w:pPr>
      <w:r>
        <w:rPr>
          <w:rFonts w:eastAsia="Cambria" w:cs="Cambria" w:ascii="Cambria" w:hAnsi="Cambria"/>
          <w:b/>
          <w:bCs/>
          <w:color w:val="222222"/>
          <w:sz w:val="20"/>
          <w:szCs w:val="20"/>
        </w:rPr>
        <w:t>Thesis:</w:t>
      </w:r>
      <w:r>
        <w:rPr>
          <w:rFonts w:eastAsia="Cambria" w:cs="Cambria" w:ascii="Cambria" w:hAnsi="Cambria"/>
          <w:color w:val="222222"/>
          <w:sz w:val="20"/>
          <w:szCs w:val="20"/>
        </w:rPr>
        <w:t xml:space="preserve"> “Deciphering Sézary syndrome tumoral heterogeneity through a bioinformatic approach” (see Research Experience for details)</w:t>
      </w:r>
    </w:p>
    <w:p>
      <w:pPr>
        <w:pStyle w:val="Normal"/>
        <w:tabs>
          <w:tab w:val="clear" w:pos="720"/>
          <w:tab w:val="right" w:pos="9026" w:leader="none"/>
        </w:tabs>
        <w:spacing w:before="65" w:after="6"/>
        <w:rPr>
          <w:rFonts w:ascii="Cambria" w:hAnsi="Cambria" w:eastAsia="Cambria" w:cs="Cambria"/>
          <w:b/>
          <w:bCs/>
          <w:color w:val="222222"/>
          <w:sz w:val="21"/>
          <w:szCs w:val="21"/>
        </w:rPr>
      </w:pPr>
      <w:r>
        <w:rPr>
          <w:rFonts w:eastAsia="Cambria" w:cs="Cambria" w:ascii="Cambria" w:hAnsi="Cambria"/>
          <w:b/>
          <w:bCs/>
          <w:color w:val="222222"/>
          <w:sz w:val="21"/>
          <w:szCs w:val="21"/>
        </w:rPr>
      </w:r>
    </w:p>
    <w:p>
      <w:pPr>
        <w:pStyle w:val="Normal"/>
        <w:tabs>
          <w:tab w:val="clear" w:pos="720"/>
          <w:tab w:val="right" w:pos="9026" w:leader="none"/>
        </w:tabs>
        <w:spacing w:before="65" w:after="6"/>
        <w:rPr/>
      </w:pPr>
      <w:r>
        <w:rPr>
          <w:rFonts w:eastAsia="Cambria" w:cs="Cambria" w:ascii="Cambria" w:hAnsi="Cambria"/>
          <w:b/>
          <w:bCs/>
          <w:color w:val="222222"/>
          <w:sz w:val="21"/>
          <w:szCs w:val="21"/>
        </w:rPr>
        <w:t>Masters in Bioinformatics, Uppsala University</w:t>
      </w:r>
      <w:r>
        <w:rPr>
          <w:rFonts w:eastAsia="Calibri" w:cs="Calibri" w:ascii="Calibri" w:hAnsi="Calibri"/>
          <w:i/>
          <w:iCs/>
          <w:color w:val="555B61"/>
          <w:sz w:val="19"/>
          <w:szCs w:val="19"/>
        </w:rPr>
        <w:tab/>
      </w:r>
      <w:r>
        <w:rPr>
          <w:rFonts w:eastAsia="Calibri" w:cs="Calibri" w:ascii="Calibri" w:hAnsi="Calibri"/>
          <w:b/>
          <w:bCs/>
          <w:i/>
          <w:iCs/>
          <w:color w:val="555B61"/>
          <w:sz w:val="19"/>
          <w:szCs w:val="19"/>
        </w:rPr>
        <w:t>Aug 2010 – Oct 2012</w:t>
      </w:r>
    </w:p>
    <w:p>
      <w:pPr>
        <w:pStyle w:val="Normal"/>
        <w:spacing w:before="0" w:after="22"/>
        <w:rPr/>
      </w:pPr>
      <w:r>
        <w:rPr>
          <w:rFonts w:eastAsia="Calibri" w:cs="Calibri" w:ascii="Calibri" w:hAnsi="Calibri"/>
          <w:i/>
          <w:iCs/>
          <w:color w:val="595959"/>
          <w:sz w:val="19"/>
          <w:szCs w:val="19"/>
        </w:rPr>
        <w:t>Sweden</w:t>
      </w:r>
    </w:p>
    <w:p>
      <w:pPr>
        <w:pStyle w:val="Normal"/>
        <w:spacing w:before="0" w:after="22"/>
        <w:rPr>
          <w:rFonts w:ascii="Calibri" w:hAnsi="Calibri" w:eastAsia="Calibri" w:cs="Calibri"/>
          <w:i/>
          <w:i/>
          <w:iCs/>
          <w:color w:val="595959"/>
          <w:sz w:val="19"/>
          <w:szCs w:val="19"/>
        </w:rPr>
      </w:pPr>
      <w:r>
        <w:rPr>
          <w:rFonts w:eastAsia="Calibri" w:cs="Calibri" w:ascii="Calibri" w:hAnsi="Calibri"/>
          <w:i/>
          <w:iCs/>
          <w:color w:val="595959"/>
          <w:sz w:val="19"/>
          <w:szCs w:val="19"/>
        </w:rPr>
      </w:r>
    </w:p>
    <w:p>
      <w:pPr>
        <w:pStyle w:val="Normal"/>
        <w:pBdr>
          <w:bottom w:val="single" w:sz="10" w:space="4" w:color="3A3F44"/>
        </w:pBdr>
        <w:spacing w:before="130" w:after="55"/>
        <w:rPr/>
      </w:pPr>
      <w:r>
        <w:rPr/>
        <w:drawing>
          <wp:inline distT="0" distB="0" distL="0" distR="0">
            <wp:extent cx="142875" cy="14287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</w:t>
      </w:r>
      <w:r>
        <w:rPr>
          <w:rFonts w:eastAsia="Calibri" w:cs="Calibri" w:ascii="Calibri" w:hAnsi="Calibri"/>
          <w:b/>
          <w:bCs/>
          <w:color w:val="3A3F44"/>
          <w:spacing w:val="14"/>
          <w:sz w:val="22"/>
          <w:szCs w:val="22"/>
        </w:rPr>
        <w:t>RESEARCH EXPERIENCE</w:t>
      </w:r>
    </w:p>
    <w:p>
      <w:pPr>
        <w:pStyle w:val="Normal"/>
        <w:tabs>
          <w:tab w:val="clear" w:pos="720"/>
          <w:tab w:val="right" w:pos="9026" w:leader="none"/>
        </w:tabs>
        <w:spacing w:before="65" w:after="6"/>
        <w:rPr/>
      </w:pPr>
      <w:r>
        <w:rPr>
          <w:rFonts w:eastAsia="Cambria" w:cs="Cambria" w:ascii="Cambria" w:hAnsi="Cambria"/>
          <w:b/>
          <w:bCs/>
          <w:color w:val="222222"/>
          <w:sz w:val="21"/>
          <w:szCs w:val="21"/>
        </w:rPr>
        <w:t>PhD Researcher, Université de Bordeaux / INSERM U1312 (BRIC)</w:t>
      </w:r>
      <w:r>
        <w:rPr>
          <w:rFonts w:eastAsia="Calibri" w:cs="Calibri" w:ascii="Calibri" w:hAnsi="Calibri"/>
          <w:i/>
          <w:iCs/>
          <w:color w:val="555B61"/>
          <w:sz w:val="19"/>
          <w:szCs w:val="19"/>
        </w:rPr>
        <w:tab/>
        <w:t>2023 – 2026</w:t>
      </w:r>
    </w:p>
    <w:p>
      <w:pPr>
        <w:pStyle w:val="Normal"/>
        <w:spacing w:before="0" w:after="22"/>
        <w:rPr/>
      </w:pPr>
      <w:r>
        <w:rPr>
          <w:rFonts w:eastAsia="Calibri" w:cs="Calibri" w:ascii="Calibri" w:hAnsi="Calibri"/>
          <w:i/>
          <w:iCs/>
          <w:color w:val="595959"/>
          <w:sz w:val="19"/>
          <w:szCs w:val="19"/>
        </w:rPr>
        <w:t>Supervisors: Prof. Audrey Gros, Dr. Slim Karkar</w:t>
      </w:r>
    </w:p>
    <w:p>
      <w:pPr>
        <w:pStyle w:val="ListParagraph"/>
        <w:numPr>
          <w:ilvl w:val="0"/>
          <w:numId w:val="1"/>
        </w:numPr>
        <w:spacing w:before="0" w:after="22"/>
        <w:rPr/>
      </w:pPr>
      <w:r>
        <w:rPr>
          <w:rFonts w:eastAsia="Cambria" w:cs="Cambria" w:ascii="Cambria" w:hAnsi="Cambria"/>
          <w:color w:val="222222"/>
          <w:sz w:val="20"/>
          <w:szCs w:val="20"/>
        </w:rPr>
        <w:t>Built a single-cell multi-omic pipeline (transcriptome, surface protein, TCR clonality) across seven patient-derived cell lines from three Sézary syndrome patients</w:t>
      </w:r>
    </w:p>
    <w:p>
      <w:pPr>
        <w:pStyle w:val="ListParagraph"/>
        <w:numPr>
          <w:ilvl w:val="0"/>
          <w:numId w:val="32"/>
        </w:numPr>
        <w:spacing w:before="0" w:after="22"/>
        <w:rPr/>
      </w:pPr>
      <w:r>
        <w:rPr>
          <w:rFonts w:eastAsia="Cambria" w:cs="Cambria" w:ascii="Cambria" w:hAnsi="Cambria"/>
          <w:color w:val="222222"/>
          <w:sz w:val="20"/>
          <w:szCs w:val="20"/>
        </w:rPr>
        <w:t>Combined whole-exome sequencing, BioNano optical mapping, and single-cell transcriptomics into one coherent model of tumor structure and behavior</w:t>
      </w:r>
    </w:p>
    <w:p>
      <w:pPr>
        <w:pStyle w:val="ListParagraph"/>
        <w:numPr>
          <w:ilvl w:val="0"/>
          <w:numId w:val="33"/>
        </w:numPr>
        <w:spacing w:before="0" w:after="22"/>
        <w:rPr/>
      </w:pPr>
      <w:r>
        <w:rPr>
          <w:rFonts w:eastAsia="Cambria" w:cs="Cambria" w:ascii="Cambria" w:hAnsi="Cambria"/>
          <w:color w:val="222222"/>
          <w:sz w:val="20"/>
          <w:szCs w:val="20"/>
        </w:rPr>
        <w:t>Resolved Th1-, Th2-, and Treg-like phenotypic states via pseudotime trajectory analysis against a healthy-donor CD4+ T-cell reference</w:t>
      </w:r>
    </w:p>
    <w:p>
      <w:pPr>
        <w:pStyle w:val="ListParagraph"/>
        <w:numPr>
          <w:ilvl w:val="0"/>
          <w:numId w:val="34"/>
        </w:numPr>
        <w:spacing w:before="0" w:after="22"/>
        <w:rPr/>
      </w:pPr>
      <w:r>
        <w:rPr>
          <w:rFonts w:eastAsia="Cambria" w:cs="Cambria" w:ascii="Cambria" w:hAnsi="Cambria"/>
          <w:color w:val="222222"/>
          <w:sz w:val="20"/>
          <w:szCs w:val="20"/>
        </w:rPr>
        <w:t>Identified transcription-factor-driven regulatory programs and a novel membrane biomarker; validated the biomarker's role in tumor cell survival via in vitro pharmacological inhibition with wet-lab colleagues</w:t>
      </w:r>
    </w:p>
    <w:p>
      <w:pPr>
        <w:pStyle w:val="Normal"/>
        <w:tabs>
          <w:tab w:val="clear" w:pos="720"/>
          <w:tab w:val="right" w:pos="9026" w:leader="none"/>
        </w:tabs>
        <w:spacing w:before="65" w:after="6"/>
        <w:rPr/>
      </w:pPr>
      <w:r>
        <w:rPr>
          <w:rFonts w:eastAsia="Cambria" w:cs="Cambria" w:ascii="Cambria" w:hAnsi="Cambria"/>
          <w:b/>
          <w:bCs/>
          <w:color w:val="222222"/>
          <w:sz w:val="21"/>
          <w:szCs w:val="21"/>
        </w:rPr>
        <w:t>Research Engineer, IRBI Insect Biology Research Institute</w:t>
      </w:r>
      <w:r>
        <w:rPr>
          <w:rFonts w:eastAsia="Calibri" w:cs="Calibri" w:ascii="Calibri" w:hAnsi="Calibri"/>
          <w:i/>
          <w:iCs/>
          <w:color w:val="555B61"/>
          <w:sz w:val="19"/>
          <w:szCs w:val="19"/>
        </w:rPr>
        <w:tab/>
        <w:t>2022 – 2023</w:t>
      </w:r>
    </w:p>
    <w:p>
      <w:pPr>
        <w:pStyle w:val="Normal"/>
        <w:spacing w:before="0" w:after="22"/>
        <w:rPr/>
      </w:pPr>
      <w:r>
        <w:rPr>
          <w:rFonts w:eastAsia="Calibri" w:cs="Calibri" w:ascii="Calibri" w:hAnsi="Calibri"/>
          <w:i/>
          <w:iCs/>
          <w:color w:val="595959"/>
          <w:sz w:val="19"/>
          <w:szCs w:val="19"/>
        </w:rPr>
        <w:t>Tours, France</w:t>
      </w:r>
    </w:p>
    <w:p>
      <w:pPr>
        <w:pStyle w:val="ListParagraph"/>
        <w:numPr>
          <w:ilvl w:val="0"/>
          <w:numId w:val="35"/>
        </w:numPr>
        <w:spacing w:before="0" w:after="22"/>
        <w:rPr/>
      </w:pPr>
      <w:r>
        <w:rPr>
          <w:rFonts w:eastAsia="Cambria" w:cs="Cambria" w:ascii="Cambria" w:hAnsi="Cambria"/>
          <w:color w:val="222222"/>
          <w:sz w:val="20"/>
          <w:szCs w:val="20"/>
        </w:rPr>
        <w:t>Administered the group's HPC/Slurm cluster and long-read (PacBio, Nanopore) analysis workflows</w:t>
      </w:r>
    </w:p>
    <w:p>
      <w:pPr>
        <w:pStyle w:val="Normal"/>
        <w:tabs>
          <w:tab w:val="clear" w:pos="720"/>
          <w:tab w:val="right" w:pos="9026" w:leader="none"/>
        </w:tabs>
        <w:spacing w:before="65" w:after="6"/>
        <w:rPr/>
      </w:pPr>
      <w:r>
        <w:rPr>
          <w:rFonts w:eastAsia="Cambria" w:cs="Cambria" w:ascii="Cambria" w:hAnsi="Cambria"/>
          <w:b/>
          <w:bCs/>
          <w:color w:val="222222"/>
          <w:sz w:val="21"/>
          <w:szCs w:val="21"/>
        </w:rPr>
        <w:t>Research Engineer, INRAE</w:t>
      </w:r>
      <w:r>
        <w:rPr>
          <w:rFonts w:eastAsia="Calibri" w:cs="Calibri" w:ascii="Calibri" w:hAnsi="Calibri"/>
          <w:i/>
          <w:iCs/>
          <w:color w:val="555B61"/>
          <w:sz w:val="19"/>
          <w:szCs w:val="19"/>
        </w:rPr>
        <w:tab/>
        <w:t>2019 – 2021</w:t>
      </w:r>
    </w:p>
    <w:p>
      <w:pPr>
        <w:pStyle w:val="Normal"/>
        <w:spacing w:before="0" w:after="22"/>
        <w:rPr/>
      </w:pPr>
      <w:r>
        <w:rPr>
          <w:rFonts w:eastAsia="Calibri" w:cs="Calibri" w:ascii="Calibri" w:hAnsi="Calibri"/>
          <w:i/>
          <w:iCs/>
          <w:color w:val="595959"/>
          <w:sz w:val="19"/>
          <w:szCs w:val="19"/>
        </w:rPr>
        <w:t>Clermont-Ferrand, France</w:t>
      </w:r>
    </w:p>
    <w:p>
      <w:pPr>
        <w:pStyle w:val="ListParagraph"/>
        <w:numPr>
          <w:ilvl w:val="0"/>
          <w:numId w:val="36"/>
        </w:numPr>
        <w:spacing w:before="0" w:after="22"/>
        <w:rPr/>
      </w:pPr>
      <w:r>
        <w:rPr>
          <w:rFonts w:eastAsia="Cambria" w:cs="Cambria" w:ascii="Cambria" w:hAnsi="Cambria"/>
          <w:color w:val="222222"/>
          <w:sz w:val="20"/>
          <w:szCs w:val="20"/>
        </w:rPr>
        <w:t>Benchmarked small RNA-seq tools and set the group's standard analysis pipeline</w:t>
      </w:r>
    </w:p>
    <w:p>
      <w:pPr>
        <w:pStyle w:val="ListParagraph"/>
        <w:numPr>
          <w:ilvl w:val="0"/>
          <w:numId w:val="37"/>
        </w:numPr>
        <w:spacing w:before="0" w:after="22"/>
        <w:rPr/>
      </w:pPr>
      <w:r>
        <w:rPr>
          <w:rFonts w:eastAsia="Cambria" w:cs="Cambria" w:ascii="Cambria" w:hAnsi="Cambria"/>
          <w:color w:val="222222"/>
          <w:sz w:val="20"/>
          <w:szCs w:val="20"/>
        </w:rPr>
        <w:t>Ran the group's Galaxy platform and delivered metatranscriptomic analyses on drug effects in animal models</w:t>
      </w:r>
    </w:p>
    <w:p>
      <w:pPr>
        <w:pStyle w:val="Normal"/>
        <w:tabs>
          <w:tab w:val="clear" w:pos="720"/>
          <w:tab w:val="right" w:pos="9026" w:leader="none"/>
        </w:tabs>
        <w:spacing w:before="65" w:after="6"/>
        <w:rPr/>
      </w:pPr>
      <w:r>
        <w:rPr>
          <w:rFonts w:eastAsia="Cambria" w:cs="Cambria" w:ascii="Cambria" w:hAnsi="Cambria"/>
          <w:b/>
          <w:bCs/>
          <w:color w:val="222222"/>
          <w:sz w:val="21"/>
          <w:szCs w:val="21"/>
        </w:rPr>
        <w:t>Research Assistant, Hong Kong University of Science and Technology (HKUST)</w:t>
      </w:r>
      <w:r>
        <w:rPr>
          <w:rFonts w:eastAsia="Calibri" w:cs="Calibri" w:ascii="Calibri" w:hAnsi="Calibri"/>
          <w:i/>
          <w:iCs/>
          <w:color w:val="555B61"/>
          <w:sz w:val="19"/>
          <w:szCs w:val="19"/>
        </w:rPr>
        <w:tab/>
        <w:t>2017 – 2018</w:t>
      </w:r>
    </w:p>
    <w:p>
      <w:pPr>
        <w:pStyle w:val="ListParagraph"/>
        <w:numPr>
          <w:ilvl w:val="0"/>
          <w:numId w:val="38"/>
        </w:numPr>
        <w:spacing w:before="0" w:after="22"/>
        <w:rPr/>
      </w:pPr>
      <w:r>
        <w:rPr>
          <w:rFonts w:eastAsia="Cambria" w:cs="Cambria" w:ascii="Cambria" w:hAnsi="Cambria"/>
          <w:color w:val="222222"/>
          <w:sz w:val="20"/>
          <w:szCs w:val="20"/>
        </w:rPr>
        <w:t>Benchmarked exome and whole-genome sequencing pipelines for variant calling in cancer patient data</w:t>
      </w:r>
    </w:p>
    <w:p>
      <w:pPr>
        <w:pStyle w:val="Normal"/>
        <w:tabs>
          <w:tab w:val="clear" w:pos="720"/>
          <w:tab w:val="right" w:pos="9026" w:leader="none"/>
        </w:tabs>
        <w:spacing w:before="65" w:after="6"/>
        <w:rPr/>
      </w:pPr>
      <w:r>
        <w:rPr>
          <w:rFonts w:eastAsia="Cambria" w:cs="Cambria" w:ascii="Cambria" w:hAnsi="Cambria"/>
          <w:b/>
          <w:bCs/>
          <w:color w:val="222222"/>
          <w:sz w:val="21"/>
          <w:szCs w:val="21"/>
        </w:rPr>
        <w:t>Earlier research roles</w:t>
      </w:r>
      <w:r>
        <w:rPr>
          <w:rFonts w:eastAsia="Calibri" w:cs="Calibri" w:ascii="Calibri" w:hAnsi="Calibri"/>
          <w:i/>
          <w:iCs/>
          <w:color w:val="555B61"/>
          <w:sz w:val="19"/>
          <w:szCs w:val="19"/>
        </w:rPr>
        <w:tab/>
        <w:t>2009 – 2017</w:t>
      </w:r>
    </w:p>
    <w:p>
      <w:pPr>
        <w:pStyle w:val="ListParagraph"/>
        <w:numPr>
          <w:ilvl w:val="0"/>
          <w:numId w:val="39"/>
        </w:numPr>
        <w:spacing w:before="0" w:after="22"/>
        <w:rPr/>
      </w:pPr>
      <w:r>
        <w:rPr>
          <w:rFonts w:eastAsia="Cambria" w:cs="Cambria" w:ascii="Cambria" w:hAnsi="Cambria"/>
          <w:color w:val="222222"/>
          <w:sz w:val="20"/>
          <w:szCs w:val="20"/>
        </w:rPr>
        <w:t xml:space="preserve">Marine prokaryotic genome analysis and web development | </w:t>
      </w:r>
      <w:r>
        <w:rPr>
          <w:rFonts w:eastAsia="Cambria" w:cs="Cambria" w:ascii="Cambria" w:hAnsi="Cambria"/>
          <w:b/>
          <w:bCs/>
          <w:color w:val="222222"/>
          <w:sz w:val="20"/>
          <w:szCs w:val="20"/>
        </w:rPr>
        <w:t>Universidad Miguel Hernández de Elche</w:t>
      </w:r>
    </w:p>
    <w:p>
      <w:pPr>
        <w:pStyle w:val="ListParagraph"/>
        <w:numPr>
          <w:ilvl w:val="0"/>
          <w:numId w:val="40"/>
        </w:numPr>
        <w:spacing w:before="0" w:after="22"/>
        <w:rPr/>
      </w:pPr>
      <w:r>
        <w:rPr>
          <w:rFonts w:eastAsia="Cambria" w:cs="Cambria" w:ascii="Cambria" w:hAnsi="Cambria"/>
          <w:color w:val="222222"/>
          <w:sz w:val="20"/>
          <w:szCs w:val="20"/>
        </w:rPr>
        <w:t xml:space="preserve">Behavioral genetics and epigenetics research | </w:t>
      </w:r>
      <w:r>
        <w:rPr>
          <w:rFonts w:eastAsia="Cambria" w:cs="Cambria" w:ascii="Cambria" w:hAnsi="Cambria"/>
          <w:b/>
          <w:bCs/>
          <w:color w:val="222222"/>
          <w:sz w:val="20"/>
          <w:szCs w:val="20"/>
        </w:rPr>
        <w:t>Evolutionary Biology Centre, Sweden</w:t>
      </w:r>
    </w:p>
    <w:p>
      <w:pPr>
        <w:pStyle w:val="ListParagraph"/>
        <w:numPr>
          <w:ilvl w:val="0"/>
          <w:numId w:val="41"/>
        </w:numPr>
        <w:spacing w:before="0" w:after="22"/>
        <w:rPr/>
      </w:pPr>
      <w:r>
        <w:rPr>
          <w:rFonts w:eastAsia="Cambria" w:cs="Cambria" w:ascii="Cambria" w:hAnsi="Cambria"/>
          <w:color w:val="222222"/>
          <w:sz w:val="20"/>
          <w:szCs w:val="20"/>
        </w:rPr>
        <w:t xml:space="preserve">Bacterial genomics, contributing to identification of a new Capnocytophaga species | </w:t>
      </w:r>
      <w:r>
        <w:rPr>
          <w:rFonts w:eastAsia="Cambria" w:cs="Cambria" w:ascii="Cambria" w:hAnsi="Cambria"/>
          <w:b/>
          <w:bCs/>
          <w:color w:val="222222"/>
          <w:sz w:val="20"/>
          <w:szCs w:val="20"/>
        </w:rPr>
        <w:t>Karolinska Hospital, Sweden</w:t>
      </w:r>
    </w:p>
    <w:p>
      <w:pPr>
        <w:pStyle w:val="ListParagraph"/>
        <w:numPr>
          <w:ilvl w:val="0"/>
          <w:numId w:val="42"/>
        </w:numPr>
        <w:spacing w:before="0" w:after="22"/>
        <w:rPr/>
      </w:pPr>
      <w:r>
        <w:rPr>
          <w:rFonts w:eastAsia="Cambria" w:cs="Cambria" w:ascii="Cambria" w:hAnsi="Cambria"/>
          <w:color w:val="222222"/>
          <w:sz w:val="20"/>
          <w:szCs w:val="20"/>
        </w:rPr>
        <w:t xml:space="preserve">Exome sequencing for rare disease variant discovery and involvement in Wetlab experiments | </w:t>
      </w:r>
      <w:r>
        <w:rPr>
          <w:rFonts w:eastAsia="Cambria" w:cs="Cambria" w:ascii="Cambria" w:hAnsi="Cambria"/>
          <w:b/>
          <w:bCs/>
          <w:color w:val="222222"/>
          <w:sz w:val="20"/>
          <w:szCs w:val="20"/>
        </w:rPr>
        <w:t>COMSATS University</w:t>
      </w:r>
    </w:p>
    <w:p>
      <w:pPr>
        <w:pStyle w:val="ListParagraph"/>
        <w:numPr>
          <w:ilvl w:val="0"/>
          <w:numId w:val="0"/>
        </w:numPr>
        <w:spacing w:before="0" w:after="22"/>
        <w:ind w:hanging="0" w:left="720"/>
        <w:rPr>
          <w:rFonts w:ascii="Cambria" w:hAnsi="Cambria" w:eastAsia="Cambria" w:cs="Cambria"/>
          <w:color w:val="222222"/>
          <w:sz w:val="20"/>
          <w:szCs w:val="20"/>
        </w:rPr>
      </w:pPr>
      <w:r>
        <w:rPr>
          <w:rFonts w:eastAsia="Cambria" w:cs="Cambria" w:ascii="Cambria" w:hAnsi="Cambria"/>
          <w:color w:val="222222"/>
          <w:sz w:val="20"/>
          <w:szCs w:val="20"/>
        </w:rPr>
      </w:r>
    </w:p>
    <w:p>
      <w:pPr>
        <w:pStyle w:val="Normal"/>
        <w:pBdr>
          <w:bottom w:val="single" w:sz="10" w:space="4" w:color="3A3F44"/>
        </w:pBdr>
        <w:spacing w:before="130" w:after="55"/>
        <w:rPr/>
      </w:pPr>
      <w:r>
        <w:rPr/>
        <w:drawing>
          <wp:inline distT="0" distB="0" distL="0" distR="0">
            <wp:extent cx="142875" cy="14287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</w:t>
      </w:r>
      <w:r>
        <w:rPr>
          <w:rFonts w:eastAsia="Calibri" w:cs="Calibri" w:ascii="Calibri" w:hAnsi="Calibri"/>
          <w:b/>
          <w:bCs/>
          <w:color w:val="3A3F44"/>
          <w:spacing w:val="14"/>
          <w:sz w:val="22"/>
          <w:szCs w:val="22"/>
        </w:rPr>
        <w:t>TEACHING</w:t>
      </w:r>
    </w:p>
    <w:p>
      <w:pPr>
        <w:pStyle w:val="Normal"/>
        <w:tabs>
          <w:tab w:val="clear" w:pos="720"/>
          <w:tab w:val="right" w:pos="9026" w:leader="none"/>
        </w:tabs>
        <w:spacing w:before="65" w:after="6"/>
        <w:rPr/>
      </w:pPr>
      <w:r>
        <w:rPr>
          <w:rFonts w:eastAsia="Cambria" w:cs="Cambria" w:ascii="Cambria" w:hAnsi="Cambria"/>
          <w:b/>
          <w:bCs/>
          <w:color w:val="222222"/>
          <w:sz w:val="21"/>
          <w:szCs w:val="21"/>
        </w:rPr>
        <w:t>Teaching Assistant (TP — Travaux Pratiques), Université de Bordeaux</w:t>
      </w:r>
      <w:r>
        <w:rPr>
          <w:rFonts w:eastAsia="Calibri" w:cs="Calibri" w:ascii="Calibri" w:hAnsi="Calibri"/>
          <w:i/>
          <w:iCs/>
          <w:color w:val="555B61"/>
          <w:sz w:val="19"/>
          <w:szCs w:val="19"/>
        </w:rPr>
        <w:tab/>
        <w:t>2023 – 2025</w:t>
      </w:r>
    </w:p>
    <w:p>
      <w:pPr>
        <w:pStyle w:val="ListParagraph"/>
        <w:numPr>
          <w:ilvl w:val="0"/>
          <w:numId w:val="43"/>
        </w:numPr>
        <w:spacing w:before="0" w:after="22"/>
        <w:rPr/>
      </w:pPr>
      <w:r>
        <w:rPr>
          <w:rFonts w:eastAsia="Cambria" w:cs="Cambria" w:ascii="Cambria" w:hAnsi="Cambria"/>
          <w:color w:val="222222"/>
          <w:sz w:val="20"/>
          <w:szCs w:val="20"/>
        </w:rPr>
        <w:t>Delivered practical/laboratory teaching sessions (TP) each year of the PhD: 20 HETD equivalent hours in 2023–2024, 10 HETD equivalent hours in 2024–2025</w:t>
      </w:r>
    </w:p>
    <w:p>
      <w:pPr>
        <w:pStyle w:val="Normal"/>
        <w:tabs>
          <w:tab w:val="clear" w:pos="720"/>
          <w:tab w:val="right" w:pos="9026" w:leader="none"/>
        </w:tabs>
        <w:spacing w:before="65" w:after="6"/>
        <w:rPr/>
      </w:pPr>
      <w:r>
        <w:rPr>
          <w:rFonts w:eastAsia="Cambria" w:cs="Cambria" w:ascii="Cambria" w:hAnsi="Cambria"/>
          <w:b/>
          <w:bCs/>
          <w:color w:val="222222"/>
          <w:sz w:val="21"/>
          <w:szCs w:val="21"/>
        </w:rPr>
        <w:t>Instructor of Bioinformatics, Virtual University of Pakistan</w:t>
      </w:r>
      <w:r>
        <w:rPr>
          <w:rFonts w:eastAsia="Calibri" w:cs="Calibri" w:ascii="Calibri" w:hAnsi="Calibri"/>
          <w:i/>
          <w:iCs/>
          <w:color w:val="555B61"/>
          <w:sz w:val="19"/>
          <w:szCs w:val="19"/>
        </w:rPr>
        <w:tab/>
        <w:t>Jan 2017 – Jul 2017</w:t>
      </w:r>
    </w:p>
    <w:p>
      <w:pPr>
        <w:pStyle w:val="ListParagraph"/>
        <w:numPr>
          <w:ilvl w:val="0"/>
          <w:numId w:val="44"/>
        </w:numPr>
        <w:spacing w:before="0" w:after="22"/>
        <w:rPr/>
      </w:pPr>
      <w:r>
        <w:rPr>
          <w:rFonts w:eastAsia="Cambria" w:cs="Cambria" w:ascii="Cambria" w:hAnsi="Cambria"/>
          <w:color w:val="222222"/>
          <w:sz w:val="20"/>
          <w:szCs w:val="20"/>
        </w:rPr>
        <w:t>Taught bioinformatics coursework and supervised laboratory exercises in molecular biology, microbiology, and cell biology</w:t>
      </w:r>
    </w:p>
    <w:p>
      <w:pPr>
        <w:pStyle w:val="ListParagraph"/>
        <w:numPr>
          <w:ilvl w:val="0"/>
          <w:numId w:val="0"/>
        </w:numPr>
        <w:spacing w:before="0" w:after="22"/>
        <w:ind w:hanging="0" w:left="720"/>
        <w:rPr>
          <w:rFonts w:ascii="Cambria" w:hAnsi="Cambria" w:eastAsia="Cambria" w:cs="Cambria"/>
          <w:color w:val="222222"/>
          <w:sz w:val="20"/>
          <w:szCs w:val="20"/>
        </w:rPr>
      </w:pPr>
      <w:r>
        <w:rPr>
          <w:rFonts w:eastAsia="Cambria" w:cs="Cambria" w:ascii="Cambria" w:hAnsi="Cambria"/>
          <w:color w:val="222222"/>
          <w:sz w:val="20"/>
          <w:szCs w:val="20"/>
        </w:rPr>
      </w:r>
    </w:p>
    <w:p>
      <w:pPr>
        <w:pStyle w:val="Normal"/>
        <w:pBdr>
          <w:bottom w:val="single" w:sz="10" w:space="4" w:color="3A3F44"/>
        </w:pBdr>
        <w:spacing w:before="130" w:after="55"/>
        <w:rPr/>
      </w:pPr>
      <w:r>
        <w:rPr/>
        <w:drawing>
          <wp:inline distT="0" distB="0" distL="0" distR="0">
            <wp:extent cx="142875" cy="14287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</w:t>
      </w:r>
      <w:r>
        <w:rPr>
          <w:rFonts w:eastAsia="Calibri" w:cs="Calibri" w:ascii="Calibri" w:hAnsi="Calibri"/>
          <w:b/>
          <w:bCs/>
          <w:color w:val="3A3F44"/>
          <w:spacing w:val="14"/>
          <w:sz w:val="22"/>
          <w:szCs w:val="22"/>
        </w:rPr>
        <w:t>PUBLICATIONS</w:t>
      </w:r>
    </w:p>
    <w:p>
      <w:pPr>
        <w:pStyle w:val="Normal"/>
        <w:spacing w:before="20" w:after="60"/>
        <w:rPr/>
      </w:pPr>
      <w:r>
        <w:rPr>
          <w:rFonts w:eastAsia="Calibri" w:cs="Calibri" w:ascii="Calibri" w:hAnsi="Calibri"/>
          <w:b/>
          <w:bCs/>
          <w:i/>
          <w:iCs/>
          <w:color w:val="555B61"/>
          <w:sz w:val="19"/>
          <w:szCs w:val="19"/>
        </w:rPr>
        <w:t>Under Review</w:t>
      </w:r>
    </w:p>
    <w:p>
      <w:pPr>
        <w:pStyle w:val="Normal"/>
        <w:spacing w:before="0" w:after="45"/>
        <w:ind w:hanging="260" w:left="260"/>
        <w:rPr/>
      </w:pPr>
      <w:r>
        <w:rPr>
          <w:rFonts w:eastAsia="Cambria" w:cs="Cambria" w:ascii="Cambria" w:hAnsi="Cambria"/>
          <w:sz w:val="20"/>
          <w:szCs w:val="20"/>
        </w:rPr>
        <w:t xml:space="preserve">Boccelari L, Gravelle P, Tosolini M, </w:t>
      </w:r>
      <w:r>
        <w:rPr>
          <w:rFonts w:eastAsia="Cambria" w:cs="Cambria" w:ascii="Cambria" w:hAnsi="Cambria"/>
          <w:b/>
          <w:bCs/>
          <w:sz w:val="20"/>
          <w:szCs w:val="20"/>
        </w:rPr>
        <w:t>Abbasi N</w:t>
      </w:r>
      <w:r>
        <w:rPr>
          <w:rFonts w:eastAsia="Cambria" w:cs="Cambria" w:ascii="Cambria" w:hAnsi="Cambria"/>
          <w:sz w:val="20"/>
          <w:szCs w:val="20"/>
        </w:rPr>
        <w:t xml:space="preserve">, Le Morvan V, et al. Primary Cutaneous Diffuse Large B Cell Lymphoma, Leg Type, Induces Dynamic Transcriptional Reprogramming of Immunosuppressive Macrophages. </w:t>
      </w:r>
      <w:r>
        <w:rPr>
          <w:rFonts w:eastAsia="Cambria" w:cs="Cambria" w:ascii="Cambria" w:hAnsi="Cambria"/>
          <w:i/>
          <w:iCs/>
          <w:sz w:val="20"/>
          <w:szCs w:val="20"/>
        </w:rPr>
        <w:t>Cancer Immunology Research.</w:t>
      </w:r>
      <w:r>
        <w:rPr>
          <w:rFonts w:eastAsia="Cambria" w:cs="Cambria" w:ascii="Cambria" w:hAnsi="Cambria"/>
          <w:sz w:val="20"/>
          <w:szCs w:val="20"/>
        </w:rPr>
        <w:t xml:space="preserve"> </w:t>
      </w:r>
      <w:r>
        <w:rPr>
          <w:rFonts w:eastAsia="Cambria" w:cs="Cambria" w:ascii="Cambria" w:hAnsi="Cambria"/>
          <w:b/>
          <w:bCs/>
          <w:sz w:val="20"/>
          <w:szCs w:val="20"/>
        </w:rPr>
        <w:t>Under review</w:t>
      </w:r>
    </w:p>
    <w:p>
      <w:pPr>
        <w:pStyle w:val="Normal"/>
        <w:spacing w:before="0" w:after="45"/>
        <w:ind w:hanging="260" w:left="260"/>
        <w:rPr>
          <w:rFonts w:ascii="Calibri" w:hAnsi="Calibri" w:eastAsia="Calibri" w:cs="Calibri"/>
          <w:b/>
          <w:bCs/>
          <w:i/>
          <w:i/>
          <w:iCs/>
          <w:color w:val="555B61"/>
          <w:sz w:val="19"/>
          <w:szCs w:val="19"/>
        </w:rPr>
      </w:pPr>
      <w:r>
        <w:rPr>
          <w:rFonts w:eastAsia="Calibri" w:cs="Calibri" w:ascii="Calibri" w:hAnsi="Calibri"/>
          <w:b/>
          <w:bCs/>
          <w:i/>
          <w:iCs/>
          <w:color w:val="555B61"/>
          <w:sz w:val="19"/>
          <w:szCs w:val="19"/>
        </w:rPr>
      </w:r>
    </w:p>
    <w:p>
      <w:pPr>
        <w:pStyle w:val="Normal"/>
        <w:spacing w:before="0" w:after="45"/>
        <w:ind w:hanging="260" w:left="260"/>
        <w:rPr/>
      </w:pPr>
      <w:r>
        <w:rPr>
          <w:rFonts w:eastAsia="Cambria" w:cs="Cambria" w:ascii="Cambria" w:hAnsi="Cambria"/>
          <w:b/>
          <w:bCs/>
          <w:sz w:val="20"/>
          <w:szCs w:val="20"/>
        </w:rPr>
        <w:t>Abbasi N</w:t>
      </w:r>
      <w:r>
        <w:rPr>
          <w:rFonts w:eastAsia="Cambria" w:cs="Cambria" w:ascii="Cambria" w:hAnsi="Cambria"/>
          <w:sz w:val="20"/>
          <w:szCs w:val="20"/>
        </w:rPr>
        <w:t xml:space="preserve">, et al. Deciphering Sézary syndrome tumoral heterogeneity through a bioinformatic approach. </w:t>
      </w:r>
      <w:r>
        <w:rPr>
          <w:rFonts w:eastAsia="Cambria" w:cs="Cambria" w:ascii="Cambria" w:hAnsi="Cambria"/>
          <w:i/>
          <w:iCs/>
          <w:sz w:val="20"/>
          <w:szCs w:val="20"/>
        </w:rPr>
        <w:t xml:space="preserve">To be submitted online, end of 2026. </w:t>
      </w:r>
      <w:r>
        <w:rPr>
          <w:rFonts w:eastAsia="Cambria" w:cs="Cambria" w:ascii="Cambria" w:hAnsi="Cambria"/>
          <w:b/>
          <w:bCs/>
          <w:i/>
          <w:iCs/>
          <w:sz w:val="20"/>
          <w:szCs w:val="20"/>
        </w:rPr>
        <w:t>Under review</w:t>
      </w:r>
    </w:p>
    <w:p>
      <w:pPr>
        <w:pStyle w:val="Normal"/>
        <w:spacing w:before="100" w:after="60"/>
        <w:rPr>
          <w:rFonts w:ascii="Calibri" w:hAnsi="Calibri" w:eastAsia="Calibri" w:cs="Calibri"/>
          <w:b/>
          <w:bCs/>
          <w:i/>
          <w:i/>
          <w:iCs/>
          <w:color w:val="555B61"/>
          <w:sz w:val="19"/>
          <w:szCs w:val="19"/>
        </w:rPr>
      </w:pPr>
      <w:r>
        <w:rPr>
          <w:rFonts w:eastAsia="Calibri" w:cs="Calibri" w:ascii="Calibri" w:hAnsi="Calibri"/>
          <w:b/>
          <w:bCs/>
          <w:i/>
          <w:iCs/>
          <w:color w:val="555B61"/>
          <w:sz w:val="19"/>
          <w:szCs w:val="19"/>
        </w:rPr>
      </w:r>
    </w:p>
    <w:p>
      <w:pPr>
        <w:pStyle w:val="Normal"/>
        <w:spacing w:before="100" w:after="60"/>
        <w:rPr/>
      </w:pPr>
      <w:r>
        <w:rPr>
          <w:rFonts w:eastAsia="Calibri" w:cs="Calibri" w:ascii="Calibri" w:hAnsi="Calibri"/>
          <w:b/>
          <w:bCs/>
          <w:i/>
          <w:iCs/>
          <w:color w:val="555B61"/>
          <w:sz w:val="19"/>
          <w:szCs w:val="19"/>
        </w:rPr>
        <w:t>In Preparation</w:t>
      </w:r>
    </w:p>
    <w:p>
      <w:pPr>
        <w:pStyle w:val="Normal"/>
        <w:spacing w:before="0" w:after="45"/>
        <w:ind w:hanging="260" w:left="260"/>
        <w:jc w:val="left"/>
        <w:rPr>
          <w:rFonts w:ascii="Cambria" w:hAnsi="Cambria"/>
        </w:rPr>
      </w:pPr>
      <w:r>
        <w:rPr>
          <w:rFonts w:ascii="Cambria" w:hAnsi="Cambria"/>
        </w:rPr>
        <w:t xml:space="preserve">Cherfan C, Deslande M, Prochazkova-Carlotti M, </w:t>
      </w:r>
      <w:r>
        <w:rPr>
          <w:rFonts w:ascii="Cambria" w:hAnsi="Cambria"/>
          <w:b/>
          <w:bCs/>
        </w:rPr>
        <w:t>Abbasi N</w:t>
      </w:r>
      <w:r>
        <w:rPr>
          <w:rFonts w:ascii="Cambria" w:hAnsi="Cambria"/>
        </w:rPr>
        <w:t>, Sharanek A, Pham-Ledard A, Poglio S, Gros A, Merlio J-P, Bresson-Bepoldin L, Beylot-Barry M, Chevret E. Oxidative Phosphorylation: A Potential Achilles' Heel of Sézary Cells</w:t>
      </w:r>
    </w:p>
    <w:p>
      <w:pPr>
        <w:pStyle w:val="Normal"/>
        <w:spacing w:before="100" w:after="60"/>
        <w:rPr>
          <w:rFonts w:ascii="Calibri" w:hAnsi="Calibri" w:eastAsia="Calibri" w:cs="Calibri"/>
          <w:b/>
          <w:bCs/>
          <w:i/>
          <w:i/>
          <w:iCs/>
          <w:color w:val="555B61"/>
          <w:sz w:val="19"/>
          <w:szCs w:val="19"/>
        </w:rPr>
      </w:pPr>
      <w:r>
        <w:rPr>
          <w:rFonts w:eastAsia="Calibri" w:cs="Calibri" w:ascii="Calibri" w:hAnsi="Calibri"/>
          <w:b/>
          <w:bCs/>
          <w:i/>
          <w:iCs/>
          <w:color w:val="555B61"/>
          <w:sz w:val="19"/>
          <w:szCs w:val="19"/>
        </w:rPr>
      </w:r>
    </w:p>
    <w:p>
      <w:pPr>
        <w:pStyle w:val="Normal"/>
        <w:spacing w:before="100" w:after="60"/>
        <w:rPr/>
      </w:pPr>
      <w:r>
        <w:rPr>
          <w:rFonts w:eastAsia="Calibri" w:cs="Calibri" w:ascii="Calibri" w:hAnsi="Calibri"/>
          <w:b/>
          <w:bCs/>
          <w:i/>
          <w:iCs/>
          <w:color w:val="555B61"/>
          <w:sz w:val="19"/>
          <w:szCs w:val="19"/>
        </w:rPr>
        <w:t>Published</w:t>
      </w:r>
    </w:p>
    <w:p>
      <w:pPr>
        <w:pStyle w:val="Normal"/>
        <w:spacing w:before="0" w:after="45"/>
        <w:ind w:hanging="260" w:left="260"/>
        <w:rPr/>
      </w:pPr>
      <w:r>
        <w:rPr>
          <w:rFonts w:eastAsia="Cambria" w:cs="Cambria" w:ascii="Cambria" w:hAnsi="Cambria"/>
          <w:sz w:val="20"/>
          <w:szCs w:val="20"/>
        </w:rPr>
        <w:t xml:space="preserve">Ajmal M, Khan M, Neveling K, Tayyab A, Jaffar S, Sadeque A, Ayub H, </w:t>
      </w:r>
      <w:r>
        <w:rPr>
          <w:rFonts w:eastAsia="Cambria" w:cs="Cambria" w:ascii="Cambria" w:hAnsi="Cambria"/>
          <w:b/>
          <w:bCs/>
          <w:sz w:val="20"/>
          <w:szCs w:val="20"/>
        </w:rPr>
        <w:t>Abbasi N</w:t>
      </w:r>
      <w:r>
        <w:rPr>
          <w:rFonts w:eastAsia="Cambria" w:cs="Cambria" w:ascii="Cambria" w:hAnsi="Cambria"/>
          <w:sz w:val="20"/>
          <w:szCs w:val="20"/>
        </w:rPr>
        <w:t xml:space="preserve">, Riaz M, Micheal S, Gilissen C, Ali S, Azam M, Collin R, Cremers F, Qamar R. Exome sequencing identifies a novel and a recurrent BBS1 mutation in Pakistani families with Bardet-Biedl syndrome. </w:t>
      </w:r>
      <w:r>
        <w:rPr>
          <w:rFonts w:eastAsia="Cambria" w:cs="Cambria" w:ascii="Cambria" w:hAnsi="Cambria"/>
          <w:i/>
          <w:iCs/>
          <w:sz w:val="20"/>
          <w:szCs w:val="20"/>
        </w:rPr>
        <w:t>Molecular Vision.</w:t>
      </w:r>
      <w:r>
        <w:rPr>
          <w:rFonts w:eastAsia="Cambria" w:cs="Cambria" w:ascii="Cambria" w:hAnsi="Cambria"/>
          <w:sz w:val="20"/>
          <w:szCs w:val="20"/>
        </w:rPr>
        <w:t xml:space="preserve"> 2013;19:644-653</w:t>
      </w:r>
    </w:p>
    <w:p>
      <w:pPr>
        <w:pStyle w:val="Normal"/>
        <w:spacing w:before="0" w:after="45"/>
        <w:ind w:hanging="260" w:left="260"/>
        <w:rPr/>
      </w:pPr>
      <w:r>
        <w:rPr>
          <w:rFonts w:eastAsia="Cambria" w:cs="Cambria" w:ascii="Cambria" w:hAnsi="Cambria"/>
          <w:sz w:val="20"/>
          <w:szCs w:val="20"/>
        </w:rPr>
        <w:t xml:space="preserve">Zangenah S, </w:t>
      </w:r>
      <w:r>
        <w:rPr>
          <w:rFonts w:eastAsia="Cambria" w:cs="Cambria" w:ascii="Cambria" w:hAnsi="Cambria"/>
          <w:b/>
          <w:bCs/>
          <w:sz w:val="20"/>
          <w:szCs w:val="20"/>
        </w:rPr>
        <w:t>Abbasi N</w:t>
      </w:r>
      <w:r>
        <w:rPr>
          <w:rFonts w:eastAsia="Cambria" w:cs="Cambria" w:ascii="Cambria" w:hAnsi="Cambria"/>
          <w:sz w:val="20"/>
          <w:szCs w:val="20"/>
        </w:rPr>
        <w:t xml:space="preserve">, Anders FA, Bergman P. Whole Genome Sequencing Reveals Novel Species of genus Capnocytophaga Isolated From Dog and Cat Bite Wounds in Humans. </w:t>
      </w:r>
      <w:r>
        <w:rPr>
          <w:rFonts w:eastAsia="Cambria" w:cs="Cambria" w:ascii="Cambria" w:hAnsi="Cambria"/>
          <w:i/>
          <w:iCs/>
          <w:sz w:val="20"/>
          <w:szCs w:val="20"/>
        </w:rPr>
        <w:t>Scientific Reports.</w:t>
      </w:r>
      <w:r>
        <w:rPr>
          <w:rFonts w:eastAsia="Cambria" w:cs="Cambria" w:ascii="Cambria" w:hAnsi="Cambria"/>
          <w:sz w:val="20"/>
          <w:szCs w:val="20"/>
        </w:rPr>
        <w:t xml:space="preserve"> 2016</w:t>
      </w:r>
    </w:p>
    <w:p>
      <w:pPr>
        <w:pStyle w:val="Normal"/>
        <w:spacing w:before="0" w:after="45"/>
        <w:ind w:hanging="260" w:left="260"/>
        <w:rPr/>
      </w:pPr>
      <w:r>
        <w:rPr>
          <w:rFonts w:eastAsia="Cambria" w:cs="Cambria" w:ascii="Cambria" w:hAnsi="Cambria"/>
          <w:sz w:val="20"/>
          <w:szCs w:val="20"/>
        </w:rPr>
        <w:t xml:space="preserve">Zajitschek S, Herbert-Read JE, </w:t>
      </w:r>
      <w:r>
        <w:rPr>
          <w:rFonts w:eastAsia="Cambria" w:cs="Cambria" w:ascii="Cambria" w:hAnsi="Cambria"/>
          <w:b/>
          <w:bCs/>
          <w:sz w:val="20"/>
          <w:szCs w:val="20"/>
        </w:rPr>
        <w:t>Abbasi N</w:t>
      </w:r>
      <w:r>
        <w:rPr>
          <w:rFonts w:eastAsia="Cambria" w:cs="Cambria" w:ascii="Cambria" w:hAnsi="Cambria"/>
          <w:sz w:val="20"/>
          <w:szCs w:val="20"/>
        </w:rPr>
        <w:t xml:space="preserve">, Immler S. Paternal personality and social status influence offspring personality in offsprings. </w:t>
      </w:r>
      <w:r>
        <w:rPr>
          <w:rFonts w:eastAsia="Cambria" w:cs="Cambria" w:ascii="Cambria" w:hAnsi="Cambria"/>
          <w:i/>
          <w:iCs/>
          <w:sz w:val="20"/>
          <w:szCs w:val="20"/>
        </w:rPr>
        <w:t>BMC Evolutionary Biology.</w:t>
      </w:r>
      <w:r>
        <w:rPr>
          <w:rFonts w:eastAsia="Cambria" w:cs="Cambria" w:ascii="Cambria" w:hAnsi="Cambria"/>
          <w:sz w:val="20"/>
          <w:szCs w:val="20"/>
        </w:rPr>
        <w:t xml:space="preserve"> 2017;17:157</w:t>
      </w:r>
    </w:p>
    <w:p>
      <w:pPr>
        <w:pStyle w:val="Normal"/>
        <w:spacing w:before="0" w:after="45"/>
        <w:ind w:hanging="260" w:left="26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"/>
        <w:pBdr>
          <w:bottom w:val="single" w:sz="10" w:space="4" w:color="3A3F44"/>
        </w:pBdr>
        <w:spacing w:before="130" w:after="55"/>
        <w:rPr/>
      </w:pPr>
      <w:r>
        <w:rPr/>
        <w:drawing>
          <wp:inline distT="0" distB="0" distL="0" distR="0">
            <wp:extent cx="142875" cy="14287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</w:t>
      </w:r>
      <w:r>
        <w:rPr>
          <w:rFonts w:eastAsia="Calibri" w:cs="Calibri" w:ascii="Calibri" w:hAnsi="Calibri"/>
          <w:b/>
          <w:bCs/>
          <w:color w:val="3A3F44"/>
          <w:spacing w:val="14"/>
          <w:sz w:val="22"/>
          <w:szCs w:val="22"/>
        </w:rPr>
        <w:t>CONFERENCES &amp; PRESENTATIONS</w:t>
      </w:r>
    </w:p>
    <w:p>
      <w:pPr>
        <w:pStyle w:val="ListParagraph"/>
        <w:numPr>
          <w:ilvl w:val="0"/>
          <w:numId w:val="45"/>
        </w:numPr>
        <w:spacing w:before="0" w:after="22"/>
        <w:rPr/>
      </w:pPr>
      <w:r>
        <w:rPr>
          <w:rFonts w:eastAsia="Cambria" w:cs="Cambria" w:ascii="Cambria" w:hAnsi="Cambria"/>
          <w:color w:val="222222"/>
          <w:sz w:val="20"/>
          <w:szCs w:val="20"/>
        </w:rPr>
        <w:t>“</w:t>
      </w:r>
      <w:r>
        <w:rPr>
          <w:rFonts w:eastAsia="Cambria" w:cs="Cambria" w:ascii="Cambria" w:hAnsi="Cambria"/>
          <w:color w:val="222222"/>
          <w:sz w:val="20"/>
          <w:szCs w:val="20"/>
        </w:rPr>
        <w:t>Single-cell dissection of Sézary syndrome heterogeneity” | Flash Talk &amp; Poster, SBM Day conference, France (September 2024)</w:t>
      </w:r>
    </w:p>
    <w:p>
      <w:pPr>
        <w:pStyle w:val="ListParagraph"/>
        <w:numPr>
          <w:ilvl w:val="0"/>
          <w:numId w:val="46"/>
        </w:numPr>
        <w:spacing w:before="0" w:after="22"/>
        <w:rPr/>
      </w:pPr>
      <w:r>
        <w:rPr>
          <w:rFonts w:eastAsia="Cambria" w:cs="Cambria" w:ascii="Cambria" w:hAnsi="Cambria"/>
          <w:color w:val="222222"/>
          <w:sz w:val="20"/>
          <w:szCs w:val="20"/>
        </w:rPr>
        <w:t>“</w:t>
      </w:r>
      <w:r>
        <w:rPr>
          <w:rFonts w:eastAsia="Cambria" w:cs="Cambria" w:ascii="Cambria" w:hAnsi="Cambria"/>
          <w:color w:val="222222"/>
          <w:sz w:val="20"/>
          <w:szCs w:val="20"/>
        </w:rPr>
        <w:t>Tumor heterogeneity and regulatory programs in cutaneous lymphoma” | Poster, SBM Day conference, France (September 2025)</w:t>
      </w:r>
    </w:p>
    <w:p>
      <w:pPr>
        <w:pStyle w:val="ListParagraph"/>
        <w:numPr>
          <w:ilvl w:val="0"/>
          <w:numId w:val="47"/>
        </w:numPr>
        <w:spacing w:before="0" w:after="22"/>
        <w:rPr/>
      </w:pPr>
      <w:r>
        <w:rPr>
          <w:rFonts w:eastAsia="Cambria" w:cs="Cambria" w:ascii="Cambria" w:hAnsi="Cambria"/>
          <w:color w:val="222222"/>
          <w:sz w:val="20"/>
          <w:szCs w:val="20"/>
        </w:rPr>
        <w:t>Poster Presentation |Doctoral School Day, Université de Bordeaux, France (2025)</w:t>
      </w:r>
    </w:p>
    <w:p>
      <w:pPr>
        <w:pStyle w:val="ListParagraph"/>
        <w:numPr>
          <w:ilvl w:val="0"/>
          <w:numId w:val="48"/>
        </w:numPr>
        <w:spacing w:before="0" w:after="22"/>
        <w:rPr/>
      </w:pPr>
      <w:r>
        <w:rPr>
          <w:rFonts w:eastAsia="Cambria" w:cs="Cambria" w:ascii="Cambria" w:hAnsi="Cambria"/>
          <w:color w:val="222222"/>
          <w:sz w:val="20"/>
          <w:szCs w:val="20"/>
        </w:rPr>
        <w:t>gdec-bioinfo-workshop#2 | Tidyverse / R Markdown for Genomics, training workshop, France</w:t>
      </w:r>
    </w:p>
    <w:p>
      <w:pPr>
        <w:pStyle w:val="ListParagraph"/>
        <w:numPr>
          <w:ilvl w:val="0"/>
          <w:numId w:val="49"/>
        </w:numPr>
        <w:spacing w:before="0" w:after="22"/>
        <w:rPr/>
      </w:pPr>
      <w:r>
        <w:rPr>
          <w:rFonts w:eastAsia="Cambria" w:cs="Cambria" w:ascii="Cambria" w:hAnsi="Cambria"/>
          <w:color w:val="222222"/>
          <w:sz w:val="20"/>
          <w:szCs w:val="20"/>
        </w:rPr>
        <w:t>The Hong Kong Epigenomics Project | seminar series, Hong Kong</w:t>
      </w:r>
    </w:p>
    <w:p>
      <w:pPr>
        <w:pStyle w:val="ListParagraph"/>
        <w:numPr>
          <w:ilvl w:val="0"/>
          <w:numId w:val="50"/>
        </w:numPr>
        <w:spacing w:before="0" w:after="22"/>
        <w:rPr/>
      </w:pPr>
      <w:r>
        <w:rPr>
          <w:rFonts w:eastAsia="Cambria" w:cs="Cambria" w:ascii="Cambria" w:hAnsi="Cambria"/>
          <w:color w:val="222222"/>
          <w:sz w:val="20"/>
          <w:szCs w:val="20"/>
        </w:rPr>
        <w:t>The Mathematics of Deep Learning | seminar, Hong Kong</w:t>
      </w:r>
    </w:p>
    <w:p>
      <w:pPr>
        <w:pStyle w:val="ListParagraph"/>
        <w:numPr>
          <w:ilvl w:val="0"/>
          <w:numId w:val="0"/>
        </w:numPr>
        <w:spacing w:before="0" w:after="22"/>
        <w:ind w:hanging="0" w:left="720"/>
        <w:rPr>
          <w:rFonts w:ascii="Cambria" w:hAnsi="Cambria" w:eastAsia="Cambria" w:cs="Cambria"/>
          <w:color w:val="222222"/>
          <w:sz w:val="20"/>
          <w:szCs w:val="20"/>
        </w:rPr>
      </w:pPr>
      <w:r>
        <w:rPr>
          <w:rFonts w:eastAsia="Cambria" w:cs="Cambria" w:ascii="Cambria" w:hAnsi="Cambria"/>
          <w:color w:val="222222"/>
          <w:sz w:val="20"/>
          <w:szCs w:val="20"/>
        </w:rPr>
      </w:r>
    </w:p>
    <w:p>
      <w:pPr>
        <w:pStyle w:val="Normal"/>
        <w:pBdr>
          <w:bottom w:val="single" w:sz="10" w:space="4" w:color="3A3F44"/>
        </w:pBdr>
        <w:spacing w:before="130" w:after="55"/>
        <w:rPr/>
      </w:pPr>
      <w:r>
        <w:rPr/>
        <w:drawing>
          <wp:inline distT="0" distB="0" distL="0" distR="0">
            <wp:extent cx="142875" cy="142875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</w:t>
      </w:r>
      <w:r>
        <w:rPr>
          <w:rFonts w:eastAsia="Calibri" w:cs="Calibri" w:ascii="Calibri" w:hAnsi="Calibri"/>
          <w:b/>
          <w:bCs/>
          <w:color w:val="3A3F44"/>
          <w:spacing w:val="14"/>
          <w:sz w:val="22"/>
          <w:szCs w:val="22"/>
        </w:rPr>
        <w:t>LANGUAGES</w:t>
      </w:r>
    </w:p>
    <w:p>
      <w:pPr>
        <w:pStyle w:val="Normal"/>
        <w:spacing w:before="0" w:after="10"/>
        <w:rPr>
          <w:sz w:val="20"/>
          <w:szCs w:val="20"/>
        </w:rPr>
      </w:pPr>
      <w:r>
        <w:rPr>
          <w:rFonts w:eastAsia="Calibri" w:cs="Calibri" w:ascii="Calibri" w:hAnsi="Calibri"/>
          <w:b/>
          <w:bCs/>
          <w:color w:val="3A3F44"/>
          <w:sz w:val="20"/>
          <w:szCs w:val="20"/>
        </w:rPr>
        <w:t xml:space="preserve">English:  </w:t>
      </w:r>
      <w:r>
        <w:rPr>
          <w:rFonts w:eastAsia="Cambria" w:cs="Cambria" w:ascii="Cambria" w:hAnsi="Cambria"/>
          <w:color w:val="222222"/>
          <w:sz w:val="20"/>
          <w:szCs w:val="20"/>
        </w:rPr>
        <w:t xml:space="preserve">Fluent   |   </w:t>
      </w:r>
      <w:r>
        <w:rPr>
          <w:rFonts w:eastAsia="Cambria" w:cs="Cambria" w:ascii="Cambria" w:hAnsi="Cambria"/>
          <w:b/>
          <w:bCs/>
          <w:color w:val="222222"/>
          <w:sz w:val="20"/>
          <w:szCs w:val="20"/>
        </w:rPr>
        <w:t xml:space="preserve">French: </w:t>
      </w:r>
      <w:r>
        <w:rPr>
          <w:rFonts w:eastAsia="Cambria" w:cs="Cambria" w:ascii="Cambria" w:hAnsi="Cambria"/>
          <w:color w:val="222222"/>
          <w:sz w:val="20"/>
          <w:szCs w:val="20"/>
        </w:rPr>
        <w:t xml:space="preserve">Professional working proficiency   |   </w:t>
      </w:r>
      <w:r>
        <w:rPr>
          <w:rFonts w:eastAsia="Cambria" w:cs="Cambria" w:ascii="Cambria" w:hAnsi="Cambria"/>
          <w:b/>
          <w:bCs/>
          <w:color w:val="222222"/>
          <w:sz w:val="20"/>
          <w:szCs w:val="20"/>
        </w:rPr>
        <w:t xml:space="preserve">Urdu: </w:t>
      </w:r>
      <w:r>
        <w:rPr>
          <w:rFonts w:eastAsia="Cambria" w:cs="Cambria" w:ascii="Cambria" w:hAnsi="Cambria"/>
          <w:color w:val="222222"/>
          <w:sz w:val="20"/>
          <w:szCs w:val="20"/>
        </w:rPr>
        <w:t>Native</w:t>
      </w:r>
    </w:p>
    <w:p>
      <w:pPr>
        <w:pStyle w:val="Normal"/>
        <w:spacing w:before="0" w:after="30"/>
        <w:rPr>
          <w:rFonts w:ascii="Cambria" w:hAnsi="Cambria" w:eastAsia="Cambria" w:cs="Cambria"/>
          <w:color w:val="222222"/>
          <w:sz w:val="20"/>
          <w:szCs w:val="20"/>
        </w:rPr>
      </w:pPr>
      <w:r>
        <w:rPr>
          <w:rFonts w:eastAsia="Cambria" w:cs="Cambria" w:ascii="Cambria" w:hAnsi="Cambria"/>
          <w:color w:val="222222"/>
          <w:sz w:val="20"/>
          <w:szCs w:val="20"/>
        </w:rPr>
      </w:r>
    </w:p>
    <w:p>
      <w:pPr>
        <w:pStyle w:val="Normal"/>
        <w:pBdr>
          <w:bottom w:val="single" w:sz="10" w:space="4" w:color="3A3F44"/>
        </w:pBdr>
        <w:spacing w:before="130" w:after="55"/>
        <w:rPr/>
      </w:pPr>
      <w:r>
        <w:rPr/>
        <w:drawing>
          <wp:inline distT="0" distB="0" distL="0" distR="0">
            <wp:extent cx="142875" cy="142875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</w:t>
      </w:r>
      <w:r>
        <w:rPr>
          <w:rFonts w:eastAsia="Calibri" w:cs="Calibri" w:ascii="Calibri" w:hAnsi="Calibri"/>
          <w:b/>
          <w:bCs/>
          <w:color w:val="3A3F44"/>
          <w:spacing w:val="14"/>
          <w:sz w:val="22"/>
          <w:szCs w:val="22"/>
        </w:rPr>
        <w:t>TECHNICAL &amp; COMPUTATIONAL SKILLS</w:t>
      </w:r>
    </w:p>
    <w:p>
      <w:pPr>
        <w:pStyle w:val="Normal"/>
        <w:spacing w:before="0" w:after="30"/>
        <w:rPr>
          <w:rFonts w:ascii="Cambria" w:hAnsi="Cambria"/>
        </w:rPr>
      </w:pPr>
      <w:r>
        <w:rPr>
          <w:rFonts w:eastAsia="Calibri" w:cs="Calibri" w:ascii="Cambria" w:hAnsi="Cambria"/>
          <w:b/>
          <w:bCs/>
          <w:color w:val="3A3F44"/>
          <w:sz w:val="20"/>
          <w:szCs w:val="20"/>
        </w:rPr>
        <w:t xml:space="preserve">Single-cell analysis:  </w:t>
      </w:r>
      <w:r>
        <w:rPr>
          <w:rFonts w:eastAsia="Cambria" w:cs="Cambria" w:ascii="Cambria" w:hAnsi="Cambria"/>
          <w:color w:val="222222"/>
          <w:sz w:val="20"/>
          <w:szCs w:val="20"/>
        </w:rPr>
        <w:t>Seurat, Scanpy, SingleCellExperiment, SCTransform, Harmony, DoubletFinder, Scrublet, Azimuth, SingleR, scType, Monocle3, Slingshot, PAGA, scVelo, Velocyto</w:t>
      </w:r>
    </w:p>
    <w:p>
      <w:pPr>
        <w:pStyle w:val="Normal"/>
        <w:spacing w:before="0" w:after="60"/>
        <w:rPr>
          <w:rFonts w:ascii="Cambria" w:hAnsi="Cambria"/>
        </w:rPr>
      </w:pPr>
      <w:r>
        <w:rPr>
          <w:rFonts w:eastAsia="Cambria" w:cs="Cambria" w:ascii="Cambria" w:hAnsi="Cambria"/>
          <w:b/>
          <w:bCs/>
          <w:color w:val="222222"/>
          <w:sz w:val="20"/>
          <w:szCs w:val="20"/>
        </w:rPr>
        <w:t xml:space="preserve">Spatial transcriptomics: </w:t>
      </w:r>
      <w:r>
        <w:rPr>
          <w:rFonts w:eastAsia="Cambria" w:cs="Cambria" w:ascii="Cambria" w:hAnsi="Cambria"/>
          <w:color w:val="222222"/>
          <w:sz w:val="20"/>
          <w:szCs w:val="20"/>
        </w:rPr>
        <w:t>Seurat spatial, squidpy (self-directed, in progress)</w:t>
      </w:r>
    </w:p>
    <w:p>
      <w:pPr>
        <w:pStyle w:val="Normal"/>
        <w:spacing w:before="0" w:after="30"/>
        <w:rPr>
          <w:rFonts w:ascii="Cambria" w:hAnsi="Cambria"/>
        </w:rPr>
      </w:pPr>
      <w:r>
        <w:rPr>
          <w:rFonts w:eastAsia="Calibri" w:cs="Calibri" w:ascii="Cambria" w:hAnsi="Cambria"/>
          <w:b/>
          <w:bCs/>
          <w:color w:val="3A3F44"/>
          <w:sz w:val="20"/>
          <w:szCs w:val="20"/>
        </w:rPr>
        <w:t xml:space="preserve">Genomics:  </w:t>
      </w:r>
      <w:r>
        <w:rPr>
          <w:rFonts w:eastAsia="Cambria" w:cs="Cambria" w:ascii="Cambria" w:hAnsi="Cambria"/>
          <w:color w:val="222222"/>
          <w:sz w:val="20"/>
          <w:szCs w:val="20"/>
        </w:rPr>
        <w:t>WES, WGS, RNAseq, Metatranscriptomics, Ampicon sequencing, BioNano optical mapping, variant calling, inferCNV, SCEVAN</w:t>
      </w:r>
    </w:p>
    <w:p>
      <w:pPr>
        <w:pStyle w:val="Normal"/>
        <w:spacing w:before="0" w:after="30"/>
        <w:rPr>
          <w:rFonts w:ascii="Cambria" w:hAnsi="Cambria"/>
        </w:rPr>
      </w:pPr>
      <w:r>
        <w:rPr>
          <w:rFonts w:eastAsia="Calibri" w:cs="Calibri" w:ascii="Cambria" w:hAnsi="Cambria"/>
          <w:b/>
          <w:bCs/>
          <w:color w:val="3A3F44"/>
          <w:sz w:val="20"/>
          <w:szCs w:val="20"/>
        </w:rPr>
        <w:t xml:space="preserve">Regulatory &amp; communication networks:  </w:t>
      </w:r>
      <w:r>
        <w:rPr>
          <w:rFonts w:eastAsia="Cambria" w:cs="Cambria" w:ascii="Cambria" w:hAnsi="Cambria"/>
          <w:color w:val="222222"/>
          <w:sz w:val="20"/>
          <w:szCs w:val="20"/>
        </w:rPr>
        <w:t>SCENIC, GENIE3, DoRothEA, LIANA, CellChat</w:t>
      </w:r>
    </w:p>
    <w:p>
      <w:pPr>
        <w:pStyle w:val="Normal"/>
        <w:spacing w:before="0" w:after="30"/>
        <w:rPr>
          <w:rFonts w:ascii="Cambria" w:hAnsi="Cambria"/>
        </w:rPr>
      </w:pPr>
      <w:r>
        <w:rPr>
          <w:rFonts w:eastAsia="Calibri" w:cs="Calibri" w:ascii="Cambria" w:hAnsi="Cambria"/>
          <w:b/>
          <w:bCs/>
          <w:color w:val="3A3F44"/>
          <w:sz w:val="20"/>
          <w:szCs w:val="20"/>
        </w:rPr>
        <w:t xml:space="preserve">Statistics &amp; differential expression:  </w:t>
      </w:r>
      <w:r>
        <w:rPr>
          <w:rFonts w:eastAsia="Cambria" w:cs="Cambria" w:ascii="Cambria" w:hAnsi="Cambria"/>
          <w:color w:val="222222"/>
          <w:sz w:val="20"/>
          <w:szCs w:val="20"/>
        </w:rPr>
        <w:t>DESeq2, edgeR, MAST, LIBRA (pseudobulk), Wilcoxon rank-sum test</w:t>
      </w:r>
    </w:p>
    <w:p>
      <w:pPr>
        <w:pStyle w:val="Normal"/>
        <w:spacing w:before="0" w:after="30"/>
        <w:rPr>
          <w:rFonts w:ascii="Cambria" w:hAnsi="Cambria"/>
        </w:rPr>
      </w:pPr>
      <w:r>
        <w:rPr>
          <w:rFonts w:eastAsia="Calibri" w:cs="Calibri" w:ascii="Cambria" w:hAnsi="Cambria"/>
          <w:b/>
          <w:bCs/>
          <w:color w:val="3A3F44"/>
          <w:sz w:val="20"/>
          <w:szCs w:val="20"/>
        </w:rPr>
        <w:t xml:space="preserve">Visualization:  </w:t>
      </w:r>
      <w:r>
        <w:rPr>
          <w:rFonts w:eastAsia="Cambria" w:cs="Cambria" w:ascii="Cambria" w:hAnsi="Cambria"/>
          <w:color w:val="222222"/>
          <w:sz w:val="20"/>
          <w:szCs w:val="20"/>
        </w:rPr>
        <w:t>ggplot2, ComplexHeatmap, SCpubr, Nebulosa, dittoSeq</w:t>
      </w:r>
    </w:p>
    <w:p>
      <w:pPr>
        <w:pStyle w:val="Normal"/>
        <w:spacing w:before="0" w:after="30"/>
        <w:rPr>
          <w:rFonts w:ascii="Cambria" w:hAnsi="Cambria"/>
        </w:rPr>
      </w:pPr>
      <w:r>
        <w:rPr>
          <w:rFonts w:eastAsia="Calibri" w:cs="Calibri" w:ascii="Cambria" w:hAnsi="Cambria"/>
          <w:b/>
          <w:bCs/>
          <w:color w:val="3A3F44"/>
          <w:sz w:val="20"/>
          <w:szCs w:val="20"/>
        </w:rPr>
        <w:t xml:space="preserve">Languages:  </w:t>
      </w:r>
      <w:r>
        <w:rPr>
          <w:rFonts w:eastAsia="Cambria" w:cs="Cambria" w:ascii="Cambria" w:hAnsi="Cambria"/>
          <w:color w:val="222222"/>
          <w:sz w:val="20"/>
          <w:szCs w:val="20"/>
        </w:rPr>
        <w:t>R, Python, Perl, C, JavaScript, PHP, SQL</w:t>
      </w:r>
    </w:p>
    <w:p>
      <w:pPr>
        <w:pStyle w:val="Normal"/>
        <w:spacing w:before="0" w:after="30"/>
        <w:rPr>
          <w:rFonts w:ascii="Cambria" w:hAnsi="Cambria"/>
        </w:rPr>
      </w:pPr>
      <w:r>
        <w:rPr>
          <w:rFonts w:eastAsia="Calibri" w:cs="Calibri" w:ascii="Cambria" w:hAnsi="Cambria"/>
          <w:b/>
          <w:bCs/>
          <w:color w:val="3A3F44"/>
          <w:sz w:val="20"/>
          <w:szCs w:val="20"/>
        </w:rPr>
        <w:t xml:space="preserve">Infrastructure &amp; tools:  </w:t>
      </w:r>
      <w:r>
        <w:rPr>
          <w:rFonts w:eastAsia="Cambria" w:cs="Cambria" w:ascii="Cambria" w:hAnsi="Cambria"/>
          <w:color w:val="222222"/>
          <w:sz w:val="20"/>
          <w:szCs w:val="20"/>
        </w:rPr>
        <w:t>HPC/Slurm administration, Snakemake, Conda, Docker, Singularity, Git, Galaxy administration, cloud computing</w:t>
      </w:r>
    </w:p>
    <w:p>
      <w:pPr>
        <w:pStyle w:val="Normal"/>
        <w:spacing w:before="0" w:after="30"/>
        <w:rPr>
          <w:rFonts w:ascii="Cambria" w:hAnsi="Cambria" w:eastAsia="Cambria" w:cs="Cambria"/>
          <w:color w:val="222222"/>
          <w:sz w:val="20"/>
          <w:szCs w:val="20"/>
        </w:rPr>
      </w:pPr>
      <w:r>
        <w:rPr>
          <w:rFonts w:eastAsia="Cambria" w:cs="Cambria" w:ascii="Cambria" w:hAnsi="Cambria"/>
          <w:color w:val="222222"/>
          <w:sz w:val="20"/>
          <w:szCs w:val="20"/>
        </w:rPr>
      </w:r>
    </w:p>
    <w:p>
      <w:pPr>
        <w:pStyle w:val="Normal"/>
        <w:pBdr>
          <w:bottom w:val="single" w:sz="10" w:space="4" w:color="3A3F44"/>
        </w:pBdr>
        <w:spacing w:before="130" w:after="55"/>
        <w:rPr/>
      </w:pPr>
      <w:r>
        <w:rPr/>
        <w:drawing>
          <wp:inline distT="0" distB="0" distL="0" distR="0">
            <wp:extent cx="142875" cy="142875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</w:t>
      </w:r>
      <w:r>
        <w:rPr>
          <w:rFonts w:eastAsia="Calibri" w:cs="Calibri" w:ascii="Calibri" w:hAnsi="Calibri"/>
          <w:b/>
          <w:bCs/>
          <w:color w:val="3A3F44"/>
          <w:spacing w:val="14"/>
          <w:sz w:val="22"/>
          <w:szCs w:val="22"/>
        </w:rPr>
        <w:t>REFERENCES</w:t>
      </w:r>
    </w:p>
    <w:p>
      <w:pPr>
        <w:pStyle w:val="Normal"/>
        <w:spacing w:before="0" w:after="45"/>
        <w:rPr>
          <w:sz w:val="24"/>
          <w:szCs w:val="24"/>
        </w:rPr>
      </w:pPr>
      <w:r>
        <w:rPr>
          <w:rFonts w:eastAsia="Cambria" w:cs="Cambria" w:ascii="Cambria" w:hAnsi="Cambria"/>
          <w:b/>
          <w:bCs/>
          <w:color w:val="222222"/>
          <w:sz w:val="24"/>
          <w:szCs w:val="24"/>
        </w:rPr>
        <w:t>References will be provided on request.</w:t>
      </w:r>
    </w:p>
    <w:p>
      <w:pPr>
        <w:pStyle w:val="Normal"/>
        <w:spacing w:before="0" w:after="45"/>
        <w:rPr>
          <w:rFonts w:ascii="Cambria" w:hAnsi="Cambria" w:eastAsia="Cambria" w:cs="Cambria"/>
          <w:color w:val="222222"/>
          <w:sz w:val="20"/>
          <w:szCs w:val="20"/>
        </w:rPr>
      </w:pPr>
      <w:r>
        <w:rPr>
          <w:rFonts w:eastAsia="Cambria" w:cs="Cambria" w:ascii="Cambria" w:hAnsi="Cambria"/>
          <w:color w:val="222222"/>
          <w:sz w:val="20"/>
          <w:szCs w:val="20"/>
        </w:rPr>
      </w:r>
    </w:p>
    <w:sectPr>
      <w:type w:val="nextPage"/>
      <w:pgSz w:w="12240" w:h="15840"/>
      <w:pgMar w:left="900" w:right="900" w:gutter="0" w:header="0" w:top="500" w:footer="0" w:bottom="7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"/>
    <w:lvlOverride w:ilvl="0">
      <w:startOverride w:val="1"/>
    </w:lvlOverride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nmabbasi.github.io/" TargetMode="External"/><Relationship Id="rId4" Type="http://schemas.openxmlformats.org/officeDocument/2006/relationships/image" Target="media/image2.png"/><Relationship Id="rId5" Type="http://schemas.openxmlformats.org/officeDocument/2006/relationships/hyperlink" Target="https://www.linkedin.com/in/nmabbasi/" TargetMode="External"/><Relationship Id="rId6" Type="http://schemas.openxmlformats.org/officeDocument/2006/relationships/image" Target="media/image3.png"/><Relationship Id="rId7" Type="http://schemas.openxmlformats.org/officeDocument/2006/relationships/hyperlink" Target="https://orcid.org/0009-0005-0083-1984" TargetMode="External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4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341</TotalTime>
  <Application>LibreOffice/24.2.7.2$Linux_X86_64 LibreOffice_project/420$Build-2</Application>
  <AppVersion>15.0000</AppVersion>
  <Pages>4</Pages>
  <Words>895</Words>
  <Characters>5753</Characters>
  <CharactersWithSpaces>6627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2026-07-19T14:26:08Z</dcterms:created>
  <dc:creator>Un-named</dc:creator>
  <dc:description/>
  <dc:language>en-US</dc:language>
  <cp:lastModifiedBy/>
  <cp:lastPrinted>2026-08-21T09:51:15Z</cp:lastPrinted>
  <dcterms:modified xsi:type="dcterms:W3CDTF">2026-08-31T14:25:04Z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