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5C70" w14:textId="79BD8DA3" w:rsidR="00631284" w:rsidRDefault="0096062A">
      <w:r>
        <w:t>From the given equations, visualizing the geometry of the tumor, OAR, and the normal tissue. Also, visualizing the beams from the collimator:</w:t>
      </w:r>
    </w:p>
    <w:p w14:paraId="77EFA059" w14:textId="4A14D2CE" w:rsidR="0096062A" w:rsidRDefault="0096062A">
      <w:r>
        <w:rPr>
          <w:noProof/>
        </w:rPr>
        <w:drawing>
          <wp:inline distT="0" distB="0" distL="0" distR="0" wp14:anchorId="59B41F04" wp14:editId="50578EF9">
            <wp:extent cx="594360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2635"/>
                    </a:xfrm>
                    <a:prstGeom prst="rect">
                      <a:avLst/>
                    </a:prstGeom>
                  </pic:spPr>
                </pic:pic>
              </a:graphicData>
            </a:graphic>
          </wp:inline>
        </w:drawing>
      </w:r>
    </w:p>
    <w:p w14:paraId="1BE7F557" w14:textId="15A0134C" w:rsidR="0096062A" w:rsidRDefault="0096062A">
      <w:r>
        <w:t>Drawn to scale.</w:t>
      </w:r>
    </w:p>
    <w:p w14:paraId="00D3511F" w14:textId="45DBCB5B" w:rsidR="0096062A" w:rsidRDefault="0096062A"/>
    <w:p w14:paraId="1C154BA3" w14:textId="1B6FD883" w:rsidR="0096062A" w:rsidRDefault="0096062A">
      <w:r>
        <w:t>Our goal is to maximize the dosage to the tumor, and minimize the dosage to OARs and normal tissue. Therefore, from the above figure it’s clear that it’s best to use only the 2x2 area of the collimator of the available 4x4. This means the two leaves (out of 8) at both the ends will be always closed. Now, we’ll have a total of 4 leaves for the collimator.</w:t>
      </w:r>
    </w:p>
    <w:p w14:paraId="2CD1E485" w14:textId="6B407123" w:rsidR="0096062A" w:rsidRDefault="0096062A">
      <w:r>
        <w:t>Visualizing after this change,</w:t>
      </w:r>
    </w:p>
    <w:p w14:paraId="2241390A" w14:textId="206D397F" w:rsidR="0096062A" w:rsidRDefault="0096062A">
      <w:r>
        <w:rPr>
          <w:noProof/>
        </w:rPr>
        <w:drawing>
          <wp:inline distT="0" distB="0" distL="0" distR="0" wp14:anchorId="0253AE28" wp14:editId="4B5F6770">
            <wp:extent cx="5943600" cy="1800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0860"/>
                    </a:xfrm>
                    <a:prstGeom prst="rect">
                      <a:avLst/>
                    </a:prstGeom>
                  </pic:spPr>
                </pic:pic>
              </a:graphicData>
            </a:graphic>
          </wp:inline>
        </w:drawing>
      </w:r>
    </w:p>
    <w:p w14:paraId="194375DC" w14:textId="121DC105" w:rsidR="002C4573" w:rsidRDefault="002C4573">
      <w:r>
        <w:t>Drawn to scale.</w:t>
      </w:r>
    </w:p>
    <w:p w14:paraId="757A9886" w14:textId="24912477" w:rsidR="002C4573" w:rsidRDefault="002C4573">
      <w:r>
        <w:t>Formulating the problem, based on the above diagram:</w:t>
      </w:r>
    </w:p>
    <w:p w14:paraId="6F30A595" w14:textId="55E9DB16" w:rsidR="002C4573" w:rsidRDefault="002C4573">
      <w:r>
        <w:t>Assumptions:</w:t>
      </w:r>
    </w:p>
    <w:p w14:paraId="0786AF5D" w14:textId="6714D84B" w:rsidR="002C4573" w:rsidRDefault="002C4573">
      <w:r>
        <w:t>The whole body [x: -10 to 10, y: -5 to 5, z: -2 to 2] is divided into v voxels.</w:t>
      </w:r>
    </w:p>
    <w:p w14:paraId="25BAA1BF" w14:textId="23C4C4D9" w:rsidR="002C4573" w:rsidRDefault="002C4573">
      <w:r>
        <w:t xml:space="preserve">The beam from the collimator is divided 0.5x0.5 beamlets, to discretize the beam and </w:t>
      </w:r>
      <w:r w:rsidR="00A233A2">
        <w:t>optimize the beamlet map.</w:t>
      </w:r>
    </w:p>
    <w:p w14:paraId="4EC07B71" w14:textId="77777777" w:rsidR="00A233A2" w:rsidRDefault="00A233A2"/>
    <w:tbl>
      <w:tblPr>
        <w:tblStyle w:val="TableGrid"/>
        <w:tblW w:w="0" w:type="auto"/>
        <w:tblLook w:val="04A0" w:firstRow="1" w:lastRow="0" w:firstColumn="1" w:lastColumn="0" w:noHBand="0" w:noVBand="1"/>
      </w:tblPr>
      <w:tblGrid>
        <w:gridCol w:w="997"/>
        <w:gridCol w:w="997"/>
        <w:gridCol w:w="998"/>
        <w:gridCol w:w="998"/>
        <w:gridCol w:w="998"/>
        <w:gridCol w:w="998"/>
        <w:gridCol w:w="998"/>
        <w:gridCol w:w="998"/>
      </w:tblGrid>
      <w:tr w:rsidR="00A233A2" w14:paraId="34CBA245" w14:textId="77777777" w:rsidTr="00AC0F63">
        <w:trPr>
          <w:trHeight w:val="812"/>
        </w:trPr>
        <w:tc>
          <w:tcPr>
            <w:tcW w:w="997" w:type="dxa"/>
            <w:shd w:val="clear" w:color="auto" w:fill="A6A6A6" w:themeFill="background1" w:themeFillShade="A6"/>
          </w:tcPr>
          <w:p w14:paraId="330879B2" w14:textId="77777777" w:rsidR="00A233A2" w:rsidRDefault="00A233A2"/>
        </w:tc>
        <w:tc>
          <w:tcPr>
            <w:tcW w:w="997" w:type="dxa"/>
            <w:shd w:val="clear" w:color="auto" w:fill="A6A6A6" w:themeFill="background1" w:themeFillShade="A6"/>
          </w:tcPr>
          <w:p w14:paraId="67316AF1" w14:textId="77777777" w:rsidR="00A233A2" w:rsidRDefault="00A233A2"/>
        </w:tc>
        <w:tc>
          <w:tcPr>
            <w:tcW w:w="998" w:type="dxa"/>
            <w:shd w:val="clear" w:color="auto" w:fill="AEAAAA" w:themeFill="background2" w:themeFillShade="BF"/>
          </w:tcPr>
          <w:p w14:paraId="6DE0921D" w14:textId="77777777" w:rsidR="00A233A2" w:rsidRDefault="00A233A2"/>
        </w:tc>
        <w:tc>
          <w:tcPr>
            <w:tcW w:w="998" w:type="dxa"/>
            <w:shd w:val="clear" w:color="auto" w:fill="AEAAAA" w:themeFill="background2" w:themeFillShade="BF"/>
          </w:tcPr>
          <w:p w14:paraId="5B525852" w14:textId="77777777" w:rsidR="00A233A2" w:rsidRDefault="00A233A2"/>
        </w:tc>
        <w:tc>
          <w:tcPr>
            <w:tcW w:w="998" w:type="dxa"/>
            <w:shd w:val="clear" w:color="auto" w:fill="AEAAAA" w:themeFill="background2" w:themeFillShade="BF"/>
          </w:tcPr>
          <w:p w14:paraId="01133050" w14:textId="77777777" w:rsidR="00A233A2" w:rsidRDefault="00A233A2"/>
        </w:tc>
        <w:tc>
          <w:tcPr>
            <w:tcW w:w="998" w:type="dxa"/>
            <w:shd w:val="clear" w:color="auto" w:fill="AEAAAA" w:themeFill="background2" w:themeFillShade="BF"/>
          </w:tcPr>
          <w:p w14:paraId="58311D77" w14:textId="77777777" w:rsidR="00A233A2" w:rsidRDefault="00A233A2"/>
        </w:tc>
        <w:tc>
          <w:tcPr>
            <w:tcW w:w="998" w:type="dxa"/>
            <w:shd w:val="clear" w:color="auto" w:fill="AEAAAA" w:themeFill="background2" w:themeFillShade="BF"/>
          </w:tcPr>
          <w:p w14:paraId="6F44451B" w14:textId="77777777" w:rsidR="00A233A2" w:rsidRDefault="00A233A2"/>
        </w:tc>
        <w:tc>
          <w:tcPr>
            <w:tcW w:w="998" w:type="dxa"/>
            <w:shd w:val="clear" w:color="auto" w:fill="AEAAAA" w:themeFill="background2" w:themeFillShade="BF"/>
          </w:tcPr>
          <w:p w14:paraId="291C112D" w14:textId="77777777" w:rsidR="00A233A2" w:rsidRDefault="00A233A2"/>
        </w:tc>
      </w:tr>
      <w:tr w:rsidR="00A233A2" w14:paraId="40C10AB9" w14:textId="77777777" w:rsidTr="00AC0F63">
        <w:trPr>
          <w:trHeight w:val="812"/>
        </w:trPr>
        <w:tc>
          <w:tcPr>
            <w:tcW w:w="997" w:type="dxa"/>
            <w:shd w:val="clear" w:color="auto" w:fill="A6A6A6" w:themeFill="background1" w:themeFillShade="A6"/>
          </w:tcPr>
          <w:p w14:paraId="031D1061" w14:textId="77777777" w:rsidR="00A233A2" w:rsidRDefault="00A233A2"/>
        </w:tc>
        <w:tc>
          <w:tcPr>
            <w:tcW w:w="997" w:type="dxa"/>
            <w:shd w:val="clear" w:color="auto" w:fill="A6A6A6" w:themeFill="background1" w:themeFillShade="A6"/>
          </w:tcPr>
          <w:p w14:paraId="0D0A0E84" w14:textId="77777777" w:rsidR="00A233A2" w:rsidRDefault="00A233A2"/>
        </w:tc>
        <w:tc>
          <w:tcPr>
            <w:tcW w:w="998" w:type="dxa"/>
            <w:shd w:val="clear" w:color="auto" w:fill="AEAAAA" w:themeFill="background2" w:themeFillShade="BF"/>
          </w:tcPr>
          <w:p w14:paraId="55DB970D" w14:textId="77777777" w:rsidR="00A233A2" w:rsidRDefault="00A233A2"/>
        </w:tc>
        <w:tc>
          <w:tcPr>
            <w:tcW w:w="998" w:type="dxa"/>
            <w:shd w:val="clear" w:color="auto" w:fill="AEAAAA" w:themeFill="background2" w:themeFillShade="BF"/>
          </w:tcPr>
          <w:p w14:paraId="643EA7ED" w14:textId="77777777" w:rsidR="00A233A2" w:rsidRDefault="00A233A2"/>
        </w:tc>
        <w:tc>
          <w:tcPr>
            <w:tcW w:w="998" w:type="dxa"/>
            <w:shd w:val="clear" w:color="auto" w:fill="AEAAAA" w:themeFill="background2" w:themeFillShade="BF"/>
          </w:tcPr>
          <w:p w14:paraId="52BD1453" w14:textId="77777777" w:rsidR="00A233A2" w:rsidRDefault="00A233A2"/>
        </w:tc>
        <w:tc>
          <w:tcPr>
            <w:tcW w:w="998" w:type="dxa"/>
            <w:shd w:val="clear" w:color="auto" w:fill="AEAAAA" w:themeFill="background2" w:themeFillShade="BF"/>
          </w:tcPr>
          <w:p w14:paraId="3AC19D34" w14:textId="77777777" w:rsidR="00A233A2" w:rsidRDefault="00A233A2"/>
        </w:tc>
        <w:tc>
          <w:tcPr>
            <w:tcW w:w="998" w:type="dxa"/>
            <w:shd w:val="clear" w:color="auto" w:fill="AEAAAA" w:themeFill="background2" w:themeFillShade="BF"/>
          </w:tcPr>
          <w:p w14:paraId="30B8A0B2" w14:textId="77777777" w:rsidR="00A233A2" w:rsidRDefault="00A233A2"/>
        </w:tc>
        <w:tc>
          <w:tcPr>
            <w:tcW w:w="998" w:type="dxa"/>
            <w:shd w:val="clear" w:color="auto" w:fill="AEAAAA" w:themeFill="background2" w:themeFillShade="BF"/>
          </w:tcPr>
          <w:p w14:paraId="35F9871C" w14:textId="77777777" w:rsidR="00A233A2" w:rsidRDefault="00A233A2"/>
        </w:tc>
      </w:tr>
      <w:tr w:rsidR="00A233A2" w14:paraId="6A43328A" w14:textId="77777777" w:rsidTr="00AC0F63">
        <w:trPr>
          <w:trHeight w:val="791"/>
        </w:trPr>
        <w:tc>
          <w:tcPr>
            <w:tcW w:w="997" w:type="dxa"/>
            <w:shd w:val="clear" w:color="auto" w:fill="A6A6A6" w:themeFill="background1" w:themeFillShade="A6"/>
          </w:tcPr>
          <w:p w14:paraId="48C534F9" w14:textId="77777777" w:rsidR="00A233A2" w:rsidRDefault="00A233A2"/>
        </w:tc>
        <w:tc>
          <w:tcPr>
            <w:tcW w:w="997" w:type="dxa"/>
            <w:shd w:val="clear" w:color="auto" w:fill="A6A6A6" w:themeFill="background1" w:themeFillShade="A6"/>
          </w:tcPr>
          <w:p w14:paraId="508DFF29" w14:textId="77777777" w:rsidR="00A233A2" w:rsidRDefault="00A233A2"/>
        </w:tc>
        <w:tc>
          <w:tcPr>
            <w:tcW w:w="998" w:type="dxa"/>
          </w:tcPr>
          <w:p w14:paraId="7282A567" w14:textId="77777777" w:rsidR="00A233A2" w:rsidRDefault="00A233A2"/>
        </w:tc>
        <w:tc>
          <w:tcPr>
            <w:tcW w:w="998" w:type="dxa"/>
          </w:tcPr>
          <w:p w14:paraId="191054A2" w14:textId="77777777" w:rsidR="00A233A2" w:rsidRDefault="00A233A2"/>
        </w:tc>
        <w:tc>
          <w:tcPr>
            <w:tcW w:w="998" w:type="dxa"/>
          </w:tcPr>
          <w:p w14:paraId="228B9A34" w14:textId="77777777" w:rsidR="00A233A2" w:rsidRDefault="00A233A2"/>
        </w:tc>
        <w:tc>
          <w:tcPr>
            <w:tcW w:w="998" w:type="dxa"/>
          </w:tcPr>
          <w:p w14:paraId="60A77E14" w14:textId="77777777" w:rsidR="00A233A2" w:rsidRDefault="00A233A2"/>
        </w:tc>
        <w:tc>
          <w:tcPr>
            <w:tcW w:w="998" w:type="dxa"/>
            <w:shd w:val="clear" w:color="auto" w:fill="AEAAAA" w:themeFill="background2" w:themeFillShade="BF"/>
          </w:tcPr>
          <w:p w14:paraId="149CA028" w14:textId="77777777" w:rsidR="00A233A2" w:rsidRDefault="00A233A2"/>
        </w:tc>
        <w:tc>
          <w:tcPr>
            <w:tcW w:w="998" w:type="dxa"/>
            <w:shd w:val="clear" w:color="auto" w:fill="AEAAAA" w:themeFill="background2" w:themeFillShade="BF"/>
          </w:tcPr>
          <w:p w14:paraId="57B8DEAB" w14:textId="77777777" w:rsidR="00A233A2" w:rsidRDefault="00A233A2"/>
        </w:tc>
      </w:tr>
      <w:tr w:rsidR="00A233A2" w14:paraId="4D82CCEF" w14:textId="77777777" w:rsidTr="00AC0F63">
        <w:trPr>
          <w:trHeight w:val="812"/>
        </w:trPr>
        <w:tc>
          <w:tcPr>
            <w:tcW w:w="997" w:type="dxa"/>
            <w:shd w:val="clear" w:color="auto" w:fill="A6A6A6" w:themeFill="background1" w:themeFillShade="A6"/>
          </w:tcPr>
          <w:p w14:paraId="2EF6D1F8" w14:textId="77777777" w:rsidR="00A233A2" w:rsidRDefault="00A233A2"/>
        </w:tc>
        <w:tc>
          <w:tcPr>
            <w:tcW w:w="997" w:type="dxa"/>
            <w:shd w:val="clear" w:color="auto" w:fill="A6A6A6" w:themeFill="background1" w:themeFillShade="A6"/>
          </w:tcPr>
          <w:p w14:paraId="4DE1D7E8" w14:textId="77777777" w:rsidR="00A233A2" w:rsidRDefault="00A233A2"/>
        </w:tc>
        <w:tc>
          <w:tcPr>
            <w:tcW w:w="998" w:type="dxa"/>
          </w:tcPr>
          <w:p w14:paraId="6C24BDB0" w14:textId="77777777" w:rsidR="00A233A2" w:rsidRDefault="00A233A2"/>
        </w:tc>
        <w:tc>
          <w:tcPr>
            <w:tcW w:w="998" w:type="dxa"/>
          </w:tcPr>
          <w:p w14:paraId="588E040B" w14:textId="77777777" w:rsidR="00A233A2" w:rsidRDefault="00A233A2"/>
        </w:tc>
        <w:tc>
          <w:tcPr>
            <w:tcW w:w="998" w:type="dxa"/>
          </w:tcPr>
          <w:p w14:paraId="5B3E049E" w14:textId="77777777" w:rsidR="00A233A2" w:rsidRDefault="00A233A2"/>
        </w:tc>
        <w:tc>
          <w:tcPr>
            <w:tcW w:w="998" w:type="dxa"/>
          </w:tcPr>
          <w:p w14:paraId="75440D71" w14:textId="77777777" w:rsidR="00A233A2" w:rsidRDefault="00A233A2"/>
        </w:tc>
        <w:tc>
          <w:tcPr>
            <w:tcW w:w="998" w:type="dxa"/>
            <w:shd w:val="clear" w:color="auto" w:fill="AEAAAA" w:themeFill="background2" w:themeFillShade="BF"/>
          </w:tcPr>
          <w:p w14:paraId="4EC4A568" w14:textId="77777777" w:rsidR="00A233A2" w:rsidRDefault="00A233A2"/>
        </w:tc>
        <w:tc>
          <w:tcPr>
            <w:tcW w:w="998" w:type="dxa"/>
            <w:shd w:val="clear" w:color="auto" w:fill="AEAAAA" w:themeFill="background2" w:themeFillShade="BF"/>
          </w:tcPr>
          <w:p w14:paraId="690A5C46" w14:textId="77777777" w:rsidR="00A233A2" w:rsidRDefault="00A233A2"/>
        </w:tc>
      </w:tr>
      <w:tr w:rsidR="00A233A2" w14:paraId="71648E90" w14:textId="77777777" w:rsidTr="00AC0F63">
        <w:trPr>
          <w:trHeight w:val="812"/>
        </w:trPr>
        <w:tc>
          <w:tcPr>
            <w:tcW w:w="997" w:type="dxa"/>
            <w:shd w:val="clear" w:color="auto" w:fill="A6A6A6" w:themeFill="background1" w:themeFillShade="A6"/>
          </w:tcPr>
          <w:p w14:paraId="2DFCCF0E" w14:textId="77777777" w:rsidR="00A233A2" w:rsidRDefault="00A233A2"/>
        </w:tc>
        <w:tc>
          <w:tcPr>
            <w:tcW w:w="997" w:type="dxa"/>
            <w:shd w:val="clear" w:color="auto" w:fill="A6A6A6" w:themeFill="background1" w:themeFillShade="A6"/>
          </w:tcPr>
          <w:p w14:paraId="56A02AF2" w14:textId="77777777" w:rsidR="00A233A2" w:rsidRDefault="00A233A2"/>
        </w:tc>
        <w:tc>
          <w:tcPr>
            <w:tcW w:w="998" w:type="dxa"/>
          </w:tcPr>
          <w:p w14:paraId="599C5E1A" w14:textId="77777777" w:rsidR="00A233A2" w:rsidRDefault="00A233A2"/>
        </w:tc>
        <w:tc>
          <w:tcPr>
            <w:tcW w:w="998" w:type="dxa"/>
          </w:tcPr>
          <w:p w14:paraId="5ED303A1" w14:textId="77777777" w:rsidR="00A233A2" w:rsidRDefault="00A233A2"/>
        </w:tc>
        <w:tc>
          <w:tcPr>
            <w:tcW w:w="998" w:type="dxa"/>
          </w:tcPr>
          <w:p w14:paraId="603F1ED0" w14:textId="77777777" w:rsidR="00A233A2" w:rsidRDefault="00A233A2"/>
        </w:tc>
        <w:tc>
          <w:tcPr>
            <w:tcW w:w="998" w:type="dxa"/>
          </w:tcPr>
          <w:p w14:paraId="708DFDE8" w14:textId="77777777" w:rsidR="00A233A2" w:rsidRDefault="00A233A2"/>
        </w:tc>
        <w:tc>
          <w:tcPr>
            <w:tcW w:w="998" w:type="dxa"/>
            <w:shd w:val="clear" w:color="auto" w:fill="AEAAAA" w:themeFill="background2" w:themeFillShade="BF"/>
          </w:tcPr>
          <w:p w14:paraId="1252A026" w14:textId="77777777" w:rsidR="00A233A2" w:rsidRDefault="00A233A2"/>
        </w:tc>
        <w:tc>
          <w:tcPr>
            <w:tcW w:w="998" w:type="dxa"/>
            <w:shd w:val="clear" w:color="auto" w:fill="AEAAAA" w:themeFill="background2" w:themeFillShade="BF"/>
          </w:tcPr>
          <w:p w14:paraId="06D696D1" w14:textId="77777777" w:rsidR="00A233A2" w:rsidRDefault="00A233A2"/>
        </w:tc>
      </w:tr>
      <w:tr w:rsidR="00A233A2" w14:paraId="05E81579" w14:textId="77777777" w:rsidTr="00AC0F63">
        <w:trPr>
          <w:trHeight w:val="812"/>
        </w:trPr>
        <w:tc>
          <w:tcPr>
            <w:tcW w:w="997" w:type="dxa"/>
            <w:shd w:val="clear" w:color="auto" w:fill="A6A6A6" w:themeFill="background1" w:themeFillShade="A6"/>
          </w:tcPr>
          <w:p w14:paraId="39BE24D2" w14:textId="77777777" w:rsidR="00A233A2" w:rsidRDefault="00A233A2"/>
        </w:tc>
        <w:tc>
          <w:tcPr>
            <w:tcW w:w="997" w:type="dxa"/>
            <w:shd w:val="clear" w:color="auto" w:fill="A6A6A6" w:themeFill="background1" w:themeFillShade="A6"/>
          </w:tcPr>
          <w:p w14:paraId="4E976587" w14:textId="77777777" w:rsidR="00A233A2" w:rsidRDefault="00A233A2"/>
        </w:tc>
        <w:tc>
          <w:tcPr>
            <w:tcW w:w="998" w:type="dxa"/>
          </w:tcPr>
          <w:p w14:paraId="211ED2B2" w14:textId="77777777" w:rsidR="00A233A2" w:rsidRDefault="00A233A2"/>
        </w:tc>
        <w:tc>
          <w:tcPr>
            <w:tcW w:w="998" w:type="dxa"/>
          </w:tcPr>
          <w:p w14:paraId="3685CAA9" w14:textId="77777777" w:rsidR="00A233A2" w:rsidRDefault="00A233A2"/>
        </w:tc>
        <w:tc>
          <w:tcPr>
            <w:tcW w:w="998" w:type="dxa"/>
          </w:tcPr>
          <w:p w14:paraId="45BC809F" w14:textId="77777777" w:rsidR="00A233A2" w:rsidRDefault="00A233A2"/>
        </w:tc>
        <w:tc>
          <w:tcPr>
            <w:tcW w:w="998" w:type="dxa"/>
          </w:tcPr>
          <w:p w14:paraId="6B9F3BAF" w14:textId="77777777" w:rsidR="00A233A2" w:rsidRDefault="00A233A2"/>
        </w:tc>
        <w:tc>
          <w:tcPr>
            <w:tcW w:w="998" w:type="dxa"/>
            <w:shd w:val="clear" w:color="auto" w:fill="AEAAAA" w:themeFill="background2" w:themeFillShade="BF"/>
          </w:tcPr>
          <w:p w14:paraId="56C1A64E" w14:textId="77777777" w:rsidR="00A233A2" w:rsidRDefault="00A233A2"/>
        </w:tc>
        <w:tc>
          <w:tcPr>
            <w:tcW w:w="998" w:type="dxa"/>
            <w:shd w:val="clear" w:color="auto" w:fill="AEAAAA" w:themeFill="background2" w:themeFillShade="BF"/>
          </w:tcPr>
          <w:p w14:paraId="5E15D062" w14:textId="77777777" w:rsidR="00A233A2" w:rsidRDefault="00A233A2"/>
        </w:tc>
      </w:tr>
      <w:tr w:rsidR="00A233A2" w14:paraId="4BF3D3DB" w14:textId="77777777" w:rsidTr="00AC0F63">
        <w:trPr>
          <w:trHeight w:val="791"/>
        </w:trPr>
        <w:tc>
          <w:tcPr>
            <w:tcW w:w="997" w:type="dxa"/>
            <w:shd w:val="clear" w:color="auto" w:fill="A6A6A6" w:themeFill="background1" w:themeFillShade="A6"/>
          </w:tcPr>
          <w:p w14:paraId="338C7C94" w14:textId="77777777" w:rsidR="00A233A2" w:rsidRDefault="00A233A2"/>
        </w:tc>
        <w:tc>
          <w:tcPr>
            <w:tcW w:w="997" w:type="dxa"/>
            <w:shd w:val="clear" w:color="auto" w:fill="A6A6A6" w:themeFill="background1" w:themeFillShade="A6"/>
          </w:tcPr>
          <w:p w14:paraId="2F940765" w14:textId="77777777" w:rsidR="00A233A2" w:rsidRDefault="00A233A2"/>
        </w:tc>
        <w:tc>
          <w:tcPr>
            <w:tcW w:w="998" w:type="dxa"/>
            <w:shd w:val="clear" w:color="auto" w:fill="AEAAAA" w:themeFill="background2" w:themeFillShade="BF"/>
          </w:tcPr>
          <w:p w14:paraId="5CEC680F" w14:textId="77777777" w:rsidR="00A233A2" w:rsidRDefault="00A233A2"/>
        </w:tc>
        <w:tc>
          <w:tcPr>
            <w:tcW w:w="998" w:type="dxa"/>
            <w:shd w:val="clear" w:color="auto" w:fill="AEAAAA" w:themeFill="background2" w:themeFillShade="BF"/>
          </w:tcPr>
          <w:p w14:paraId="7460F464" w14:textId="77777777" w:rsidR="00A233A2" w:rsidRDefault="00A233A2"/>
        </w:tc>
        <w:tc>
          <w:tcPr>
            <w:tcW w:w="998" w:type="dxa"/>
            <w:shd w:val="clear" w:color="auto" w:fill="AEAAAA" w:themeFill="background2" w:themeFillShade="BF"/>
          </w:tcPr>
          <w:p w14:paraId="468CA494" w14:textId="77777777" w:rsidR="00A233A2" w:rsidRDefault="00A233A2"/>
        </w:tc>
        <w:tc>
          <w:tcPr>
            <w:tcW w:w="998" w:type="dxa"/>
            <w:shd w:val="clear" w:color="auto" w:fill="AEAAAA" w:themeFill="background2" w:themeFillShade="BF"/>
          </w:tcPr>
          <w:p w14:paraId="1C928C2C" w14:textId="77777777" w:rsidR="00A233A2" w:rsidRDefault="00A233A2"/>
        </w:tc>
        <w:tc>
          <w:tcPr>
            <w:tcW w:w="998" w:type="dxa"/>
            <w:shd w:val="clear" w:color="auto" w:fill="AEAAAA" w:themeFill="background2" w:themeFillShade="BF"/>
          </w:tcPr>
          <w:p w14:paraId="3D18359F" w14:textId="77777777" w:rsidR="00A233A2" w:rsidRDefault="00A233A2"/>
        </w:tc>
        <w:tc>
          <w:tcPr>
            <w:tcW w:w="998" w:type="dxa"/>
            <w:shd w:val="clear" w:color="auto" w:fill="AEAAAA" w:themeFill="background2" w:themeFillShade="BF"/>
          </w:tcPr>
          <w:p w14:paraId="64CDF318" w14:textId="77777777" w:rsidR="00A233A2" w:rsidRDefault="00A233A2"/>
        </w:tc>
      </w:tr>
      <w:tr w:rsidR="00A233A2" w14:paraId="200F325F" w14:textId="77777777" w:rsidTr="00A233A2">
        <w:trPr>
          <w:trHeight w:val="812"/>
        </w:trPr>
        <w:tc>
          <w:tcPr>
            <w:tcW w:w="997" w:type="dxa"/>
            <w:shd w:val="clear" w:color="auto" w:fill="AEAAAA" w:themeFill="background2" w:themeFillShade="BF"/>
          </w:tcPr>
          <w:p w14:paraId="6413673A" w14:textId="77777777" w:rsidR="00A233A2" w:rsidRDefault="00A233A2"/>
        </w:tc>
        <w:tc>
          <w:tcPr>
            <w:tcW w:w="997" w:type="dxa"/>
            <w:shd w:val="clear" w:color="auto" w:fill="AEAAAA" w:themeFill="background2" w:themeFillShade="BF"/>
          </w:tcPr>
          <w:p w14:paraId="576C00C6" w14:textId="77777777" w:rsidR="00A233A2" w:rsidRDefault="00A233A2"/>
        </w:tc>
        <w:tc>
          <w:tcPr>
            <w:tcW w:w="998" w:type="dxa"/>
            <w:shd w:val="clear" w:color="auto" w:fill="AEAAAA" w:themeFill="background2" w:themeFillShade="BF"/>
          </w:tcPr>
          <w:p w14:paraId="65668A90" w14:textId="77777777" w:rsidR="00A233A2" w:rsidRDefault="00A233A2"/>
        </w:tc>
        <w:tc>
          <w:tcPr>
            <w:tcW w:w="998" w:type="dxa"/>
            <w:shd w:val="clear" w:color="auto" w:fill="AEAAAA" w:themeFill="background2" w:themeFillShade="BF"/>
          </w:tcPr>
          <w:p w14:paraId="29DE9FF7" w14:textId="77777777" w:rsidR="00A233A2" w:rsidRDefault="00A233A2"/>
        </w:tc>
        <w:tc>
          <w:tcPr>
            <w:tcW w:w="998" w:type="dxa"/>
            <w:shd w:val="clear" w:color="auto" w:fill="AEAAAA" w:themeFill="background2" w:themeFillShade="BF"/>
          </w:tcPr>
          <w:p w14:paraId="5CAB7E8D" w14:textId="77777777" w:rsidR="00A233A2" w:rsidRDefault="00A233A2"/>
        </w:tc>
        <w:tc>
          <w:tcPr>
            <w:tcW w:w="998" w:type="dxa"/>
            <w:shd w:val="clear" w:color="auto" w:fill="AEAAAA" w:themeFill="background2" w:themeFillShade="BF"/>
          </w:tcPr>
          <w:p w14:paraId="3A22CD6D" w14:textId="77777777" w:rsidR="00A233A2" w:rsidRDefault="00A233A2"/>
        </w:tc>
        <w:tc>
          <w:tcPr>
            <w:tcW w:w="998" w:type="dxa"/>
            <w:shd w:val="clear" w:color="auto" w:fill="AEAAAA" w:themeFill="background2" w:themeFillShade="BF"/>
          </w:tcPr>
          <w:p w14:paraId="642F9F25" w14:textId="77777777" w:rsidR="00A233A2" w:rsidRDefault="00A233A2"/>
        </w:tc>
        <w:tc>
          <w:tcPr>
            <w:tcW w:w="998" w:type="dxa"/>
            <w:shd w:val="clear" w:color="auto" w:fill="AEAAAA" w:themeFill="background2" w:themeFillShade="BF"/>
          </w:tcPr>
          <w:p w14:paraId="11F93266" w14:textId="77777777" w:rsidR="00A233A2" w:rsidRDefault="00A233A2"/>
        </w:tc>
      </w:tr>
    </w:tbl>
    <w:p w14:paraId="3FE3882A" w14:textId="33D59359" w:rsidR="002C4573" w:rsidRDefault="002C4573"/>
    <w:p w14:paraId="2382809F" w14:textId="3F0A9CA0" w:rsidR="00A233A2" w:rsidRDefault="00A233A2">
      <w:r>
        <w:t>Beamlet map</w:t>
      </w:r>
    </w:p>
    <w:p w14:paraId="15276DFC" w14:textId="6F3D1A99" w:rsidR="00A233A2" w:rsidRDefault="00A233A2">
      <w:r>
        <w:t>The shaded ones will always be closed (0s) based on the above assumption.</w:t>
      </w:r>
    </w:p>
    <w:p w14:paraId="16324A5C" w14:textId="48E6D238" w:rsidR="00A233A2" w:rsidRDefault="00A233A2">
      <w:r>
        <w:t>Therefore, in each of the 8-beam direction we have 16 (</w:t>
      </w:r>
      <w:r w:rsidR="00B57FC3">
        <w:t>0.5x0.5</w:t>
      </w:r>
      <w:r>
        <w:t>) beamlets.</w:t>
      </w:r>
    </w:p>
    <w:p w14:paraId="666E8DB4" w14:textId="5D4455E4" w:rsidR="00A233A2" w:rsidRDefault="00A233A2">
      <w:r>
        <w:t>Our aim is to find the optimal beamlet map in all the 8 directions.</w:t>
      </w:r>
    </w:p>
    <w:p w14:paraId="219FF6E7" w14:textId="5A1B8F13" w:rsidR="00A233A2" w:rsidRDefault="00A233A2"/>
    <w:p w14:paraId="6E4CB8D8" w14:textId="55C29D6A" w:rsidR="00B57FC3" w:rsidRDefault="00B57FC3">
      <w:r>
        <w:t>Dose Influence Matrix:</w:t>
      </w:r>
    </w:p>
    <w:p w14:paraId="261DDBD4" w14:textId="6C7E9125" w:rsidR="00B57FC3" w:rsidRDefault="00B57FC3">
      <w:r>
        <w:t xml:space="preserve">We define the dose influence matrix D, such that each element </w:t>
      </w:r>
      <w:proofErr w:type="spellStart"/>
      <w:r>
        <w:t>D</w:t>
      </w:r>
      <w:r>
        <w:rPr>
          <w:vertAlign w:val="subscript"/>
        </w:rPr>
        <w:t>ij</w:t>
      </w:r>
      <w:proofErr w:type="spellEnd"/>
      <w:r>
        <w:rPr>
          <w:vertAlign w:val="subscript"/>
        </w:rPr>
        <w:t xml:space="preserve"> </w:t>
      </w:r>
      <w:r>
        <w:t>represents the dosage delivered at voxel v</w:t>
      </w:r>
      <w:r>
        <w:rPr>
          <w:vertAlign w:val="subscript"/>
        </w:rPr>
        <w:t xml:space="preserve">i </w:t>
      </w:r>
      <w:r>
        <w:t xml:space="preserve">by beamlet j, for unit intensity. </w:t>
      </w:r>
    </w:p>
    <w:p w14:paraId="64E40676" w14:textId="03B19BB0" w:rsidR="00B57FC3" w:rsidRDefault="00B57FC3">
      <w:r>
        <w:t xml:space="preserve">Therefore, the dosage delivered by beamlet j of intensity </w:t>
      </w:r>
      <w:proofErr w:type="spellStart"/>
      <w:r>
        <w:t>x</w:t>
      </w:r>
      <w:r>
        <w:rPr>
          <w:vertAlign w:val="subscript"/>
        </w:rPr>
        <w:t>j</w:t>
      </w:r>
      <w:proofErr w:type="spellEnd"/>
      <w:r>
        <w:rPr>
          <w:vertAlign w:val="subscript"/>
        </w:rPr>
        <w:t xml:space="preserve"> </w:t>
      </w:r>
      <w:r>
        <w:t xml:space="preserve">at voxel </w:t>
      </w:r>
      <w:proofErr w:type="spellStart"/>
      <w:r>
        <w:t>i</w:t>
      </w:r>
      <w:proofErr w:type="spellEnd"/>
      <w:r>
        <w:t xml:space="preserve"> is given by:</w:t>
      </w:r>
    </w:p>
    <w:p w14:paraId="0D53B0A8" w14:textId="2FA2B840" w:rsidR="00B57FC3" w:rsidRPr="00B57FC3" w:rsidRDefault="00B57FC3">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083438C" w14:textId="5DD636FC" w:rsidR="00B57FC3" w:rsidRDefault="00B57FC3">
      <w:r>
        <w:t xml:space="preserve">The dose influence matrix is computed initially and stored in memory. </w:t>
      </w:r>
    </w:p>
    <w:p w14:paraId="7E084965" w14:textId="4954B55F" w:rsidR="00121F10" w:rsidRDefault="00121F10">
      <w:r>
        <w:t>The intensity of the beam as it travels y units in the beam direction is given by:</w:t>
      </w:r>
    </w:p>
    <w:p w14:paraId="72582201" w14:textId="51BEE61C" w:rsidR="00121F10" w:rsidRDefault="00121F10">
      <w:pPr>
        <w:rPr>
          <w:rFonts w:eastAsiaTheme="minorEastAsia"/>
        </w:rPr>
      </w:pPr>
      <m:oMath>
        <m:r>
          <w:rPr>
            <w:rFonts w:ascii="Cambria Math" w:hAnsi="Cambria Math"/>
          </w:rPr>
          <m:t>I</m:t>
        </m:r>
        <m:d>
          <m:dPr>
            <m:ctrlPr>
              <w:rPr>
                <w:rFonts w:ascii="Cambria Math" w:hAnsi="Cambria Math"/>
                <w:i/>
              </w:rPr>
            </m:ctrlPr>
          </m:dPr>
          <m:e>
            <m:r>
              <w:rPr>
                <w:rFonts w:ascii="Cambria Math" w:hAnsi="Cambria Math"/>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sup>
            </m:sSup>
          </m:fName>
          <m:e>
            <m:r>
              <w:rPr>
                <w:rFonts w:ascii="Cambria Math" w:hAnsi="Cambria Math"/>
              </w:rPr>
              <m:t xml:space="preserve">  </m:t>
            </m:r>
          </m:e>
        </m:func>
      </m:oMath>
      <w:r>
        <w:rPr>
          <w:rFonts w:eastAsiaTheme="minorEastAsia"/>
        </w:rPr>
        <w:t xml:space="preserve"> </w:t>
      </w:r>
    </w:p>
    <w:p w14:paraId="238EAFE4" w14:textId="23F92F13" w:rsidR="00121F10" w:rsidRDefault="00121F10">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is the point at which the beam enters the corresponding tissue.</w:t>
      </w:r>
    </w:p>
    <w:p w14:paraId="1BE2A50A" w14:textId="60E23976" w:rsidR="00B57FC3" w:rsidRDefault="00B57FC3"/>
    <w:p w14:paraId="61C352FC" w14:textId="1D5375B3" w:rsidR="00B57FC3" w:rsidRDefault="00B57FC3"/>
    <w:p w14:paraId="76E91075" w14:textId="77777777" w:rsidR="00BA5004" w:rsidRDefault="00BA5004">
      <w:pPr>
        <w:rPr>
          <w:rFonts w:eastAsiaTheme="minorEastAsia"/>
          <w:sz w:val="16"/>
          <w:szCs w:val="16"/>
        </w:rPr>
      </w:pPr>
      <w:bookmarkStart w:id="0" w:name="_GoBack"/>
      <w:bookmarkEnd w:id="0"/>
    </w:p>
    <w:p w14:paraId="5CB8586E" w14:textId="2F9820F4" w:rsidR="00BA5004" w:rsidRDefault="00BA5004">
      <w:pPr>
        <w:rPr>
          <w:rFonts w:eastAsiaTheme="minorEastAsia"/>
        </w:rPr>
      </w:pPr>
      <w:r>
        <w:rPr>
          <w:rFonts w:eastAsiaTheme="minorEastAsia"/>
        </w:rPr>
        <w:t>Formulation:</w:t>
      </w:r>
    </w:p>
    <w:p w14:paraId="7A35042F" w14:textId="717E58DB" w:rsidR="00BA5004" w:rsidRPr="00BA5004" w:rsidRDefault="00BA5004">
      <w:pPr>
        <w:rPr>
          <w:rFonts w:eastAsiaTheme="minorEastAsia"/>
        </w:rPr>
      </w:pPr>
      <w:r>
        <w:rPr>
          <w:sz w:val="23"/>
          <w:szCs w:val="23"/>
        </w:rPr>
        <w:t xml:space="preserve">The voxels are classified as tumor </w:t>
      </w:r>
      <w:r>
        <w:rPr>
          <w:rFonts w:ascii="Cambria Math" w:hAnsi="Cambria Math" w:cs="Cambria Math"/>
          <w:sz w:val="23"/>
          <w:szCs w:val="23"/>
        </w:rPr>
        <w:t>|𝑇|</w:t>
      </w:r>
      <w:r>
        <w:rPr>
          <w:sz w:val="23"/>
          <w:szCs w:val="23"/>
        </w:rPr>
        <w:t xml:space="preserve">, </w:t>
      </w:r>
      <w:r>
        <w:rPr>
          <w:sz w:val="23"/>
          <w:szCs w:val="23"/>
        </w:rPr>
        <w:t>OAR</w:t>
      </w:r>
      <w:r>
        <w:rPr>
          <w:sz w:val="23"/>
          <w:szCs w:val="23"/>
        </w:rPr>
        <w:t xml:space="preserve"> </w:t>
      </w:r>
      <w:r>
        <w:rPr>
          <w:rFonts w:ascii="Cambria Math" w:hAnsi="Cambria Math" w:cs="Cambria Math"/>
          <w:sz w:val="23"/>
          <w:szCs w:val="23"/>
        </w:rPr>
        <w:t>|</w:t>
      </w:r>
      <w:r>
        <w:rPr>
          <w:rFonts w:ascii="Cambria Math" w:hAnsi="Cambria Math" w:cs="Cambria Math"/>
          <w:sz w:val="23"/>
          <w:szCs w:val="23"/>
        </w:rPr>
        <w:t>O</w:t>
      </w:r>
      <w:r>
        <w:rPr>
          <w:rFonts w:ascii="Cambria Math" w:hAnsi="Cambria Math" w:cs="Cambria Math"/>
          <w:sz w:val="23"/>
          <w:szCs w:val="23"/>
        </w:rPr>
        <w:t xml:space="preserve">|, </w:t>
      </w:r>
      <w:r>
        <w:rPr>
          <w:sz w:val="23"/>
          <w:szCs w:val="23"/>
        </w:rPr>
        <w:t xml:space="preserve">and normal </w:t>
      </w:r>
      <w:r>
        <w:rPr>
          <w:rFonts w:ascii="Cambria Math" w:hAnsi="Cambria Math" w:cs="Cambria Math"/>
          <w:sz w:val="23"/>
          <w:szCs w:val="23"/>
        </w:rPr>
        <w:t>|𝑁|</w:t>
      </w:r>
      <w:r>
        <w:rPr>
          <w:sz w:val="23"/>
          <w:szCs w:val="23"/>
        </w:rPr>
        <w:t>.</w:t>
      </w:r>
    </w:p>
    <w:p w14:paraId="25D719F0" w14:textId="5AED00C1" w:rsidR="00B57FC3" w:rsidRDefault="00BA5004">
      <w:pPr>
        <w:rPr>
          <w:rFonts w:ascii="Calibri" w:hAnsi="Calibri" w:cs="Calibri"/>
        </w:rPr>
      </w:pPr>
      <m:oMath>
        <m:sSub>
          <m:sSubPr>
            <m:ctrlPr>
              <w:rPr>
                <w:rFonts w:ascii="Cambria Math" w:hAnsi="Cambria Math" w:cs="Cambria Math"/>
                <w:i/>
                <w:sz w:val="16"/>
                <w:szCs w:val="16"/>
              </w:rPr>
            </m:ctrlPr>
          </m:sSubPr>
          <m:e>
            <m:r>
              <w:rPr>
                <w:rFonts w:ascii="Cambria Math" w:hAnsi="Cambria Math" w:cs="Cambria Math"/>
              </w:rPr>
              <m:t>D</m:t>
            </m:r>
            <m:ctrlPr>
              <w:rPr>
                <w:rFonts w:ascii="Cambria Math" w:hAnsi="Cambria Math" w:cs="Cambria Math"/>
                <w:i/>
              </w:rPr>
            </m:ctrlPr>
          </m:e>
          <m:sub>
            <m:r>
              <w:rPr>
                <w:rFonts w:ascii="Cambria Math" w:hAnsi="Cambria Math" w:cs="Cambria Math"/>
                <w:sz w:val="16"/>
                <w:szCs w:val="16"/>
              </w:rPr>
              <m:t>T</m:t>
            </m:r>
          </m:sub>
        </m:sSub>
        <m:r>
          <w:rPr>
            <w:rFonts w:ascii="Cambria Math" w:hAnsi="Cambria Math"/>
            <w:sz w:val="16"/>
            <w:szCs w:val="16"/>
          </w:rPr>
          <m:t xml:space="preserve"> </m:t>
        </m:r>
        <m:r>
          <w:rPr>
            <w:rFonts w:ascii="Cambria Math" w:hAnsi="Cambria Math"/>
          </w:rPr>
          <m:t>,</m:t>
        </m:r>
        <m:sSub>
          <m:sSubPr>
            <m:ctrlPr>
              <w:rPr>
                <w:rFonts w:ascii="Cambria Math" w:hAnsi="Cambria Math" w:cs="Cambria Math"/>
                <w:i/>
                <w:sz w:val="16"/>
                <w:szCs w:val="16"/>
              </w:rPr>
            </m:ctrlPr>
          </m:sSubPr>
          <m:e>
            <m:r>
              <w:rPr>
                <w:rFonts w:ascii="Cambria Math" w:hAnsi="Cambria Math" w:cs="Cambria Math"/>
              </w:rPr>
              <m:t>D</m:t>
            </m:r>
            <m:ctrlPr>
              <w:rPr>
                <w:rFonts w:ascii="Cambria Math" w:hAnsi="Cambria Math"/>
                <w:i/>
              </w:rPr>
            </m:ctrlPr>
          </m:e>
          <m:sub>
            <m:r>
              <w:rPr>
                <w:rFonts w:ascii="Cambria Math" w:hAnsi="Cambria Math" w:cs="Cambria Math"/>
                <w:sz w:val="16"/>
                <w:szCs w:val="16"/>
              </w:rPr>
              <m:t>O</m:t>
            </m:r>
          </m:sub>
        </m:sSub>
        <m:r>
          <w:rPr>
            <w:rFonts w:ascii="Cambria Math" w:hAnsi="Cambria Math"/>
          </w:rPr>
          <m:t>,</m:t>
        </m:r>
        <m:sSub>
          <m:sSubPr>
            <m:ctrlPr>
              <w:rPr>
                <w:rFonts w:ascii="Cambria Math" w:hAnsi="Cambria Math" w:cs="Cambria Math"/>
                <w:i/>
                <w:sz w:val="16"/>
                <w:szCs w:val="16"/>
              </w:rPr>
            </m:ctrlPr>
          </m:sSubPr>
          <m:e>
            <m:r>
              <w:rPr>
                <w:rFonts w:ascii="Cambria Math" w:hAnsi="Cambria Math" w:cs="Cambria Math"/>
              </w:rPr>
              <m:t>D</m:t>
            </m:r>
            <m:ctrlPr>
              <w:rPr>
                <w:rFonts w:ascii="Cambria Math" w:hAnsi="Cambria Math"/>
                <w:i/>
              </w:rPr>
            </m:ctrlPr>
          </m:e>
          <m:sub>
            <m:r>
              <w:rPr>
                <w:rFonts w:ascii="Cambria Math" w:hAnsi="Cambria Math" w:cs="Cambria Math"/>
                <w:sz w:val="16"/>
                <w:szCs w:val="16"/>
              </w:rPr>
              <m:t>N</m:t>
            </m:r>
          </m:sub>
        </m:sSub>
      </m:oMath>
      <w:r w:rsidR="00B57FC3">
        <w:rPr>
          <w:sz w:val="16"/>
          <w:szCs w:val="16"/>
        </w:rPr>
        <w:t xml:space="preserve"> </w:t>
      </w:r>
      <w:r w:rsidR="00B57FC3">
        <w:rPr>
          <w:rFonts w:ascii="Calibri" w:hAnsi="Calibri" w:cs="Calibri"/>
        </w:rPr>
        <w:t xml:space="preserve">to represent the dose deposition matrix on tumor, </w:t>
      </w:r>
      <w:r>
        <w:rPr>
          <w:rFonts w:ascii="Calibri" w:hAnsi="Calibri" w:cs="Calibri"/>
        </w:rPr>
        <w:t>OAR</w:t>
      </w:r>
      <w:r w:rsidR="00B57FC3">
        <w:rPr>
          <w:rFonts w:ascii="Calibri" w:hAnsi="Calibri" w:cs="Calibri"/>
        </w:rPr>
        <w:t xml:space="preserve"> and normal tissue, they are the sub matrices of </w:t>
      </w:r>
      <w:r w:rsidR="00B57FC3">
        <w:rPr>
          <w:rFonts w:ascii="Cambria Math" w:hAnsi="Cambria Math" w:cs="Cambria Math"/>
        </w:rPr>
        <w:t>𝐷</w:t>
      </w:r>
      <w:r w:rsidR="00B57FC3">
        <w:t xml:space="preserve"> </w:t>
      </w:r>
      <w:r w:rsidR="00B57FC3">
        <w:rPr>
          <w:rFonts w:ascii="Calibri" w:hAnsi="Calibri" w:cs="Calibri"/>
        </w:rPr>
        <w:t xml:space="preserve">consisting of the elements </w:t>
      </w:r>
      <m:oMath>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ij</m:t>
            </m:r>
          </m:sub>
        </m:sSub>
        <m:r>
          <w:rPr>
            <w:rFonts w:ascii="Cambria Math" w:hAnsi="Cambria Math"/>
            <w:sz w:val="16"/>
            <w:szCs w:val="16"/>
          </w:rPr>
          <m:t xml:space="preserve"> </m:t>
        </m:r>
      </m:oMath>
      <w:r w:rsidR="00B57FC3">
        <w:rPr>
          <w:rFonts w:ascii="Calibri" w:hAnsi="Calibri" w:cs="Calibri"/>
        </w:rPr>
        <w:t xml:space="preserve">in voxel set </w:t>
      </w:r>
      <w:proofErr w:type="gramStart"/>
      <w:r w:rsidR="00B57FC3">
        <w:rPr>
          <w:rFonts w:ascii="Calibri" w:hAnsi="Calibri" w:cs="Calibri"/>
        </w:rPr>
        <w:t>T ,</w:t>
      </w:r>
      <w:proofErr w:type="gramEnd"/>
      <w:r w:rsidR="00B57FC3">
        <w:rPr>
          <w:rFonts w:ascii="Calibri" w:hAnsi="Calibri" w:cs="Calibri"/>
        </w:rPr>
        <w:t xml:space="preserve"> </w:t>
      </w:r>
      <w:r>
        <w:rPr>
          <w:rFonts w:ascii="Calibri" w:hAnsi="Calibri" w:cs="Calibri"/>
        </w:rPr>
        <w:t>O</w:t>
      </w:r>
      <w:r w:rsidR="00B57FC3">
        <w:rPr>
          <w:rFonts w:ascii="Calibri" w:hAnsi="Calibri" w:cs="Calibri"/>
        </w:rPr>
        <w:t xml:space="preserve"> and N , respectively.</w:t>
      </w:r>
    </w:p>
    <w:p w14:paraId="5142CAD2" w14:textId="47FE963D" w:rsidR="00BA5004" w:rsidRDefault="00BA5004">
      <w:pPr>
        <w:rPr>
          <w:rFonts w:ascii="Calibri" w:hAnsi="Calibri" w:cs="Calibri"/>
        </w:rPr>
      </w:pPr>
      <w:r>
        <w:rPr>
          <w:rFonts w:ascii="Calibri" w:hAnsi="Calibri" w:cs="Calibri"/>
        </w:rPr>
        <w:t>Let x represent the flattened vector consisting of all the beamlets in 8 directions.</w:t>
      </w:r>
    </w:p>
    <w:p w14:paraId="0CD688E4" w14:textId="10334A44" w:rsidR="001C26CC" w:rsidRDefault="001C26CC">
      <w:pPr>
        <w:rPr>
          <w:rFonts w:ascii="Calibri" w:hAnsi="Calibri" w:cs="Calibri"/>
        </w:rPr>
      </w:pPr>
      <w:r>
        <w:rPr>
          <w:rFonts w:ascii="Calibri" w:hAnsi="Calibri" w:cs="Calibri"/>
        </w:rPr>
        <w:t>Our decision variable is x.</w:t>
      </w:r>
    </w:p>
    <w:p w14:paraId="09FFB914" w14:textId="1A676078" w:rsidR="00BA5004" w:rsidRDefault="00BA5004">
      <w:pPr>
        <w:rPr>
          <w:rFonts w:ascii="Calibri" w:hAnsi="Calibri" w:cs="Calibri"/>
        </w:rPr>
      </w:pPr>
      <w:r>
        <w:rPr>
          <w:rFonts w:ascii="Calibri" w:hAnsi="Calibri" w:cs="Calibri"/>
        </w:rPr>
        <w:t>Dimensions:</w:t>
      </w:r>
    </w:p>
    <w:p w14:paraId="0AEC99F0" w14:textId="5F7CC666" w:rsidR="00BA5004" w:rsidRPr="00BA5004" w:rsidRDefault="00BA5004">
      <w:pPr>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 of tumor voxels</m:t>
              </m:r>
            </m:e>
          </m:d>
          <m:r>
            <w:rPr>
              <w:rFonts w:ascii="Cambria Math" w:hAnsi="Cambria Math"/>
            </w:rPr>
            <m:t>*(total beamlets</m:t>
          </m:r>
          <m:r>
            <w:rPr>
              <w:rFonts w:ascii="Cambria Math" w:hAnsi="Cambria Math"/>
            </w:rPr>
            <m:t>)</m:t>
          </m:r>
        </m:oMath>
      </m:oMathPara>
    </w:p>
    <w:p w14:paraId="3608164A" w14:textId="228AA752" w:rsidR="00BA5004" w:rsidRPr="00BA5004" w:rsidRDefault="00BA5004" w:rsidP="00BA5004">
      <w:pPr>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 xml:space="preserve"># of </m:t>
              </m:r>
              <m:r>
                <w:rPr>
                  <w:rFonts w:ascii="Cambria Math" w:hAnsi="Cambria Math"/>
                </w:rPr>
                <m:t>OAR</m:t>
              </m:r>
              <m:r>
                <w:rPr>
                  <w:rFonts w:ascii="Cambria Math" w:hAnsi="Cambria Math"/>
                </w:rPr>
                <m:t xml:space="preserve"> voxels</m:t>
              </m:r>
            </m:e>
          </m:d>
          <m:r>
            <w:rPr>
              <w:rFonts w:ascii="Cambria Math" w:hAnsi="Cambria Math"/>
            </w:rPr>
            <m:t>*(total beamlets</m:t>
          </m:r>
          <m:r>
            <w:rPr>
              <w:rFonts w:ascii="Cambria Math" w:hAnsi="Cambria Math"/>
            </w:rPr>
            <m:t>)</m:t>
          </m:r>
        </m:oMath>
      </m:oMathPara>
    </w:p>
    <w:p w14:paraId="2D8A10CF" w14:textId="235E867B" w:rsidR="00BA5004" w:rsidRPr="00BA5004" w:rsidRDefault="00BA5004" w:rsidP="00BA5004">
      <w:pPr>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 xml:space="preserve"># of </m:t>
              </m:r>
              <m:r>
                <w:rPr>
                  <w:rFonts w:ascii="Cambria Math" w:hAnsi="Cambria Math"/>
                </w:rPr>
                <m:t>normal</m:t>
              </m:r>
              <m:r>
                <w:rPr>
                  <w:rFonts w:ascii="Cambria Math" w:hAnsi="Cambria Math"/>
                </w:rPr>
                <m:t xml:space="preserve"> voxels</m:t>
              </m:r>
            </m:e>
          </m:d>
          <m:r>
            <w:rPr>
              <w:rFonts w:ascii="Cambria Math" w:hAnsi="Cambria Math"/>
            </w:rPr>
            <m:t>*(total beamlets</m:t>
          </m:r>
          <m:r>
            <w:rPr>
              <w:rFonts w:ascii="Cambria Math" w:hAnsi="Cambria Math"/>
            </w:rPr>
            <m:t>)</m:t>
          </m:r>
        </m:oMath>
      </m:oMathPara>
    </w:p>
    <w:p w14:paraId="5FFAE149" w14:textId="2531122A" w:rsidR="00BA5004" w:rsidRPr="00BA5004" w:rsidRDefault="00BA5004" w:rsidP="00BA5004">
      <w:pPr>
        <w:rPr>
          <w:rFonts w:eastAsiaTheme="minorEastAsia"/>
        </w:rPr>
      </w:pPr>
      <m:oMathPara>
        <m:oMathParaPr>
          <m:jc m:val="left"/>
        </m:oMathParaP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total beamlets</m:t>
              </m:r>
            </m:e>
          </m:d>
          <m:r>
            <w:rPr>
              <w:rFonts w:ascii="Cambria Math" w:hAnsi="Cambria Math"/>
            </w:rPr>
            <m:t>*</m:t>
          </m:r>
          <m:r>
            <w:rPr>
              <w:rFonts w:ascii="Cambria Math" w:hAnsi="Cambria Math"/>
            </w:rPr>
            <m:t>1</m:t>
          </m:r>
        </m:oMath>
      </m:oMathPara>
    </w:p>
    <w:p w14:paraId="50D42DBE" w14:textId="669299AA" w:rsidR="00BA5004" w:rsidRDefault="00BA5004"/>
    <w:p w14:paraId="211E08BE" w14:textId="119B8E0F" w:rsidR="00BA5004" w:rsidRDefault="00BA5004">
      <w:r>
        <w:t>Objectives:</w:t>
      </w:r>
    </w:p>
    <w:p w14:paraId="17A58D0C" w14:textId="06EF1E9F" w:rsidR="00BA5004" w:rsidRDefault="00BA5004">
      <w:r>
        <w:t>Minimize underdosage of tumor voxels:</w:t>
      </w:r>
    </w:p>
    <w:p w14:paraId="1E76793A" w14:textId="4DE3F286" w:rsidR="00BA5004" w:rsidRPr="001C26CC" w:rsidRDefault="00BA5004">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oMath>
      </m:oMathPara>
    </w:p>
    <w:p w14:paraId="1055A44C" w14:textId="5441F74A" w:rsidR="001C26CC" w:rsidRDefault="001C26CC">
      <w:pPr>
        <w:rPr>
          <w:rFonts w:eastAsiaTheme="minorEastAsia"/>
        </w:rPr>
      </w:pPr>
      <w:r>
        <w:rPr>
          <w:rFonts w:eastAsiaTheme="minorEastAsia"/>
        </w:rPr>
        <w:t>Minimize overdosage of OAR voxels:</w:t>
      </w:r>
    </w:p>
    <w:p w14:paraId="01B8A655" w14:textId="3610C7F6" w:rsidR="001C26CC" w:rsidRPr="001C26CC" w:rsidRDefault="001C26C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x</m:t>
          </m:r>
        </m:oMath>
      </m:oMathPara>
    </w:p>
    <w:p w14:paraId="3CD3E6EF" w14:textId="1C1BDAFD" w:rsidR="001C26CC" w:rsidRDefault="001C26CC">
      <w:pPr>
        <w:rPr>
          <w:rFonts w:eastAsiaTheme="minorEastAsia"/>
        </w:rPr>
      </w:pPr>
      <w:r>
        <w:rPr>
          <w:rFonts w:eastAsiaTheme="minorEastAsia"/>
        </w:rPr>
        <w:t>Minimize overdosage of Normal voxels:</w:t>
      </w:r>
    </w:p>
    <w:p w14:paraId="73ACD1EE" w14:textId="28204BEA" w:rsidR="001C26CC" w:rsidRPr="001C26CC" w:rsidRDefault="001C26C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x</m:t>
          </m:r>
        </m:oMath>
      </m:oMathPara>
    </w:p>
    <w:p w14:paraId="6FADBAE1" w14:textId="7A0D0CB2" w:rsidR="001C26CC" w:rsidRDefault="001C26CC"/>
    <w:p w14:paraId="61AD0DCF" w14:textId="36F9A321" w:rsidR="001C26CC" w:rsidRDefault="001C26CC">
      <w:r>
        <w:t>Constraints:</w:t>
      </w:r>
    </w:p>
    <w:p w14:paraId="21F40347" w14:textId="0D393B4A" w:rsidR="001C26CC" w:rsidRDefault="001C26CC">
      <w:r>
        <w:t>Tumor should receive at least the minimum dosage:</w:t>
      </w:r>
    </w:p>
    <w:p w14:paraId="67A44B0A" w14:textId="44EA226D" w:rsidR="001C26CC" w:rsidRPr="001C26CC" w:rsidRDefault="00D860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volume of the tumor</m:t>
              </m:r>
            </m:e>
          </m:d>
          <m:r>
            <w:rPr>
              <w:rFonts w:ascii="Cambria Math" w:hAnsi="Cambria Math"/>
            </w:rPr>
            <m:t>*(factor)</m:t>
          </m:r>
        </m:oMath>
      </m:oMathPara>
    </w:p>
    <w:p w14:paraId="0DC741FE" w14:textId="55B14FC0" w:rsidR="00A233A2" w:rsidRDefault="00D86066">
      <w:r>
        <w:t>Factor is the conversion factor from meters to inches.</w:t>
      </w:r>
    </w:p>
    <w:p w14:paraId="37AE3802" w14:textId="77777777" w:rsidR="00D86066" w:rsidRDefault="00D86066"/>
    <w:p w14:paraId="0E4D670C" w14:textId="39E23F96" w:rsidR="00D86066" w:rsidRDefault="00D86066">
      <w:r>
        <w:lastRenderedPageBreak/>
        <w:t>OAR should receive less than the safe dosage levels:</w:t>
      </w:r>
    </w:p>
    <w:p w14:paraId="761A4E58" w14:textId="6835281A" w:rsidR="00D86066" w:rsidRPr="00D86066" w:rsidRDefault="00D86066">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 xml:space="preserve">volume of the </m:t>
              </m:r>
              <m:r>
                <w:rPr>
                  <w:rFonts w:ascii="Cambria Math" w:hAnsi="Cambria Math"/>
                </w:rPr>
                <m:t>OARs</m:t>
              </m:r>
            </m:e>
          </m:d>
          <m:r>
            <w:rPr>
              <w:rFonts w:ascii="Cambria Math" w:hAnsi="Cambria Math"/>
            </w:rPr>
            <m:t>*(factor</m:t>
          </m:r>
          <m:r>
            <w:rPr>
              <w:rFonts w:ascii="Cambria Math" w:hAnsi="Cambria Math"/>
            </w:rPr>
            <m:t>)</m:t>
          </m:r>
        </m:oMath>
      </m:oMathPara>
    </w:p>
    <w:p w14:paraId="348FD222" w14:textId="0C7D3800" w:rsidR="00D86066" w:rsidRDefault="00D86066">
      <w:pPr>
        <w:rPr>
          <w:rFonts w:eastAsiaTheme="minorEastAsia"/>
        </w:rPr>
      </w:pPr>
    </w:p>
    <w:p w14:paraId="3AD9FCB7" w14:textId="57C0D278" w:rsidR="00D86066" w:rsidRDefault="00D86066">
      <w:pPr>
        <w:rPr>
          <w:rFonts w:eastAsiaTheme="minorEastAsia"/>
        </w:rPr>
      </w:pPr>
    </w:p>
    <w:p w14:paraId="1B572534" w14:textId="7E218E59" w:rsidR="00D86066" w:rsidRDefault="00D86066">
      <w:pPr>
        <w:rPr>
          <w:rFonts w:eastAsiaTheme="minorEastAsia"/>
        </w:rPr>
      </w:pPr>
      <w:r>
        <w:rPr>
          <w:rFonts w:eastAsiaTheme="minorEastAsia"/>
        </w:rPr>
        <w:t>Normal tissue should receive less than safe dosage levels:</w:t>
      </w:r>
    </w:p>
    <w:p w14:paraId="765355E5" w14:textId="6204FB64" w:rsidR="00D86066" w:rsidRPr="00D86066" w:rsidRDefault="00D86066" w:rsidP="00D86066">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 xml:space="preserve">∑volume of </m:t>
              </m:r>
              <m:r>
                <w:rPr>
                  <w:rFonts w:ascii="Cambria Math" w:hAnsi="Cambria Math"/>
                </w:rPr>
                <m:t>normal tissue</m:t>
              </m:r>
            </m:e>
          </m:d>
          <m:r>
            <w:rPr>
              <w:rFonts w:ascii="Cambria Math" w:hAnsi="Cambria Math"/>
            </w:rPr>
            <m:t>*(factor</m:t>
          </m:r>
          <m:r>
            <w:rPr>
              <w:rFonts w:ascii="Cambria Math" w:hAnsi="Cambria Math"/>
            </w:rPr>
            <m:t>)</m:t>
          </m:r>
        </m:oMath>
      </m:oMathPara>
    </w:p>
    <w:p w14:paraId="685EF021" w14:textId="742D1952" w:rsidR="00D86066" w:rsidRDefault="00D86066">
      <w:pPr>
        <w:rPr>
          <w:rFonts w:eastAsiaTheme="minorEastAsia"/>
        </w:rPr>
      </w:pPr>
    </w:p>
    <w:p w14:paraId="01315182" w14:textId="5F34C52D" w:rsidR="00D86066" w:rsidRDefault="00D86066">
      <w:pPr>
        <w:rPr>
          <w:rFonts w:eastAsiaTheme="minorEastAsia"/>
        </w:rPr>
      </w:pPr>
      <w:r>
        <w:rPr>
          <w:rFonts w:eastAsiaTheme="minorEastAsia"/>
        </w:rPr>
        <w:t>MLOP:</w:t>
      </w:r>
    </w:p>
    <w:p w14:paraId="067D4729" w14:textId="3B11AB45" w:rsidR="00D86066" w:rsidRPr="00D86066" w:rsidRDefault="00D86066">
      <w:pP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func>
        </m:oMath>
      </m:oMathPara>
    </w:p>
    <w:p w14:paraId="2FE45261" w14:textId="04826933" w:rsidR="00D86066" w:rsidRDefault="00D86066">
      <w:pPr>
        <w:rPr>
          <w:rFonts w:eastAsiaTheme="minorEastAsia"/>
        </w:rPr>
      </w:pPr>
      <w:r>
        <w:rPr>
          <w:rFonts w:eastAsiaTheme="minorEastAsia"/>
        </w:rPr>
        <w:t>Subject to:</w:t>
      </w:r>
    </w:p>
    <w:p w14:paraId="0DA98934" w14:textId="77777777" w:rsidR="00D86066" w:rsidRPr="001C26CC" w:rsidRDefault="00D86066" w:rsidP="00D860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volume of the tumor</m:t>
              </m:r>
            </m:e>
          </m:d>
          <m:r>
            <w:rPr>
              <w:rFonts w:ascii="Cambria Math" w:hAnsi="Cambria Math"/>
            </w:rPr>
            <m:t>*(factor)</m:t>
          </m:r>
        </m:oMath>
      </m:oMathPara>
    </w:p>
    <w:p w14:paraId="1A0A8F23" w14:textId="77777777" w:rsidR="00D86066" w:rsidRPr="00D86066" w:rsidRDefault="00D86066">
      <w:pPr>
        <w:rPr>
          <w:rFonts w:eastAsiaTheme="minorEastAsia"/>
        </w:rPr>
      </w:pPr>
    </w:p>
    <w:p w14:paraId="17DB5AD0" w14:textId="62845B2C" w:rsidR="00D86066" w:rsidRPr="00D86066" w:rsidRDefault="00D86066" w:rsidP="00D86066">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∑volume of the OARs</m:t>
              </m:r>
            </m:e>
          </m:d>
          <m:r>
            <w:rPr>
              <w:rFonts w:ascii="Cambria Math" w:hAnsi="Cambria Math"/>
            </w:rPr>
            <m:t>*(factor</m:t>
          </m:r>
          <m:r>
            <w:rPr>
              <w:rFonts w:ascii="Cambria Math" w:hAnsi="Cambria Math"/>
            </w:rPr>
            <m:t>)</m:t>
          </m:r>
        </m:oMath>
      </m:oMathPara>
    </w:p>
    <w:p w14:paraId="4A4450F2" w14:textId="77777777" w:rsidR="00D86066" w:rsidRPr="00D86066" w:rsidRDefault="00D86066"/>
    <w:p w14:paraId="538CB2B9" w14:textId="2A80B1E1" w:rsidR="00D86066" w:rsidRPr="00D86066" w:rsidRDefault="00D86066" w:rsidP="00D86066">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∑volume of the OARs</m:t>
              </m:r>
            </m:e>
          </m:d>
          <m:r>
            <w:rPr>
              <w:rFonts w:ascii="Cambria Math" w:hAnsi="Cambria Math"/>
            </w:rPr>
            <m:t>*(factor</m:t>
          </m:r>
          <m:r>
            <w:rPr>
              <w:rFonts w:ascii="Cambria Math" w:hAnsi="Cambria Math"/>
            </w:rPr>
            <m:t>)</m:t>
          </m:r>
        </m:oMath>
      </m:oMathPara>
    </w:p>
    <w:p w14:paraId="2BE2D4B2" w14:textId="77777777" w:rsidR="00D86066" w:rsidRDefault="00D86066" w:rsidP="00D86066">
      <w:pPr>
        <w:rPr>
          <w:rFonts w:eastAsiaTheme="minorEastAsia"/>
        </w:rPr>
      </w:pPr>
    </w:p>
    <w:p w14:paraId="2634D763" w14:textId="6CC3BAD1" w:rsidR="00D86066" w:rsidRPr="00D86066" w:rsidRDefault="00D86066" w:rsidP="00D86066">
      <w:pPr>
        <w:rPr>
          <w:rFonts w:eastAsiaTheme="minorEastAsia"/>
        </w:rPr>
      </w:pPr>
      <m:oMathPara>
        <m:oMathParaPr>
          <m:jc m:val="left"/>
        </m:oMathParaPr>
        <m:oMath>
          <m:r>
            <w:rPr>
              <w:rFonts w:ascii="Cambria Math" w:eastAsiaTheme="minorEastAsia" w:hAnsi="Cambria Math"/>
            </w:rPr>
            <m:t>x≥0</m:t>
          </m:r>
        </m:oMath>
      </m:oMathPara>
    </w:p>
    <w:p w14:paraId="298E863A" w14:textId="38067261" w:rsidR="00D86066" w:rsidRDefault="00D86066"/>
    <w:p w14:paraId="6A5EB22D" w14:textId="08AF4C50" w:rsidR="00D86066" w:rsidRDefault="00D86066">
      <w:r>
        <w:t>Decision variable:</w:t>
      </w:r>
    </w:p>
    <w:p w14:paraId="480F4C8A" w14:textId="29D1401E" w:rsidR="00D86066" w:rsidRPr="00D86066" w:rsidRDefault="00D86066">
      <w:pPr>
        <w:rPr>
          <w:rFonts w:eastAsiaTheme="minorEastAsia"/>
        </w:rPr>
      </w:pPr>
      <m:oMathPara>
        <m:oMathParaPr>
          <m:jc m:val="left"/>
        </m:oMathParaPr>
        <m:oMath>
          <m:r>
            <w:rPr>
              <w:rFonts w:ascii="Cambria Math" w:hAnsi="Cambria Math"/>
            </w:rPr>
            <m:t>x</m:t>
          </m:r>
        </m:oMath>
      </m:oMathPara>
    </w:p>
    <w:p w14:paraId="5B959956" w14:textId="581AA0A3" w:rsidR="00D86066" w:rsidRDefault="00D86066">
      <w:pPr>
        <w:rPr>
          <w:rFonts w:eastAsiaTheme="minorEastAsia"/>
        </w:rPr>
      </w:pPr>
      <w:r>
        <w:rPr>
          <w:rFonts w:eastAsiaTheme="minorEastAsia"/>
        </w:rPr>
        <w:t>It is the flattened vector of consisting of all beamlet intensities.</w:t>
      </w:r>
    </w:p>
    <w:p w14:paraId="10917ECF" w14:textId="71723330" w:rsidR="00121F10" w:rsidRDefault="00121F10">
      <w:pPr>
        <w:rPr>
          <w:rFonts w:eastAsiaTheme="minorEastAsia"/>
        </w:rPr>
      </w:pPr>
      <w:r>
        <w:rPr>
          <w:rFonts w:eastAsiaTheme="minorEastAsia"/>
        </w:rPr>
        <w:t xml:space="preserve">Dimension: </w:t>
      </w:r>
      <m:oMath>
        <m:d>
          <m:dPr>
            <m:ctrlPr>
              <w:rPr>
                <w:rFonts w:ascii="Cambria Math" w:hAnsi="Cambria Math"/>
                <w:i/>
              </w:rPr>
            </m:ctrlPr>
          </m:dPr>
          <m:e>
            <m:r>
              <w:rPr>
                <w:rFonts w:ascii="Cambria Math" w:hAnsi="Cambria Math"/>
              </w:rPr>
              <m:t>total beamlets</m:t>
            </m:r>
          </m:e>
        </m:d>
        <m:r>
          <w:rPr>
            <w:rFonts w:ascii="Cambria Math" w:hAnsi="Cambria Math"/>
          </w:rPr>
          <m:t>*</m:t>
        </m:r>
        <m:r>
          <w:rPr>
            <w:rFonts w:ascii="Cambria Math" w:hAnsi="Cambria Math"/>
          </w:rPr>
          <m:t>1</m:t>
        </m:r>
      </m:oMath>
    </w:p>
    <w:p w14:paraId="4522A9BB" w14:textId="77777777" w:rsidR="00121F10" w:rsidRDefault="00121F10">
      <w:pPr>
        <w:rPr>
          <w:rFonts w:eastAsiaTheme="minorEastAsia"/>
        </w:rPr>
      </w:pPr>
    </w:p>
    <w:p w14:paraId="516A0DCB" w14:textId="4123DE0D" w:rsidR="00D86066" w:rsidRDefault="00D86066">
      <w:pPr>
        <w:rPr>
          <w:rFonts w:eastAsiaTheme="minorEastAsia"/>
        </w:rPr>
      </w:pPr>
      <w:r>
        <w:rPr>
          <w:rFonts w:eastAsiaTheme="minorEastAsia"/>
        </w:rPr>
        <w:t>Output of the Optimization problem:</w:t>
      </w:r>
    </w:p>
    <w:p w14:paraId="180A6D52" w14:textId="1A7CAAD2" w:rsidR="00D86066" w:rsidRDefault="00121F10">
      <w:pPr>
        <w:rPr>
          <w:rFonts w:eastAsiaTheme="minorEastAsia"/>
        </w:rPr>
      </w:pPr>
      <w:r>
        <w:rPr>
          <w:rFonts w:eastAsiaTheme="minorEastAsia"/>
        </w:rPr>
        <w:t>Optimal beamlet map.</w:t>
      </w:r>
    </w:p>
    <w:p w14:paraId="3BB1ED2A" w14:textId="77777777" w:rsidR="00121F10" w:rsidRPr="00D86066" w:rsidRDefault="00121F10"/>
    <w:p w14:paraId="01F7F4E8" w14:textId="77777777" w:rsidR="00D86066" w:rsidRDefault="00D86066"/>
    <w:p w14:paraId="33A8C614" w14:textId="77777777" w:rsidR="00D86066" w:rsidRDefault="00D86066"/>
    <w:p w14:paraId="3665F318" w14:textId="002BA94D" w:rsidR="00A233A2" w:rsidRDefault="00A233A2"/>
    <w:p w14:paraId="260AB0B0" w14:textId="77777777" w:rsidR="00A233A2" w:rsidRDefault="00A233A2"/>
    <w:p w14:paraId="1B072C79" w14:textId="77777777" w:rsidR="0096062A" w:rsidRDefault="0096062A"/>
    <w:sectPr w:rsidR="0096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2A"/>
    <w:rsid w:val="00121F10"/>
    <w:rsid w:val="001C26CC"/>
    <w:rsid w:val="00260986"/>
    <w:rsid w:val="002C4573"/>
    <w:rsid w:val="00631284"/>
    <w:rsid w:val="006536A1"/>
    <w:rsid w:val="008E5550"/>
    <w:rsid w:val="0096062A"/>
    <w:rsid w:val="009F76C5"/>
    <w:rsid w:val="00A233A2"/>
    <w:rsid w:val="00AC0F63"/>
    <w:rsid w:val="00B57FC3"/>
    <w:rsid w:val="00BA5004"/>
    <w:rsid w:val="00D8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8D73"/>
  <w15:chartTrackingRefBased/>
  <w15:docId w15:val="{E9E811BB-9E92-40C8-AD24-66FFA7EF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7F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BE18C6A5E8043906C823B0F7E67B3" ma:contentTypeVersion="4" ma:contentTypeDescription="Create a new document." ma:contentTypeScope="" ma:versionID="798e8b525cf0266aa8821dd4102a5046">
  <xsd:schema xmlns:xsd="http://www.w3.org/2001/XMLSchema" xmlns:xs="http://www.w3.org/2001/XMLSchema" xmlns:p="http://schemas.microsoft.com/office/2006/metadata/properties" xmlns:ns3="e288a3f7-8d7b-48d9-87f4-05d0035838cf" targetNamespace="http://schemas.microsoft.com/office/2006/metadata/properties" ma:root="true" ma:fieldsID="1bc4e580c0834916a0544740a77f8e50" ns3:_="">
    <xsd:import namespace="e288a3f7-8d7b-48d9-87f4-05d0035838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8a3f7-8d7b-48d9-87f4-05d0035838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B3DDA-D382-4721-8AED-F318596E2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8a3f7-8d7b-48d9-87f4-05d003583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8EE5D-9741-44A4-B605-552B61A102FA}">
  <ds:schemaRefs>
    <ds:schemaRef ds:uri="http://schemas.microsoft.com/sharepoint/v3/contenttype/forms"/>
  </ds:schemaRefs>
</ds:datastoreItem>
</file>

<file path=customXml/itemProps3.xml><?xml version="1.0" encoding="utf-8"?>
<ds:datastoreItem xmlns:ds="http://schemas.openxmlformats.org/officeDocument/2006/customXml" ds:itemID="{42B5CC98-0E35-4821-9F26-550D5FF3C3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5</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Tunga</dc:creator>
  <cp:keywords/>
  <dc:description/>
  <cp:lastModifiedBy>Anirudh Tunga</cp:lastModifiedBy>
  <cp:revision>1</cp:revision>
  <dcterms:created xsi:type="dcterms:W3CDTF">2020-03-28T05:46:00Z</dcterms:created>
  <dcterms:modified xsi:type="dcterms:W3CDTF">2020-03-30T17:16:00Z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0x010100E53BE18C6A5E8043906C823B0F7E67B3</vt:lpwstr>
  </property>
</Properties>
</file>