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8d26b81b9bfab5f7f574527b16055477729320f"/>
    <w:p>
      <w:pPr>
        <w:pStyle w:val="Heading1"/>
      </w:pPr>
      <w:r>
        <w:t xml:space="preserve">Three-Page Summary: Biomethane Operator Assistant</w:t>
      </w:r>
    </w:p>
    <w:bookmarkStart w:id="20" w:name="Xc52b0afcd58f486e1d7d7993fe7be800113a495"/>
    <w:p>
      <w:pPr>
        <w:pStyle w:val="Heading2"/>
      </w:pPr>
      <w:r>
        <w:t xml:space="preserve">Technical Capabilities Overview, Version 5</w:t>
      </w:r>
    </w:p>
    <w:p>
      <w:r>
        <w:pict>
          <v:rect style="width:0;height:1.5pt" o:hralign="center" o:hrstd="t" o:hr="t"/>
        </w:pict>
      </w:r>
    </w:p>
    <w:bookmarkEnd w:id="20"/>
    <w:bookmarkStart w:id="21" w:name="X1775a022567ba197dcac881ce65e6ee1a9a0f52"/>
    <w:p>
      <w:pPr>
        <w:pStyle w:val="Heading2"/>
      </w:pPr>
      <w:r>
        <w:t xml:space="preserve">Page 1 — System Purpose, Architecture, and Data Flow</w:t>
      </w:r>
    </w:p>
    <w:p>
      <w:pPr>
        <w:pStyle w:val="FirstParagraph"/>
      </w:pPr>
      <w:r>
        <w:t xml:space="preserve">The</w:t>
      </w:r>
      <w:r>
        <w:t xml:space="preserve"> </w:t>
      </w:r>
      <w:r>
        <w:rPr>
          <w:b/>
          <w:bCs/>
        </w:rPr>
        <w:t xml:space="preserve">Biomethane Operator Assistant</w:t>
      </w:r>
      <w:r>
        <w:t xml:space="preserve"> </w:t>
      </w:r>
      <w:r>
        <w:t xml:space="preserve">is a local AI support system designed for farm-scale anaerobic digestion and biomethane operations. Its purpose is to help operators interpret sensor readings, assess plant stability, identify early warning signs, and support operational decisions. The system is explicitly positioned as a knowledgeable first responder rather than a replacement for a process engineer.</w:t>
      </w:r>
    </w:p>
    <w:p>
      <w:pPr>
        <w:pStyle w:val="BodyText"/>
      </w:pPr>
      <w:r>
        <w:t xml:space="preserve">A central design principle is</w:t>
      </w:r>
      <w:r>
        <w:t xml:space="preserve"> </w:t>
      </w:r>
      <w:r>
        <w:rPr>
          <w:b/>
          <w:bCs/>
        </w:rPr>
        <w:t xml:space="preserve">local operation and data sovereignty</w:t>
      </w:r>
      <w:r>
        <w:t xml:space="preserve">. The AI model, process tools, state database, calculations, simulations, and operator interface are intended to run on-site, on a single machine. No sensor data or operator queries need to leave the farm network. The document notes that local communication over LAN or WAN still requires encryption, because</w:t>
      </w:r>
      <w:r>
        <w:t xml:space="preserve"> </w:t>
      </w:r>
      <w:r>
        <w:t xml:space="preserve">“local”</w:t>
      </w:r>
      <w:r>
        <w:t xml:space="preserve"> </w:t>
      </w:r>
      <w:r>
        <w:t xml:space="preserve">does not automatically mean secure. The proof-of-concept system is being developed on an M4 Mac mini with 24 GB RAM, while stronger hardware could support more capable local language models and reduce hallucination risk.</w:t>
      </w:r>
    </w:p>
    <w:p>
      <w:pPr>
        <w:pStyle w:val="BodyText"/>
      </w:pPr>
      <w:r>
        <w:t xml:space="preserve">The system architecture has two main components. The first is the</w:t>
      </w:r>
      <w:r>
        <w:t xml:space="preserve"> </w:t>
      </w:r>
      <w:r>
        <w:rPr>
          <w:b/>
          <w:bCs/>
        </w:rPr>
        <w:t xml:space="preserve">AI Client</w:t>
      </w:r>
      <w:r>
        <w:t xml:space="preserve">, a locally running language model such as Gemma 4 4B or an equivalent model. It interprets operator questions, retrieves relevant reference material through the RAG knowledge layer, calls appropriate tools, and explains results in plain language. The second is the</w:t>
      </w:r>
      <w:r>
        <w:t xml:space="preserve"> </w:t>
      </w:r>
      <w:r>
        <w:rPr>
          <w:b/>
          <w:bCs/>
        </w:rPr>
        <w:t xml:space="preserve">MCP Server</w:t>
      </w:r>
      <w:r>
        <w:t xml:space="preserve">, implemented as</w:t>
      </w:r>
      <w:r>
        <w:t xml:space="preserve"> </w:t>
      </w:r>
      <w:r>
        <w:rPr>
          <w:rStyle w:val="VerbatimChar"/>
        </w:rPr>
        <w:t xml:space="preserve">bio_methane_operations_mcp_server_v5.py</w:t>
      </w:r>
      <w:r>
        <w:t xml:space="preserve">. This server provides a structured toolbox of functions covering plant monitoring, feedstock chemistry, physical simulation, and state estimation. By default, it runs through standard input/output as a subprocess launched by</w:t>
      </w:r>
      <w:r>
        <w:t xml:space="preserve"> </w:t>
      </w:r>
      <w:r>
        <w:rPr>
          <w:rStyle w:val="VerbatimChar"/>
        </w:rPr>
        <w:t xml:space="preserve">biomethane_chat.py</w:t>
      </w:r>
      <w:r>
        <w:t xml:space="preserve">, so no network port is opened unless HTTP mode is explicitly enabled.</w:t>
      </w:r>
    </w:p>
    <w:p>
      <w:pPr>
        <w:pStyle w:val="BodyText"/>
      </w:pPr>
      <w:r>
        <w:t xml:space="preserve">The document describes a</w:t>
      </w:r>
      <w:r>
        <w:t xml:space="preserve"> </w:t>
      </w:r>
      <w:r>
        <w:rPr>
          <w:b/>
          <w:bCs/>
        </w:rPr>
        <w:t xml:space="preserve">two-tier storage architecture</w:t>
      </w:r>
      <w:r>
        <w:t xml:space="preserve">. The primary live data store is</w:t>
      </w:r>
      <w:r>
        <w:t xml:space="preserve"> </w:t>
      </w:r>
      <w:r>
        <w:rPr>
          <w:rStyle w:val="VerbatimChar"/>
        </w:rPr>
        <w:t xml:space="preserve">data/plant_state.sqlite</w:t>
      </w:r>
      <w:r>
        <w:t xml:space="preserve">, managed through StateBuffer. This contains clean sensor readings after quality filtering. The legacy database,</w:t>
      </w:r>
      <w:r>
        <w:t xml:space="preserve"> </w:t>
      </w:r>
      <w:r>
        <w:rPr>
          <w:rStyle w:val="VerbatimChar"/>
        </w:rPr>
        <w:t xml:space="preserve">data/biomethane.db</w:t>
      </w:r>
      <w:r>
        <w:t xml:space="preserve">, remains for default seeding and compatibility with older tests. This separation allows the current system to use cleaner operational data while preserving backwards compatibility.</w:t>
      </w:r>
    </w:p>
    <w:p>
      <w:pPr>
        <w:pStyle w:val="BodyText"/>
      </w:pPr>
      <w:r>
        <w:t xml:space="preserve">The</w:t>
      </w:r>
      <w:r>
        <w:t xml:space="preserve"> </w:t>
      </w:r>
      <w:r>
        <w:rPr>
          <w:b/>
          <w:bCs/>
        </w:rPr>
        <w:t xml:space="preserve">RAG knowledge layer</w:t>
      </w:r>
      <w:r>
        <w:t xml:space="preserve"> </w:t>
      </w:r>
      <w:r>
        <w:t xml:space="preserve">gives the local AI access to a small, curated set of technical documents. These include an AD4 model card, Bernard (2001) equations, an API reference sheet, and failure-mode lookup tables. The documents are stored in a ChromaDB vector database and are deliberately written in short, dense, lookup-style chunks. This design helps a small local model retrieve precise technical information instead of relying on memory.</w:t>
      </w:r>
    </w:p>
    <w:p>
      <w:pPr>
        <w:pStyle w:val="BodyText"/>
      </w:pPr>
      <w:r>
        <w:t xml:space="preserve">Several integration scripts support the data pipeline.</w:t>
      </w:r>
      <w:r>
        <w:t xml:space="preserve"> </w:t>
      </w:r>
      <w:r>
        <w:rPr>
          <w:rStyle w:val="VerbatimChar"/>
        </w:rPr>
        <w:t xml:space="preserve">scada_mapper.py</w:t>
      </w:r>
      <w:r>
        <w:t xml:space="preserve"> </w:t>
      </w:r>
      <w:r>
        <w:t xml:space="preserve">translates different SCADA column formats into standard internal names.</w:t>
      </w:r>
      <w:r>
        <w:t xml:space="preserve"> </w:t>
      </w:r>
      <w:r>
        <w:rPr>
          <w:rStyle w:val="VerbatimChar"/>
        </w:rPr>
        <w:t xml:space="preserve">StateBuffer.py</w:t>
      </w:r>
      <w:r>
        <w:t xml:space="preserve"> </w:t>
      </w:r>
      <w:r>
        <w:t xml:space="preserve">stores a 48-hour rolling window of clean sensor readings and applies CUSUM anomaly detection.</w:t>
      </w:r>
      <w:r>
        <w:t xml:space="preserve"> </w:t>
      </w:r>
      <w:r>
        <w:rPr>
          <w:rStyle w:val="VerbatimChar"/>
        </w:rPr>
        <w:t xml:space="preserve">ingest_daemon.py</w:t>
      </w:r>
      <w:r>
        <w:t xml:space="preserve"> </w:t>
      </w:r>
      <w:r>
        <w:t xml:space="preserve">watches a folder for new SCADA files and automatically processes them.</w:t>
      </w:r>
      <w:r>
        <w:t xml:space="preserve"> </w:t>
      </w:r>
      <w:r>
        <w:rPr>
          <w:rStyle w:val="VerbatimChar"/>
        </w:rPr>
        <w:t xml:space="preserve">replay_dataset.py</w:t>
      </w:r>
      <w:r>
        <w:t xml:space="preserve"> </w:t>
      </w:r>
      <w:r>
        <w:t xml:space="preserve">replays historical data through the system for validation and testing.</w:t>
      </w:r>
      <w:r>
        <w:t xml:space="preserve"> </w:t>
      </w:r>
      <w:r>
        <w:rPr>
          <w:rStyle w:val="VerbatimChar"/>
        </w:rPr>
        <w:t xml:space="preserve">seed_plant_state.py</w:t>
      </w:r>
      <w:r>
        <w:t xml:space="preserve"> </w:t>
      </w:r>
      <w:r>
        <w:t xml:space="preserve">bootstraps the system from historical records so it does not have to begin from generic factory defaults.</w:t>
      </w:r>
    </w:p>
    <w:p>
      <w:pPr>
        <w:pStyle w:val="BodyText"/>
      </w:pPr>
      <w:r>
        <w:t xml:space="preserve">The system also includes a local command-line tool,</w:t>
      </w:r>
      <w:r>
        <w:t xml:space="preserve"> </w:t>
      </w:r>
      <w:r>
        <w:rPr>
          <w:rStyle w:val="VerbatimChar"/>
        </w:rPr>
        <w:t xml:space="preserve">bio_cli.py</w:t>
      </w:r>
      <w:r>
        <w:t xml:space="preserve">, for basic operations and calibration tasks. Calibration logic is handled by</w:t>
      </w:r>
      <w:r>
        <w:t xml:space="preserve"> </w:t>
      </w:r>
      <w:r>
        <w:rPr>
          <w:rStyle w:val="VerbatimChar"/>
        </w:rPr>
        <w:t xml:space="preserve">biomethane_calibration.py</w:t>
      </w:r>
      <w:r>
        <w:t xml:space="preserve">, which contains Buswell methane potential calculations, C/N ratio calculations, energy conversion factors, and AD4 parameter-fitting routines. Calibration is intentionally not exposed through the MCP protocol; it is run directly by an operator on the local machine.</w:t>
      </w:r>
    </w:p>
    <w:p>
      <w:pPr>
        <w:pStyle w:val="BodyText"/>
      </w:pPr>
      <w:r>
        <w:t xml:space="preserve">Two AI interface scripts connect the operator to the system.</w:t>
      </w:r>
      <w:r>
        <w:t xml:space="preserve"> </w:t>
      </w:r>
      <w:r>
        <w:rPr>
          <w:rStyle w:val="VerbatimChar"/>
        </w:rPr>
        <w:t xml:space="preserve">biomethane_router.py</w:t>
      </w:r>
      <w:r>
        <w:t xml:space="preserve"> </w:t>
      </w:r>
      <w:r>
        <w:t xml:space="preserve">acts as a deterministic dispatcher, classifying questions such as plant status, souring risk, scenarios, production, and references.</w:t>
      </w:r>
      <w:r>
        <w:t xml:space="preserve"> </w:t>
      </w:r>
      <w:r>
        <w:rPr>
          <w:rStyle w:val="VerbatimChar"/>
        </w:rPr>
        <w:t xml:space="preserve">biomethane_chat.py</w:t>
      </w:r>
      <w:r>
        <w:t xml:space="preserve"> </w:t>
      </w:r>
      <w:r>
        <w:t xml:space="preserve">provides a Gradio-based browser chat interface, launches the MCP server, connects to the local LLM, and displays a tool trace so operators can see which tools were called.</w:t>
      </w:r>
    </w:p>
    <w:p>
      <w:r>
        <w:pict>
          <v:rect style="width:0;height:1.5pt" o:hralign="center" o:hrstd="t" o:hr="t"/>
        </w:pict>
      </w:r>
    </w:p>
    <w:bookmarkEnd w:id="21"/>
    <w:bookmarkStart w:id="22" w:name="X9f03afc10d6c9f418f90420bfb0f4dd704a28ae"/>
    <w:p>
      <w:pPr>
        <w:pStyle w:val="Heading2"/>
      </w:pPr>
      <w:r>
        <w:t xml:space="preserve">Page 2 — Tool Layers, Simulation, State Estimation, and SCADA Integration</w:t>
      </w:r>
    </w:p>
    <w:p>
      <w:pPr>
        <w:pStyle w:val="FirstParagraph"/>
      </w:pPr>
      <w:r>
        <w:t xml:space="preserve">The document organizes the system into tool layers with clear statements about what each layer can and cannot do.</w:t>
      </w:r>
    </w:p>
    <w:p>
      <w:pPr>
        <w:pStyle w:val="BodyText"/>
      </w:pPr>
      <w:r>
        <w:rPr>
          <w:b/>
          <w:bCs/>
        </w:rPr>
        <w:t xml:space="preserve">Layer 1: Plant State Monitoring</w:t>
      </w:r>
      <w:r>
        <w:t xml:space="preserve"> </w:t>
      </w:r>
      <w:r>
        <w:t xml:space="preserve">manages live plant sensor values. It does not perform physical modelling; it reads, writes, filters, and evaluates current plant data. Tools include</w:t>
      </w:r>
      <w:r>
        <w:t xml:space="preserve"> </w:t>
      </w:r>
      <w:r>
        <w:rPr>
          <w:rStyle w:val="VerbatimChar"/>
        </w:rPr>
        <w:t xml:space="preserve">get_plant_state</w:t>
      </w:r>
      <w:r>
        <w:t xml:space="preserve">,</w:t>
      </w:r>
      <w:r>
        <w:t xml:space="preserve"> </w:t>
      </w:r>
      <w:r>
        <w:rPr>
          <w:rStyle w:val="VerbatimChar"/>
        </w:rPr>
        <w:t xml:space="preserve">update_plant_state</w:t>
      </w:r>
      <w:r>
        <w:t xml:space="preserve">,</w:t>
      </w:r>
      <w:r>
        <w:t xml:space="preserve"> </w:t>
      </w:r>
      <w:r>
        <w:rPr>
          <w:rStyle w:val="VerbatimChar"/>
        </w:rPr>
        <w:t xml:space="preserve">check_alerts</w:t>
      </w:r>
      <w:r>
        <w:t xml:space="preserve">,</w:t>
      </w:r>
      <w:r>
        <w:t xml:space="preserve"> </w:t>
      </w:r>
      <w:r>
        <w:rPr>
          <w:rStyle w:val="VerbatimChar"/>
        </w:rPr>
        <w:t xml:space="preserve">get_alert_history</w:t>
      </w:r>
      <w:r>
        <w:t xml:space="preserve">,</w:t>
      </w:r>
      <w:r>
        <w:t xml:space="preserve"> </w:t>
      </w:r>
      <w:r>
        <w:rPr>
          <w:rStyle w:val="VerbatimChar"/>
        </w:rPr>
        <w:t xml:space="preserve">get_vfa_alkalinity_ratio</w:t>
      </w:r>
      <w:r>
        <w:t xml:space="preserve">,</w:t>
      </w:r>
      <w:r>
        <w:t xml:space="preserve"> </w:t>
      </w:r>
      <w:r>
        <w:rPr>
          <w:rStyle w:val="VerbatimChar"/>
        </w:rPr>
        <w:t xml:space="preserve">get_kpi_summary</w:t>
      </w:r>
      <w:r>
        <w:t xml:space="preserve">,</w:t>
      </w:r>
      <w:r>
        <w:t xml:space="preserve"> </w:t>
      </w:r>
      <w:r>
        <w:rPr>
          <w:rStyle w:val="VerbatimChar"/>
        </w:rPr>
        <w:t xml:space="preserve">get_state_buffer_status</w:t>
      </w:r>
      <w:r>
        <w:t xml:space="preserve">, and</w:t>
      </w:r>
      <w:r>
        <w:t xml:space="preserve"> </w:t>
      </w:r>
      <w:r>
        <w:rPr>
          <w:rStyle w:val="VerbatimChar"/>
        </w:rPr>
        <w:t xml:space="preserve">ingest_scada_file</w:t>
      </w:r>
      <w:r>
        <w:t xml:space="preserve">. These tools allow the AI to read clean sensor values, evaluate thresholds, calculate FOS/TAC acidification risk, summarize KPIs, and ingest SCADA data files.</w:t>
      </w:r>
    </w:p>
    <w:p>
      <w:pPr>
        <w:pStyle w:val="BodyText"/>
      </w:pPr>
      <w:r>
        <w:rPr>
          <w:b/>
          <w:bCs/>
        </w:rPr>
        <w:t xml:space="preserve">Layer 2: Feedstock Chemistry</w:t>
      </w:r>
      <w:r>
        <w:t xml:space="preserve"> </w:t>
      </w:r>
      <w:r>
        <w:t xml:space="preserve">performs deterministic first-principles calculations. It includes Buswell theoretical methane potential, C/N ratio analysis, organic loading rate calculation, biodegradability comparison, energy conversion, feedstock blending, and operational reference lookups. The document stresses that this layer calculates theoretical potential, not guaranteed real-world production. Actual plant performance may range widely depending on operating conditions, microbial health, inhibition, temperature, and equipment performance.</w:t>
      </w:r>
    </w:p>
    <w:p>
      <w:pPr>
        <w:pStyle w:val="BodyText"/>
      </w:pPr>
      <w:r>
        <w:rPr>
          <w:b/>
          <w:bCs/>
        </w:rPr>
        <w:t xml:space="preserve">Layer 3: Physical Simulation</w:t>
      </w:r>
      <w:r>
        <w:t xml:space="preserve"> </w:t>
      </w:r>
      <w:r>
        <w:t xml:space="preserve">uses an AD4 ordinary differential equation model based on anaerobic digestion dynamics. The model tracks four state variables: organic substrate S1, volatile fatty acids S2, acidogen biomass X1, and methanogen biomass X2. Tools include</w:t>
      </w:r>
      <w:r>
        <w:t xml:space="preserve"> </w:t>
      </w:r>
      <w:r>
        <w:rPr>
          <w:rStyle w:val="VerbatimChar"/>
        </w:rPr>
        <w:t xml:space="preserve">ad4_simulate</w:t>
      </w:r>
      <w:r>
        <w:t xml:space="preserve">,</w:t>
      </w:r>
      <w:r>
        <w:t xml:space="preserve"> </w:t>
      </w:r>
      <w:r>
        <w:rPr>
          <w:rStyle w:val="VerbatimChar"/>
        </w:rPr>
        <w:t xml:space="preserve">ad4_critical_dilution_rate</w:t>
      </w:r>
      <w:r>
        <w:t xml:space="preserve">, and</w:t>
      </w:r>
      <w:r>
        <w:t xml:space="preserve"> </w:t>
      </w:r>
      <w:r>
        <w:rPr>
          <w:rStyle w:val="VerbatimChar"/>
        </w:rPr>
        <w:t xml:space="preserve">ad4_perturbation_test</w:t>
      </w:r>
      <w:r>
        <w:t xml:space="preserve">. These tools answer questions such as what steady state is expected, how close the digester is to washout risk, and what could happen under a high-COD feedstock disturbance.</w:t>
      </w:r>
    </w:p>
    <w:p>
      <w:pPr>
        <w:pStyle w:val="BodyText"/>
      </w:pPr>
      <w:r>
        <w:t xml:space="preserve">A key feature of Layer 3 is temperature correction. The system applies an Arrhenius correction to methanogen growth rate using live digester temperature. The document gives the example that a 3°C cooling can reduce the safe operating envelope by approximately 10%. This allows the system to explain seasonal risk, especially when winter cooling reduces methanogen activity.</w:t>
      </w:r>
    </w:p>
    <w:p>
      <w:pPr>
        <w:pStyle w:val="BodyText"/>
      </w:pPr>
      <w:r>
        <w:t xml:space="preserve">The document is careful about the limits of the AD4 simulator. It provides qualitative stability analysis rather than precise methane forecasting. Several kinetic parameters are drawn from literature defaults, mainly Benyahia et al. (2012), rather than being fully calibrated to the specific plant. The document recommends using Buswell and OLR calculations for methane yield planning, while using AD4 tools for stability and washout-risk reasoning.</w:t>
      </w:r>
    </w:p>
    <w:p>
      <w:pPr>
        <w:pStyle w:val="BodyText"/>
      </w:pPr>
      <w:r>
        <w:rPr>
          <w:b/>
          <w:bCs/>
        </w:rPr>
        <w:t xml:space="preserve">Layer 3b: EnKF State Estimation</w:t>
      </w:r>
      <w:r>
        <w:t xml:space="preserve"> </w:t>
      </w:r>
      <w:r>
        <w:t xml:space="preserve">uses an Ensemble Kalman Filter to estimate hidden digester states, especially S2 volatile fatty acids and X2 methanogen biomass. At farm scale, these are often not directly measured. The EnKF uses observable data such as biogas flow, methane percentage, and temperature to estimate internal process states. It runs an ensemble of 100 possible digester states and updates the estimates when new measurements arrive.</w:t>
      </w:r>
    </w:p>
    <w:p>
      <w:pPr>
        <w:pStyle w:val="BodyText"/>
      </w:pPr>
      <w:r>
        <w:t xml:space="preserve">The EnKF tools include</w:t>
      </w:r>
      <w:r>
        <w:t xml:space="preserve"> </w:t>
      </w:r>
      <w:r>
        <w:rPr>
          <w:rStyle w:val="VerbatimChar"/>
        </w:rPr>
        <w:t xml:space="preserve">enkf_initialise</w:t>
      </w:r>
      <w:r>
        <w:t xml:space="preserve">,</w:t>
      </w:r>
      <w:r>
        <w:t xml:space="preserve"> </w:t>
      </w:r>
      <w:r>
        <w:rPr>
          <w:rStyle w:val="VerbatimChar"/>
        </w:rPr>
        <w:t xml:space="preserve">enkf_update</w:t>
      </w:r>
      <w:r>
        <w:t xml:space="preserve">, and</w:t>
      </w:r>
      <w:r>
        <w:t xml:space="preserve"> </w:t>
      </w:r>
      <w:r>
        <w:rPr>
          <w:rStyle w:val="VerbatimChar"/>
        </w:rPr>
        <w:t xml:space="preserve">enkf_status</w:t>
      </w:r>
      <w:r>
        <w:t xml:space="preserve">. Outputs include estimated S2, uncertainty intervals, souring probability, risk level, operator guidance, and seven-day S2 trends. The document repeatedly emphasizes that EnKF results are model estimates, not direct measurements. If uncertainty becomes too large, especially if S2 standard deviation exceeds 20 mmol/L, the operator should request a FOS/TAC measurement before making operational decisions.</w:t>
      </w:r>
    </w:p>
    <w:p>
      <w:pPr>
        <w:pStyle w:val="BodyText"/>
      </w:pPr>
      <w:r>
        <w:t xml:space="preserve">For SCADA integration, the system requires at minimum two sensor variables:</w:t>
      </w:r>
      <w:r>
        <w:t xml:space="preserve"> </w:t>
      </w:r>
      <w:r>
        <w:rPr>
          <w:rStyle w:val="VerbatimChar"/>
        </w:rPr>
        <w:t xml:space="preserve">biogas_flow_nm3h</w:t>
      </w:r>
      <w:r>
        <w:t xml:space="preserve"> </w:t>
      </w:r>
      <w:r>
        <w:t xml:space="preserve">and</w:t>
      </w:r>
      <w:r>
        <w:t xml:space="preserve"> </w:t>
      </w:r>
      <w:r>
        <w:rPr>
          <w:rStyle w:val="VerbatimChar"/>
        </w:rPr>
        <w:t xml:space="preserve">ch4_pct</w:t>
      </w:r>
      <w:r>
        <w:t xml:space="preserve">. These are necessary for methane flow calculation and EnKF observation input.</w:t>
      </w:r>
      <w:r>
        <w:t xml:space="preserve"> </w:t>
      </w:r>
      <w:r>
        <w:rPr>
          <w:rStyle w:val="VerbatimChar"/>
        </w:rPr>
        <w:t xml:space="preserve">digester_temp_c</w:t>
      </w:r>
      <w:r>
        <w:t xml:space="preserve"> </w:t>
      </w:r>
      <w:r>
        <w:t xml:space="preserve">is strongly recommended because temperature affects AD4 and EnKF calculations. Other useful optional variables include VFA, pH, H₂S, alkalinity, and FOS/TAC measurements.</w:t>
      </w:r>
    </w:p>
    <w:p>
      <w:pPr>
        <w:pStyle w:val="BodyText"/>
      </w:pPr>
      <w:r>
        <w:t xml:space="preserve">The SCADA data pipeline has three stages. First,</w:t>
      </w:r>
      <w:r>
        <w:t xml:space="preserve"> </w:t>
      </w:r>
      <w:r>
        <w:rPr>
          <w:rStyle w:val="VerbatimChar"/>
        </w:rPr>
        <w:t xml:space="preserve">scada_mapper.py</w:t>
      </w:r>
      <w:r>
        <w:t xml:space="preserve"> </w:t>
      </w:r>
      <w:r>
        <w:t xml:space="preserve">auto-detects vendor-specific or generic column names and maps them to standard variables. Second, StateBuffer applies CUSUM anomaly detection and stores clean values in SQLite while preserving raw telemetry for audit. Third,</w:t>
      </w:r>
      <w:r>
        <w:t xml:space="preserve"> </w:t>
      </w:r>
      <w:r>
        <w:rPr>
          <w:rStyle w:val="VerbatimChar"/>
        </w:rPr>
        <w:t xml:space="preserve">get_plant_state()</w:t>
      </w:r>
      <w:r>
        <w:t xml:space="preserve"> </w:t>
      </w:r>
      <w:r>
        <w:t xml:space="preserve">provides the latest clean row to the AI and forward-fills values where sensors report at different frequencies.</w:t>
      </w:r>
    </w:p>
    <w:p>
      <w:pPr>
        <w:pStyle w:val="BodyText"/>
      </w:pPr>
      <w:r>
        <w:t xml:space="preserve">CUSUM filtering is used to catch sensor spikes, stuck probes, and sudden implausible changes. The document gives default CUSUM parameters for temperature, pH, biogas flow, methane percentage, and H₂S. These parameters are tunable through</w:t>
      </w:r>
      <w:r>
        <w:t xml:space="preserve"> </w:t>
      </w:r>
      <w:r>
        <w:rPr>
          <w:rStyle w:val="VerbatimChar"/>
        </w:rPr>
        <w:t xml:space="preserve">site_config.json</w:t>
      </w:r>
      <w:r>
        <w:t xml:space="preserve">, which also controls digester geometry, temperature profiles, alert thresholds, daily assessment thresholds, SCADA tag mapping, and ingest-daemon settings.</w:t>
      </w:r>
    </w:p>
    <w:p>
      <w:r>
        <w:pict>
          <v:rect style="width:0;height:1.5pt" o:hralign="center" o:hrstd="t" o:hr="t"/>
        </w:pict>
      </w:r>
    </w:p>
    <w:bookmarkEnd w:id="22"/>
    <w:bookmarkStart w:id="23" w:name="X9ab9d0a0cc2996cf70b76193ddffa9fb891d89e"/>
    <w:p>
      <w:pPr>
        <w:pStyle w:val="Heading2"/>
      </w:pPr>
      <w:r>
        <w:t xml:space="preserve">Page 3 — Calibration, Operational Value, Limitations, and Example Use</w:t>
      </w:r>
    </w:p>
    <w:p>
      <w:pPr>
        <w:pStyle w:val="FirstParagraph"/>
      </w:pPr>
      <w:r>
        <w:t xml:space="preserve">The calibration layer is designed to be explicit and operator-controlled. Calibration is not AI-driven. The operator edits parameters in</w:t>
      </w:r>
      <w:r>
        <w:t xml:space="preserve"> </w:t>
      </w:r>
      <w:r>
        <w:rPr>
          <w:rStyle w:val="VerbatimChar"/>
        </w:rPr>
        <w:t xml:space="preserve">biomethane_calibration.py</w:t>
      </w:r>
      <w:r>
        <w:t xml:space="preserve"> </w:t>
      </w:r>
      <w:r>
        <w:t xml:space="preserve">and reruns</w:t>
      </w:r>
      <w:r>
        <w:t xml:space="preserve"> </w:t>
      </w:r>
      <w:r>
        <w:rPr>
          <w:rStyle w:val="VerbatimChar"/>
        </w:rPr>
        <w:t xml:space="preserve">bio_cli.py calibrate ...</w:t>
      </w:r>
      <w:r>
        <w:t xml:space="preserve"> </w:t>
      </w:r>
      <w:r>
        <w:t xml:space="preserve">commands. Parameters are classified according to their source and trust level. Dilution rate comes from the HRT column in the dataset. The methane yield coefficient k6 is fitted to measured methane observations and bounded by Buswell calculations. Other parameters such as Ki2, mu2_max, Ks2, k2, and k3 remain literature values from Benyahia et al. because they are not identifiable without direct S2 measurements and controlled experiments.</w:t>
      </w:r>
    </w:p>
    <w:p>
      <w:pPr>
        <w:pStyle w:val="BodyText"/>
      </w:pPr>
      <w:r>
        <w:t xml:space="preserve">After calibration,</w:t>
      </w:r>
      <w:r>
        <w:t xml:space="preserve"> </w:t>
      </w:r>
      <w:r>
        <w:rPr>
          <w:rStyle w:val="VerbatimChar"/>
        </w:rPr>
        <w:t xml:space="preserve">generate_model_card.py</w:t>
      </w:r>
      <w:r>
        <w:t xml:space="preserve"> </w:t>
      </w:r>
      <w:r>
        <w:t xml:space="preserve">regenerates the RAG model card so retrieved technical knowledge reflects the current parameter set. A</w:t>
      </w:r>
      <w:r>
        <w:t xml:space="preserve"> </w:t>
      </w:r>
      <w:r>
        <w:rPr>
          <w:rStyle w:val="VerbatimChar"/>
        </w:rPr>
        <w:t xml:space="preserve">calibration_log.jsonl</w:t>
      </w:r>
      <w:r>
        <w:t xml:space="preserve"> </w:t>
      </w:r>
      <w:r>
        <w:t xml:space="preserve">file maintains a timestamped history of parameter sets.</w:t>
      </w:r>
    </w:p>
    <w:p>
      <w:pPr>
        <w:pStyle w:val="BodyText"/>
      </w:pPr>
      <w:r>
        <w:t xml:space="preserve">The system manages a live</w:t>
      </w:r>
      <w:r>
        <w:t xml:space="preserve"> </w:t>
      </w:r>
      <w:r>
        <w:rPr>
          <w:rStyle w:val="VerbatimChar"/>
        </w:rPr>
        <w:t xml:space="preserve">plant_state</w:t>
      </w:r>
      <w:r>
        <w:t xml:space="preserve"> </w:t>
      </w:r>
      <w:r>
        <w:t xml:space="preserve">record with variables such as digester temperature, pH, VFA, biogas flow, methane percentage, H₂S, biomethane purity, organic loading rate, hydraulic retention time, and FOS/TAC results. Each variable has associated interpretations or alert thresholds. Examples include pH below 6.8 or above 7.8, VFA above 8 mmol/L as a warning and above 30 mmol/L as critical, H₂S above 200 ppm as a warning and above 500 ppm as critical, biomethane purity below 97% as below grid-injection quality, and HRT below 15 days as a warning.</w:t>
      </w:r>
    </w:p>
    <w:p>
      <w:pPr>
        <w:pStyle w:val="BodyText"/>
      </w:pPr>
      <w:r>
        <w:t xml:space="preserve">For farm operators, the system’s practical value lies in translating raw operational data into usable guidance. It can interpret thresholds, support feedstock planning, calculate safety margins under changing temperatures, monitor daily VFA trends, assess acidification through FOS/TAC ratio, run what-if perturbation scenarios, and maintain privacy by keeping computation local.</w:t>
      </w:r>
    </w:p>
    <w:p>
      <w:pPr>
        <w:pStyle w:val="BodyText"/>
      </w:pPr>
      <w:r>
        <w:t xml:space="preserve">The system also has important limitations. The AD4 simulator is not calibrated for quantitative methane forecasting. The four-state model does not represent pH, alkalinity, ammonia inhibition, or detailed microbial ecology. Ammonia issues can trigger alerts but are not simulated dynamically. StateBuffer only retains 48 hours of clean data, so long-term analysis requires replay tools. The local language model may handle direct lookup questions well but can struggle with complex multi-factor reasoning across several tool outputs.</w:t>
      </w:r>
    </w:p>
    <w:p>
      <w:pPr>
        <w:pStyle w:val="BodyText"/>
      </w:pPr>
      <w:r>
        <w:t xml:space="preserve">The example scenario in the document shows how the assistant might respond when biogas flow drops 18% over three days. The AI first checks EnKF status and finds estimated VFA rising, with a moderate souring probability. It then checks the critical dilution rate and determines that washout margin is still safe at the current temperature. It also checks the FOS/TAC ratio and finds it elevated. The final response identifies early overloading risk rather than immediate washout, recommends reducing feed rate by 15–20% for five days, monitoring the VFA trend, and requesting a FOS/TAC measurement to confirm the estimate.</w:t>
      </w:r>
    </w:p>
    <w:p>
      <w:pPr>
        <w:pStyle w:val="BodyText"/>
      </w:pPr>
      <w:r>
        <w:t xml:space="preserve">The document also explains the supporting concepts of MCP and RAG. MCP is described as the bridge between the AI and a trusted toolbox. The AI interprets and explains, while MCP tools read sensors and perform calculations. RAG is described as the retrieval mechanism that gives the local model access to a curated technical library without needing to retrain the model. This is especially important because a small model running locally can answer specialized questions only if relevant technical chunks are retrieved and placed into context.</w:t>
      </w:r>
    </w:p>
    <w:p>
      <w:pPr>
        <w:pStyle w:val="BodyText"/>
      </w:pPr>
      <w:r>
        <w:t xml:space="preserve">The appendices define important anaerobic digestion terminology and describe the AD4 simulator in more detail. VFA refers to volatile fatty acids, FOS refers to fermentable organic acids, TAC means total alkalinity capacity, and HRT means hydraulic retention time. The AD4 model uses growth kinetics for acidogens and methanogens, CSTR mass balances, methane production equations, and temperature correction. The model assumes perfect mixing and remains a simplified representation of a much more complex microbial ecosystem.</w:t>
      </w:r>
    </w:p>
    <w:p>
      <w:pPr>
        <w:pStyle w:val="BodyText"/>
      </w:pPr>
      <w:r>
        <w:t xml:space="preserve">The document concludes that better sensors, especially a continuous S2 or VFA sensor, would improve the EnKF state estimation layer. However, better data does not remove the fundamental limitations of the simplified AD4 model. At farm scale, a single VFA probe may not represent the whole digester, and some parameters remain difficult to identify from routine operational data. Therefore, the system is valuable as an early-warning and decision-support tool, but its outputs must be interpreted with uncertainty and operational judgment.</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2026-06-11T01:48:47Z</dcterms:created>
  <dcterms:modified xsi:type="dcterms:W3CDTF">2026-06-11T01:48:47Z</dcterms:modified>
</cp:coreProperties>
</file>

<file path=docProps/custom.xml><?xml version="1.0" encoding="utf-8"?>
<Properties xmlns="http://schemas.openxmlformats.org/officeDocument/2006/custom-properties" xmlns:vt="http://schemas.openxmlformats.org/officeDocument/2006/docPropsVTypes"/>
</file>