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br/>
        <w:br/>
      </w:r>
    </w:p>
    <w:p>
      <w:pPr>
        <w:pStyle w:val="Title"/>
        <w:jc w:val="center"/>
      </w:pPr>
      <w:r>
        <w:t>AI-Enabled Business Efficiency Improvement in Academic Settings</w:t>
      </w:r>
    </w:p>
    <w:p>
      <w:pPr>
        <w:pStyle w:val="Subtitle"/>
        <w:jc w:val="center"/>
      </w:pPr>
      <w:r>
        <w:t>A comprehensive research report on implementation methods, governance, measurement, and small-scale pilots</w:t>
      </w:r>
    </w:p>
    <w:p>
      <w:r>
        <w:br/>
      </w:r>
    </w:p>
    <w:p>
      <w:pPr>
        <w:jc w:val="center"/>
      </w:pPr>
      <w:r>
        <w:rPr>
          <w:b/>
          <w:sz w:val="24"/>
        </w:rPr>
        <w:t>Prepared as a practical evidence-based guide for universities and colleges</w:t>
      </w:r>
    </w:p>
    <w:p>
      <w:pPr>
        <w:jc w:val="center"/>
      </w:pPr>
      <w:r>
        <w:t>August 2026</w:t>
      </w:r>
    </w:p>
    <w:p>
      <w:r>
        <w:br/>
        <w:br/>
      </w:r>
    </w:p>
    <w:tbl>
      <w:tblPr>
        <w:tblStyle w:val="TableGrid"/>
        <w:tblW w:type="auto" w:w="0"/>
        <w:jc w:val="center"/>
        <w:tblLook w:firstColumn="1" w:firstRow="1" w:lastColumn="0" w:lastRow="0" w:noHBand="0" w:noVBand="1" w:val="04A0"/>
      </w:tblPr>
      <w:tblGrid>
        <w:gridCol w:w="9792"/>
      </w:tblGrid>
      <w:tr>
        <w:tc>
          <w:tcPr>
            <w:tcW w:type="dxa" w:w="9792"/>
            <w:shd w:fill="EAF2F8"/>
          </w:tcPr>
          <w:p>
            <w:pPr>
              <w:jc w:val="center"/>
            </w:pPr>
            <w:r>
              <w:rPr>
                <w:b/>
                <w:sz w:val="24"/>
              </w:rPr>
              <w:t>Central conclusion</w:t>
            </w:r>
          </w:p>
          <w:p>
            <w:pPr>
              <w:jc w:val="center"/>
            </w:pPr>
            <w:r>
              <w:t>The most reliable path is to start with a bounded, repetitive, low-consequence workflow; operate the AI in shadow mode; retain human accountability; measure results against a baseline; and expand only when quality, risk, staff experience, and economic thresholds are met.</w:t>
            </w:r>
          </w:p>
        </w:tc>
      </w:tr>
    </w:tbl>
    <w:p>
      <w:r>
        <w:br w:type="page"/>
      </w:r>
    </w:p>
    <w:p>
      <w:pPr>
        <w:pStyle w:val="Heading1"/>
      </w:pPr>
      <w:r>
        <w:t>Executive Summary</w:t>
      </w:r>
    </w:p>
    <w:p>
      <w:r>
        <w:t>Artificial intelligence can improve administrative efficiency in universities, but the gains do not arise simply from purchasing a generative AI product. Successful programs treat AI implementation as a form of operational redesign. They identify a defined service problem, simplify the underlying process, separate routine work from judgment-intensive work, introduce AI into a limited portion of the workflow, and test the complete human–technology system before scaling it.</w:t>
      </w:r>
    </w:p>
    <w:p>
      <w:r>
        <w:t>Academic institutions require particular caution because their operations are decentralized, policy-rich, and dependent on professional judgment. Administrative communications may contain student records, disability information, health information, employment matters, research data, financial details, or allegations of misconduct. An apparently routine efficiency project can therefore create privacy, equity, due-process, and reputational risks if its scope is not carefully controlled.</w:t>
      </w:r>
    </w:p>
    <w:p>
      <w:r>
        <w:t>The available productivity evidence is encouraging but task-dependent. Controlled and field studies show that generative AI can reduce time and improve output on certain writing and customer-support tasks. The largest benefits frequently accrue to less-experienced workers because AI makes organizational knowledge and effective response patterns more accessible. These results support the use of AI for drafting, classification, retrieval, and routine guidance. They do not justify delegating high-consequence institutional decisions to a model.</w:t>
      </w:r>
    </w:p>
    <w:p>
      <w:r>
        <w:t>A “start small” strategy is therefore not merely conservative. It is a sound experimental and organizational approach. Email triage is a particularly suitable first pilot when it is limited to proposing labels, priorities, destinations, summaries, and draft acknowledgements. The system should initially operate without sending messages, changing records, determining eligibility, or making admissions, employment, disciplinary, accommodation, or academic decisions.</w:t>
      </w:r>
    </w:p>
    <w:p>
      <w:r>
        <w:t>The recommended implementation path has eight stages: define the operational problem; map and simplify the existing process; choose a low-risk slice; establish a baseline; test in shadow mode; introduce human-reviewed assistance; evaluate efficiency, quality, risk, economics, and staff experience; and make an explicit stop, revise, or scale decision. Predetermined thresholds are important because pilot enthusiasm can otherwise substitute for evidence.</w:t>
      </w:r>
    </w:p>
    <w:p>
      <w:r>
        <w:t>The report concludes with a detailed email-triage pilot design, a governance model, an evaluation scorecard, procurement questions, a twelve-month institutional roadmap, and templates that can be adapted by an academic unit.</w:t>
      </w:r>
    </w:p>
    <w:p>
      <w:pPr>
        <w:pStyle w:val="Heading1"/>
      </w:pPr>
      <w:r>
        <w:t>Contents</w:t>
      </w:r>
    </w:p>
    <w:p>
      <w:r>
        <w:t>1. Purpose and scope</w:t>
      </w:r>
    </w:p>
    <w:p>
      <w:r>
        <w:t>2. What AI-enabled efficiency improvement means</w:t>
      </w:r>
    </w:p>
    <w:p>
      <w:r>
        <w:t>3. Why academic settings require a distinct approach</w:t>
      </w:r>
    </w:p>
    <w:p>
      <w:r>
        <w:t>4. Evidence on productivity and organizational performance</w:t>
      </w:r>
    </w:p>
    <w:p>
      <w:r>
        <w:t>5. The “start small” implementation philosophy</w:t>
      </w:r>
    </w:p>
    <w:p>
      <w:r>
        <w:t>6. A staged implementation methodology</w:t>
      </w:r>
    </w:p>
    <w:p>
      <w:r>
        <w:t>7. Email triage as a first pilot</w:t>
      </w:r>
    </w:p>
    <w:p>
      <w:r>
        <w:t>8. Evaluation and benefit realization</w:t>
      </w:r>
    </w:p>
    <w:p>
      <w:r>
        <w:t>9. Governance, privacy, security, and responsible use</w:t>
      </w:r>
    </w:p>
    <w:p>
      <w:r>
        <w:t>10. Workforce and change-management considerations</w:t>
      </w:r>
    </w:p>
    <w:p>
      <w:r>
        <w:t>11. Technical and procurement architecture</w:t>
      </w:r>
    </w:p>
    <w:p>
      <w:r>
        <w:t>12. Other suitable early use cases</w:t>
      </w:r>
    </w:p>
    <w:p>
      <w:r>
        <w:t>13. Use cases that should not be early pilots</w:t>
      </w:r>
    </w:p>
    <w:p>
      <w:r>
        <w:t>14. Common failure patterns</w:t>
      </w:r>
    </w:p>
    <w:p>
      <w:r>
        <w:t>15. Twelve-month roadmap</w:t>
      </w:r>
    </w:p>
    <w:p>
      <w:r>
        <w:t>16. Recommendations</w:t>
      </w:r>
    </w:p>
    <w:p>
      <w:r>
        <w:t>Appendices</w:t>
      </w:r>
    </w:p>
    <w:p>
      <w:r>
        <w:t>References</w:t>
      </w:r>
    </w:p>
    <w:p>
      <w:r>
        <w:br w:type="page"/>
      </w:r>
    </w:p>
    <w:p>
      <w:pPr>
        <w:pStyle w:val="Heading1"/>
      </w:pPr>
      <w:r>
        <w:t>1. Purpose and Scope</w:t>
      </w:r>
    </w:p>
    <w:p>
      <w:r>
        <w:t>This report examines how organizations conduct AI-enabled business efficiency improvement, with special attention to universities and colleges. “Business efficiency” is used broadly to include administrative productivity, service speed, consistency, capacity, quality, and the reduction of avoidable work. It does not imply that every benefit must be converted into staffing reductions. In academic settings, increased capacity, reduced backlog, improved response time, and more time for high-value student or research support may be the most important outcomes.</w:t>
      </w:r>
    </w:p>
    <w:p>
      <w:r>
        <w:t>The report focuses primarily on administrative and professional-services work rather than teaching, grading, or student use of generative AI. Teaching and learning are relevant to institutional governance, but they involve different educational objectives and academic-integrity considerations. The principal concern here is the redesign of operational workflows such as shared inboxes, service requests, document preparation, policy retrieval, research administration, meeting support, form checking, and internal knowledge work.</w:t>
      </w:r>
    </w:p>
    <w:p>
      <w:r>
        <w:t>The analysis draws on higher-education sector guidance, public governance frameworks, empirical workplace productivity research, academic literature on email triage, and published institutional case studies. The evidence base for administrative generative AI in higher education is still developing. Accordingly, the report distinguishes established findings from reasonable implementation inferences and recommends local evaluation rather than reliance on generalized vendor claims.</w:t>
      </w:r>
    </w:p>
    <w:p>
      <w:pPr>
        <w:pStyle w:val="Heading1"/>
      </w:pPr>
      <w:r>
        <w:t>2. What AI-Enabled Efficiency Improvement Means</w:t>
      </w:r>
    </w:p>
    <w:p>
      <w:r>
        <w:t>AI-enabled efficiency improvement is best understood as a combination of process analysis, task redesign, data preparation, technology deployment, human oversight, and performance measurement. The central unit of analysis is not the AI model. It is the workflow. A model may perform well in a demonstration yet fail to improve the workflow because staff must spend excessive time checking it, exceptions are not handled, integration is weak, or the output arrives at the wrong point in the process.</w:t>
      </w:r>
    </w:p>
    <w:p>
      <w:r>
        <w:t>Organizations commonly move through several levels of AI involvement. The levels should be treated as distinct risk categories rather than as interchangeable forms of “automation.”</w:t>
      </w:r>
    </w:p>
    <w:tbl>
      <w:tblPr>
        <w:tblStyle w:val="TableGrid"/>
        <w:tblW w:type="auto" w:w="0"/>
        <w:jc w:val="center"/>
        <w:tblLook w:firstColumn="1" w:firstRow="1" w:lastColumn="0" w:lastRow="0" w:noHBand="0" w:noVBand="1" w:val="04A0"/>
      </w:tblPr>
      <w:tblGrid>
        <w:gridCol w:w="2448"/>
        <w:gridCol w:w="2448"/>
        <w:gridCol w:w="2448"/>
        <w:gridCol w:w="2448"/>
      </w:tblGrid>
      <w:tr>
        <w:trPr>
          <w:tblHeader w:val="true"/>
        </w:trPr>
        <w:tc>
          <w:tcPr>
            <w:tcW w:type="dxa" w:w="1512"/>
            <w:shd w:fill="D9E2F3"/>
            <w:vAlign w:val="center"/>
          </w:tcPr>
          <w:p>
            <w:r>
              <w:rPr>
                <w:b/>
              </w:rPr>
              <w:t>Level</w:t>
            </w:r>
          </w:p>
        </w:tc>
        <w:tc>
          <w:tcPr>
            <w:tcW w:type="dxa" w:w="2520"/>
            <w:shd w:fill="D9E2F3"/>
            <w:vAlign w:val="center"/>
          </w:tcPr>
          <w:p>
            <w:r>
              <w:rPr>
                <w:b/>
              </w:rPr>
              <w:t>AI role</w:t>
            </w:r>
          </w:p>
        </w:tc>
        <w:tc>
          <w:tcPr>
            <w:tcW w:type="dxa" w:w="3528"/>
            <w:shd w:fill="D9E2F3"/>
            <w:vAlign w:val="center"/>
          </w:tcPr>
          <w:p>
            <w:r>
              <w:rPr>
                <w:b/>
              </w:rPr>
              <w:t>Academic example</w:t>
            </w:r>
          </w:p>
        </w:tc>
        <w:tc>
          <w:tcPr>
            <w:tcW w:type="dxa" w:w="2376"/>
            <w:shd w:fill="D9E2F3"/>
            <w:vAlign w:val="center"/>
          </w:tcPr>
          <w:p>
            <w:r>
              <w:rPr>
                <w:b/>
              </w:rPr>
              <w:t>Typical control</w:t>
            </w:r>
          </w:p>
        </w:tc>
      </w:tr>
      <w:tr>
        <w:tc>
          <w:tcPr>
            <w:tcW w:type="dxa" w:w="1512"/>
            <w:vAlign w:val="top"/>
          </w:tcPr>
          <w:p>
            <w:r>
              <w:t>1. Assistance</w:t>
            </w:r>
          </w:p>
        </w:tc>
        <w:tc>
          <w:tcPr>
            <w:tcW w:type="dxa" w:w="2520"/>
            <w:vAlign w:val="top"/>
          </w:tcPr>
          <w:p>
            <w:r>
              <w:t>Produces a suggestion for a person</w:t>
            </w:r>
          </w:p>
        </w:tc>
        <w:tc>
          <w:tcPr>
            <w:tcW w:type="dxa" w:w="3528"/>
            <w:vAlign w:val="top"/>
          </w:tcPr>
          <w:p>
            <w:r>
              <w:t>Drafting a response to a routine inquiry</w:t>
            </w:r>
          </w:p>
        </w:tc>
        <w:tc>
          <w:tcPr>
            <w:tcW w:type="dxa" w:w="2376"/>
            <w:vAlign w:val="top"/>
          </w:tcPr>
          <w:p>
            <w:r>
              <w:t>Human reviews before use</w:t>
            </w:r>
          </w:p>
        </w:tc>
      </w:tr>
      <w:tr>
        <w:tc>
          <w:tcPr>
            <w:tcW w:type="dxa" w:w="1512"/>
            <w:vAlign w:val="top"/>
          </w:tcPr>
          <w:p>
            <w:r>
              <w:t>2. Triage</w:t>
            </w:r>
          </w:p>
        </w:tc>
        <w:tc>
          <w:tcPr>
            <w:tcW w:type="dxa" w:w="2520"/>
            <w:vAlign w:val="top"/>
          </w:tcPr>
          <w:p>
            <w:r>
              <w:t>Classifies, prioritizes, or routes work</w:t>
            </w:r>
          </w:p>
        </w:tc>
        <w:tc>
          <w:tcPr>
            <w:tcW w:type="dxa" w:w="3528"/>
            <w:vAlign w:val="top"/>
          </w:tcPr>
          <w:p>
            <w:r>
              <w:t>Suggesting the correct queue for an incoming email</w:t>
            </w:r>
          </w:p>
        </w:tc>
        <w:tc>
          <w:tcPr>
            <w:tcW w:type="dxa" w:w="2376"/>
            <w:vAlign w:val="top"/>
          </w:tcPr>
          <w:p>
            <w:r>
              <w:t>Confidence threshold and exception queue</w:t>
            </w:r>
          </w:p>
        </w:tc>
      </w:tr>
      <w:tr>
        <w:tc>
          <w:tcPr>
            <w:tcW w:type="dxa" w:w="1512"/>
            <w:vAlign w:val="top"/>
          </w:tcPr>
          <w:p>
            <w:r>
              <w:t>3. Workflow automation</w:t>
            </w:r>
          </w:p>
        </w:tc>
        <w:tc>
          <w:tcPr>
            <w:tcW w:type="dxa" w:w="2520"/>
            <w:vAlign w:val="top"/>
          </w:tcPr>
          <w:p>
            <w:r>
              <w:t>Transfers information or initiates a reversible process</w:t>
            </w:r>
          </w:p>
        </w:tc>
        <w:tc>
          <w:tcPr>
            <w:tcW w:type="dxa" w:w="3528"/>
            <w:vAlign w:val="top"/>
          </w:tcPr>
          <w:p>
            <w:r>
              <w:t>Creating a service ticket from an approved classification</w:t>
            </w:r>
          </w:p>
        </w:tc>
        <w:tc>
          <w:tcPr>
            <w:tcW w:type="dxa" w:w="2376"/>
            <w:vAlign w:val="top"/>
          </w:tcPr>
          <w:p>
            <w:r>
              <w:t>Audit log and rollback</w:t>
            </w:r>
          </w:p>
        </w:tc>
      </w:tr>
      <w:tr>
        <w:tc>
          <w:tcPr>
            <w:tcW w:type="dxa" w:w="1512"/>
            <w:vAlign w:val="top"/>
          </w:tcPr>
          <w:p>
            <w:r>
              <w:t>4. Decision support</w:t>
            </w:r>
          </w:p>
        </w:tc>
        <w:tc>
          <w:tcPr>
            <w:tcW w:type="dxa" w:w="2520"/>
            <w:vAlign w:val="top"/>
          </w:tcPr>
          <w:p>
            <w:r>
              <w:t>Recommends an action using evidence</w:t>
            </w:r>
          </w:p>
        </w:tc>
        <w:tc>
          <w:tcPr>
            <w:tcW w:type="dxa" w:w="3528"/>
            <w:vAlign w:val="top"/>
          </w:tcPr>
          <w:p>
            <w:r>
              <w:t>Identifying potentially applicable policy provisions</w:t>
            </w:r>
          </w:p>
        </w:tc>
        <w:tc>
          <w:tcPr>
            <w:tcW w:type="dxa" w:w="2376"/>
            <w:vAlign w:val="top"/>
          </w:tcPr>
          <w:p>
            <w:r>
              <w:t>Source citation and accountable decision-maker</w:t>
            </w:r>
          </w:p>
        </w:tc>
      </w:tr>
      <w:tr>
        <w:tc>
          <w:tcPr>
            <w:tcW w:type="dxa" w:w="1512"/>
            <w:vAlign w:val="top"/>
          </w:tcPr>
          <w:p>
            <w:r>
              <w:t>5. Autonomous action</w:t>
            </w:r>
          </w:p>
        </w:tc>
        <w:tc>
          <w:tcPr>
            <w:tcW w:type="dxa" w:w="2520"/>
            <w:vAlign w:val="top"/>
          </w:tcPr>
          <w:p>
            <w:r>
              <w:t>Takes an action without prior human approval</w:t>
            </w:r>
          </w:p>
        </w:tc>
        <w:tc>
          <w:tcPr>
            <w:tcW w:type="dxa" w:w="3528"/>
            <w:vAlign w:val="top"/>
          </w:tcPr>
          <w:p>
            <w:r>
              <w:t>Sending a final determination or altering a record</w:t>
            </w:r>
          </w:p>
        </w:tc>
        <w:tc>
          <w:tcPr>
            <w:tcW w:type="dxa" w:w="2376"/>
            <w:vAlign w:val="top"/>
          </w:tcPr>
          <w:p>
            <w:r>
              <w:t>Generally unsuitable for early pilots</w:t>
            </w:r>
          </w:p>
        </w:tc>
      </w:tr>
    </w:tbl>
    <w:p/>
    <w:p>
      <w:r>
        <w:t>The value of this model is that it prevents institutions from using the word “AI” to obscure important differences. A system that proposes a label is not equivalent to one that sends a decision. A system that retrieves an approved policy passage is not equivalent to one that decides whether a student qualifies for an exception. Each increase in autonomy requires stronger evidence, clearer accountability, and more robust safeguards.</w:t>
      </w:r>
    </w:p>
    <w:p>
      <w:pPr>
        <w:pStyle w:val="Heading2"/>
      </w:pPr>
      <w:r>
        <w:t>2.1 Efficiency, effectiveness, and service quality</w:t>
      </w:r>
    </w:p>
    <w:p>
      <w:r>
        <w:t>Efficiency refers to the resources required to produce an output. Effectiveness refers to whether the output achieves its purpose. Service quality concerns the experience and outcome for the person receiving the service. An AI system may reduce handling time while increasing corrections, producing impersonal replies, or making it harder to reach a knowledgeable staff member. A credible evaluation must therefore measure all three dimensions.</w:t>
      </w:r>
    </w:p>
    <w:p>
      <w:r>
        <w:t>Universities should also distinguish four types of benefit: cashable savings, capacity release, risk reduction, and quality improvement. Cashable savings reduce actual expenditure. Capacity release allows existing staff to handle more work or focus on more complex responsibilities. Risk reduction lowers the probability or cost of errors. Quality improvement produces faster, more consistent, or more accessible service. These benefits are valuable but should not be combined into a single inflated return-on-investment number.</w:t>
      </w:r>
    </w:p>
    <w:p>
      <w:pPr>
        <w:pStyle w:val="Heading1"/>
      </w:pPr>
      <w:r>
        <w:t>3. Why Academic Settings Require a Distinct Approach</w:t>
      </w:r>
    </w:p>
    <w:p>
      <w:r>
        <w:t>Universities resemble large professional-service organizations, but several institutional characteristics make their AI implementations unusually complex. These characteristics do not rule out efficiency improvement; they determine how pilots should be selected and governed.</w:t>
      </w:r>
    </w:p>
    <w:p>
      <w:pPr>
        <w:pStyle w:val="Heading2"/>
      </w:pPr>
      <w:r>
        <w:t>3.1 Decentralized authority and local variation</w:t>
      </w:r>
    </w:p>
    <w:p>
      <w:r>
        <w:t>Academic institutions distribute authority among central administration, faculties, schools, departments, institutes, libraries, research offices, and individual academic leaders. Procedures that appear standardized at the institutional level often contain local interpretations and exceptions. A classifier trained on the categories of one faculty may route messages incorrectly in another. Early pilots should therefore have a narrow organizational boundary and a clearly identified process owner.</w:t>
      </w:r>
    </w:p>
    <w:p>
      <w:pPr>
        <w:pStyle w:val="Heading2"/>
      </w:pPr>
      <w:r>
        <w:t>3.2 Policy density and exceptional cases</w:t>
      </w:r>
    </w:p>
    <w:p>
      <w:r>
        <w:t>University administration depends heavily on policies, collective agreements, regulations, accreditation requirements, sponsor rules, and professional standards. Routine cases may be easy to classify, while the small number of exceptional cases require experienced judgment. AI systems tend to produce plausible answers even when the governing rule is ambiguous or missing. For this reason, systems should be designed to abstain and escalate rather than being forced to provide an answer to every case.</w:t>
      </w:r>
    </w:p>
    <w:p>
      <w:pPr>
        <w:pStyle w:val="Heading2"/>
      </w:pPr>
      <w:r>
        <w:t>3.3 Sensitive and heterogeneous information</w:t>
      </w:r>
    </w:p>
    <w:p>
      <w:r>
        <w:t>Administrative records may include educational records, disability information, health information, financial information, immigration status, employment records, research data, intellectual property, donor information, and allegations involving safety or misconduct. Data classification must precede tool selection. Public consumer AI services should not be assumed suitable for institutional information simply because they are easy to access.</w:t>
      </w:r>
    </w:p>
    <w:p>
      <w:pPr>
        <w:pStyle w:val="Heading2"/>
      </w:pPr>
      <w:r>
        <w:t>3.4 Rights, fairness, and due process</w:t>
      </w:r>
    </w:p>
    <w:p>
      <w:r>
        <w:t>A mistake involving a meeting summary is qualitatively different from a mistake involving admission, financial aid, accommodation, employment, academic standing, or discipline. High-consequence activities require human accountability, explanation, review, and appeal. Efficiency goals should never remove the ability of an affected person to obtain meaningful human consideration.</w:t>
      </w:r>
    </w:p>
    <w:p>
      <w:pPr>
        <w:pStyle w:val="Heading2"/>
      </w:pPr>
      <w:r>
        <w:t>3.5 Collegial work and tacit knowledge</w:t>
      </w:r>
    </w:p>
    <w:p>
      <w:r>
        <w:t>Experienced administrators possess tacit knowledge that may not be documented in manuals or databases. They understand which cases are unusual, which stakeholders must be consulted, and how formal rules interact with institutional practice. Frontline staff are therefore not merely end users. They are subject-matter experts whose participation is necessary for process mapping, category design, exception handling, testing, and interpretation of errors.</w:t>
      </w:r>
    </w:p>
    <w:p>
      <w:pPr>
        <w:pStyle w:val="Heading1"/>
      </w:pPr>
      <w:r>
        <w:t>4. Evidence on Productivity and Organizational Performance</w:t>
      </w:r>
    </w:p>
    <w:p>
      <w:r>
        <w:t>The empirical literature indicates that generative AI can improve performance on some knowledge-work tasks, but the magnitude and durability of improvement depend on task structure, worker experience, system design, and the quality of organizational knowledge available to the tool.</w:t>
      </w:r>
    </w:p>
    <w:p>
      <w:r>
        <w:t>A field study by Brynjolfsson, Li, and Raymond examined the staggered introduction of a generative AI assistant among more than five thousand customer-support agents. The published study found an average productivity increase of approximately 15 percent, measured as issues resolved per hour, with substantially larger gains among novice and lower-performing workers. The result suggests that AI can help distribute effective work practices and make organizational knowledge more accessible. It also shows that experienced workers may receive smaller direct productivity benefits because they already possess much of the knowledge the system provides (Brynjolfsson, Li, &amp; Raymond, 2025).</w:t>
      </w:r>
    </w:p>
    <w:p>
      <w:r>
        <w:t>Noy and Zhang conducted a preregistered experiment involving 453 college-educated professionals performing mid-level writing tasks. Participants with access to ChatGPT completed work approximately 40 percent faster and received quality ratings approximately 18 percent higher. The study is directly relevant to drafting, summarization, and routine professional communication, although it does not address complex institutional workflows or sensitive decisions (Noy &amp; Zhang, 2023).</w:t>
      </w:r>
    </w:p>
    <w:p>
      <w:r>
        <w:t>These findings should be interpreted cautiously. A task-level improvement is not automatically an organization-level improvement. If AI output requires extensive verification, introduces additional handoffs, creates new security work, or causes users to send more low-quality material, the apparent time saving may not translate into net benefit. The complete cost of implementation includes procurement, integration, data preparation, security review, training, monitoring, correction, governance, and periodic re-evaluation.</w:t>
      </w:r>
    </w:p>
    <w:p>
      <w:r>
        <w:t>Higher-education sector research shows widespread experimentation but limited measurement. The 2025 EDUCAUSE AI Landscape Study describes institutions as actively developing strategies, policies, training, and use cases while facing uneven readiness and an institutional digital divide. A subsequent EDUCAUSE study of AI and work in higher education, based on 1,960 responses collected in 2025, found that piloting was a common institutional strategy and that respondents saw repetitive-process automation and reduced administrative burden as important opportunities. At the same time, systematic measurement of return on investment was uncommon (EDUCAUSE, 2025, 2026).</w:t>
      </w:r>
    </w:p>
    <w:p>
      <w:r>
        <w:t>Jisc’s AI maturity toolkit similarly places structured pilots, responsible-use frameworks, workforce capability, and data maturity at the center of institutional progression. This supports a staged approach in which experimentation is organized and evaluated rather than dispersed through uncontrolled individual adoption (Jisc, 2024).</w:t>
      </w:r>
    </w:p>
    <w:p>
      <w:pPr>
        <w:pStyle w:val="Heading2"/>
      </w:pPr>
      <w:r>
        <w:t>4.1 What can reasonably be inferred</w:t>
      </w:r>
    </w:p>
    <w:p>
      <w:pPr>
        <w:pStyle w:val="ListBullet"/>
      </w:pPr>
      <w:r>
        <w:t>AI is most likely to produce reliable early gains where inputs and outputs are text-based, repetitive, and reviewable.</w:t>
      </w:r>
    </w:p>
    <w:p>
      <w:pPr>
        <w:pStyle w:val="ListBullet"/>
      </w:pPr>
      <w:r>
        <w:t>Tools that retrieve approved knowledge or propose routine language are easier to control than tools that make consequential judgments.</w:t>
      </w:r>
    </w:p>
    <w:p>
      <w:pPr>
        <w:pStyle w:val="ListBullet"/>
      </w:pPr>
      <w:r>
        <w:t>Less-experienced staff may gain disproportionately when AI provides access to well-curated institutional knowledge and examples.</w:t>
      </w:r>
    </w:p>
    <w:p>
      <w:pPr>
        <w:pStyle w:val="ListBullet"/>
      </w:pPr>
      <w:r>
        <w:t>Local workflow evaluation is necessary because general productivity studies do not establish performance in a particular university process.</w:t>
      </w:r>
    </w:p>
    <w:p>
      <w:pPr>
        <w:pStyle w:val="ListBullet"/>
      </w:pPr>
      <w:r>
        <w:t>Benefit realization depends on adoption, integration, correction cost, and process redesign, not only model accuracy.</w:t>
      </w:r>
    </w:p>
    <w:p>
      <w:pPr>
        <w:pStyle w:val="Heading1"/>
      </w:pPr>
      <w:r>
        <w:t>5. The “Start Small” Implementation Philosophy</w:t>
      </w:r>
    </w:p>
    <w:p>
      <w:r>
        <w:t>Starting small is sometimes criticized as insufficiently ambitious. In practice, it is the most disciplined way to build institutional capability. A bounded pilot allows the institution to learn how its data, policies, staff practices, procurement rules, and risk tolerances interact with AI. It produces evidence that can support or contradict assumptions before the organization incurs the cost and risk of broad deployment.</w:t>
      </w:r>
    </w:p>
    <w:p>
      <w:r>
        <w:t>A small pilot should be meaningful rather than trivial. It should address a real operational burden, involve enough cases to reveal variation, and include measures that matter to staff and service users. The objective is not to stage a demonstration in which the AI appears impressive. It is to determine whether a controlled intervention improves an actual service.</w:t>
      </w:r>
    </w:p>
    <w:p>
      <w:r>
        <w:t>Good early use cases share several properties: high frequency; relatively standardized inputs; a limited set of outcomes; low consequence from an isolated error; readily reversible actions; sufficient historical examples; an existing human review point; and a clear operational owner. Email triage, service-ticket classification, meeting-note preparation, document comparison, form completeness checking, and policy retrieval often meet these conditions.</w:t>
      </w:r>
    </w:p>
    <w:p>
      <w:r>
        <w:t>The “start small” principle should also apply to the degree of automation. The safest initial question is not “Can the AI handle the process?” It is “What is the smallest useful recommendation the AI can make while a person remains accountable?” This often leads to classification, summarization, retrieval, or drafting rather than autonomous execution.</w:t>
      </w:r>
    </w:p>
    <w:p>
      <w:pPr>
        <w:pStyle w:val="Heading1"/>
      </w:pPr>
      <w:r>
        <w:t>6. A Staged Implementation Methodology</w:t>
      </w:r>
    </w:p>
    <w:p>
      <w:r>
        <w:t>The following methodology combines process-improvement practice with AI-specific risk management. It can be used for email triage and adapted to other administrative workflows.</w:t>
      </w:r>
    </w:p>
    <w:p>
      <w:pPr>
        <w:pStyle w:val="Heading2"/>
      </w:pPr>
      <w:r>
        <w:t>Stage 1: Define the operational problem</w:t>
      </w:r>
    </w:p>
    <w:p>
      <w:r>
        <w:t>Begin with the service problem rather than the technology. Quantify backlog, handling time, delays, rework, misrouting, inconsistency, or staff burden. A useful problem statement identifies the unit, the workflow, the volume, the present performance, and the consequence of failure. “Implement an AI assistant” is not a problem statement.</w:t>
      </w:r>
    </w:p>
    <w:p>
      <w:pPr>
        <w:pStyle w:val="Heading2"/>
      </w:pPr>
      <w:r>
        <w:t>Stage 2: Map and simplify the current process</w:t>
      </w:r>
    </w:p>
    <w:p>
      <w:r>
        <w:t>Document inputs, decisions, handoffs, systems, exceptions, wait times, and failure points. Ask whether a clearer form, better website, revised policy, shared mailbox rule, or elimination of an approval step would solve part of the problem without AI. Automating an unnecessarily complex process preserves its defects.</w:t>
      </w:r>
    </w:p>
    <w:p>
      <w:pPr>
        <w:pStyle w:val="Heading2"/>
      </w:pPr>
      <w:r>
        <w:t>Stage 3: Select a low-risk slice</w:t>
      </w:r>
    </w:p>
    <w:p>
      <w:r>
        <w:t>Choose a subset of cases with routine patterns and low consequences. Define explicit exclusions for sensitive, high-consequence, or ambiguous messages. Create an “uncertain—human review” route so the system is not compelled to classify every item.</w:t>
      </w:r>
    </w:p>
    <w:p>
      <w:pPr>
        <w:pStyle w:val="Heading2"/>
      </w:pPr>
      <w:r>
        <w:t>Stage 4: Establish a baseline</w:t>
      </w:r>
    </w:p>
    <w:p>
      <w:r>
        <w:t>Measure the existing workflow before introducing AI. The baseline should cover volume, time, accuracy, rework, urgent-case handling, service quality, cost, and staff experience. Seasonal variation should be considered; admissions, registration, and grant cycles can materially affect workload.</w:t>
      </w:r>
    </w:p>
    <w:p>
      <w:pPr>
        <w:pStyle w:val="Heading2"/>
      </w:pPr>
      <w:r>
        <w:t>Stage 5: Test in shadow mode</w:t>
      </w:r>
    </w:p>
    <w:p>
      <w:r>
        <w:t>Allow the system to produce recommendations without affecting real work. Staff continue the normal process, and evaluators compare the AI recommendation with the final correct disposition. Shadow mode reveals errors without exposing students, researchers, or employees to operational consequences.</w:t>
      </w:r>
    </w:p>
    <w:p>
      <w:pPr>
        <w:pStyle w:val="Heading2"/>
      </w:pPr>
      <w:r>
        <w:t>Stage 6: Introduce human-reviewed assistance</w:t>
      </w:r>
    </w:p>
    <w:p>
      <w:r>
        <w:t>After satisfactory shadow testing, show recommendations to staff. Make acceptance, correction, escalation, and feedback easy. Avoid interfaces that encourage passive approval. Staff should see enough source material and context to make an independent judgment.</w:t>
      </w:r>
    </w:p>
    <w:p>
      <w:pPr>
        <w:pStyle w:val="Heading2"/>
      </w:pPr>
      <w:r>
        <w:t>Stage 7: Evaluate the complete system</w:t>
      </w:r>
    </w:p>
    <w:p>
      <w:r>
        <w:t>Assess efficiency, quality, safety, fairness, staff experience, service-user experience, and total economics. Measure the time spent correcting the system as well as the time saved. Examine performance by category and, where lawful and appropriate, test for differential error patterns.</w:t>
      </w:r>
    </w:p>
    <w:p>
      <w:pPr>
        <w:pStyle w:val="Heading2"/>
      </w:pPr>
      <w:r>
        <w:t>Stage 8: Stop, revise, or scale</w:t>
      </w:r>
    </w:p>
    <w:p>
      <w:r>
        <w:t>Use predetermined thresholds. A project may be stopped even if users like it, or revised even if average accuracy appears high, when it misses urgent cases or creates disproportionate risk. Scaling should normally proceed to a similar workflow before moving to a qualitatively different or more consequential use case.</w:t>
      </w:r>
    </w:p>
    <w:p>
      <w:pPr>
        <w:pStyle w:val="Heading2"/>
      </w:pPr>
      <w:r>
        <w:t>6.1 Recommended stage gates</w:t>
      </w:r>
    </w:p>
    <w:tbl>
      <w:tblPr>
        <w:tblStyle w:val="TableGrid"/>
        <w:tblW w:type="auto" w:w="0"/>
        <w:jc w:val="center"/>
        <w:tblLook w:firstColumn="1" w:firstRow="1" w:lastColumn="0" w:lastRow="0" w:noHBand="0" w:noVBand="1" w:val="04A0"/>
      </w:tblPr>
      <w:tblGrid>
        <w:gridCol w:w="3264"/>
        <w:gridCol w:w="3264"/>
        <w:gridCol w:w="3264"/>
      </w:tblGrid>
      <w:tr>
        <w:trPr>
          <w:tblHeader w:val="true"/>
        </w:trPr>
        <w:tc>
          <w:tcPr>
            <w:tcW w:type="dxa" w:w="3264"/>
            <w:shd w:fill="D9E2F3"/>
            <w:vAlign w:val="center"/>
          </w:tcPr>
          <w:p>
            <w:r>
              <w:rPr>
                <w:b/>
              </w:rPr>
              <w:t>Gate</w:t>
            </w:r>
          </w:p>
        </w:tc>
        <w:tc>
          <w:tcPr>
            <w:tcW w:type="dxa" w:w="3264"/>
            <w:shd w:fill="D9E2F3"/>
            <w:vAlign w:val="center"/>
          </w:tcPr>
          <w:p>
            <w:r>
              <w:rPr>
                <w:b/>
              </w:rPr>
              <w:t>Question</w:t>
            </w:r>
          </w:p>
        </w:tc>
        <w:tc>
          <w:tcPr>
            <w:tcW w:type="dxa" w:w="3264"/>
            <w:shd w:fill="D9E2F3"/>
            <w:vAlign w:val="center"/>
          </w:tcPr>
          <w:p>
            <w:r>
              <w:rPr>
                <w:b/>
              </w:rPr>
              <w:t>Evidence required</w:t>
            </w:r>
          </w:p>
        </w:tc>
      </w:tr>
      <w:tr>
        <w:tc>
          <w:tcPr>
            <w:tcW w:type="dxa" w:w="3264"/>
            <w:vAlign w:val="top"/>
          </w:tcPr>
          <w:p>
            <w:r>
              <w:t>Problem gate</w:t>
            </w:r>
          </w:p>
        </w:tc>
        <w:tc>
          <w:tcPr>
            <w:tcW w:type="dxa" w:w="3264"/>
            <w:vAlign w:val="top"/>
          </w:tcPr>
          <w:p>
            <w:r>
              <w:t>Is there a material operational problem?</w:t>
            </w:r>
          </w:p>
        </w:tc>
        <w:tc>
          <w:tcPr>
            <w:tcW w:type="dxa" w:w="3264"/>
            <w:vAlign w:val="top"/>
          </w:tcPr>
          <w:p>
            <w:r>
              <w:t>Baseline volume, delay, cost, quality, or risk data</w:t>
            </w:r>
          </w:p>
        </w:tc>
      </w:tr>
      <w:tr>
        <w:tc>
          <w:tcPr>
            <w:tcW w:type="dxa" w:w="3264"/>
            <w:vAlign w:val="top"/>
          </w:tcPr>
          <w:p>
            <w:r>
              <w:t>Process gate</w:t>
            </w:r>
          </w:p>
        </w:tc>
        <w:tc>
          <w:tcPr>
            <w:tcW w:type="dxa" w:w="3264"/>
            <w:vAlign w:val="top"/>
          </w:tcPr>
          <w:p>
            <w:r>
              <w:t>Has avoidable complexity been removed?</w:t>
            </w:r>
          </w:p>
        </w:tc>
        <w:tc>
          <w:tcPr>
            <w:tcW w:type="dxa" w:w="3264"/>
            <w:vAlign w:val="top"/>
          </w:tcPr>
          <w:p>
            <w:r>
              <w:t>Current-state and simplified process map</w:t>
            </w:r>
          </w:p>
        </w:tc>
      </w:tr>
      <w:tr>
        <w:tc>
          <w:tcPr>
            <w:tcW w:type="dxa" w:w="3264"/>
            <w:vAlign w:val="top"/>
          </w:tcPr>
          <w:p>
            <w:r>
              <w:t>Data gate</w:t>
            </w:r>
          </w:p>
        </w:tc>
        <w:tc>
          <w:tcPr>
            <w:tcW w:type="dxa" w:w="3264"/>
            <w:vAlign w:val="top"/>
          </w:tcPr>
          <w:p>
            <w:r>
              <w:t>Can authorized data be used safely?</w:t>
            </w:r>
          </w:p>
        </w:tc>
        <w:tc>
          <w:tcPr>
            <w:tcW w:type="dxa" w:w="3264"/>
            <w:vAlign w:val="top"/>
          </w:tcPr>
          <w:p>
            <w:r>
              <w:t>Data classification, privacy and security review</w:t>
            </w:r>
          </w:p>
        </w:tc>
      </w:tr>
      <w:tr>
        <w:tc>
          <w:tcPr>
            <w:tcW w:type="dxa" w:w="3264"/>
            <w:vAlign w:val="top"/>
          </w:tcPr>
          <w:p>
            <w:r>
              <w:t>Shadow gate</w:t>
            </w:r>
          </w:p>
        </w:tc>
        <w:tc>
          <w:tcPr>
            <w:tcW w:type="dxa" w:w="3264"/>
            <w:vAlign w:val="top"/>
          </w:tcPr>
          <w:p>
            <w:r>
              <w:t>Does the system perform adequately without affecting operations?</w:t>
            </w:r>
          </w:p>
        </w:tc>
        <w:tc>
          <w:tcPr>
            <w:tcW w:type="dxa" w:w="3264"/>
            <w:vAlign w:val="top"/>
          </w:tcPr>
          <w:p>
            <w:r>
              <w:t>Category-level accuracy, urgent-case recall, abstention performance</w:t>
            </w:r>
          </w:p>
        </w:tc>
      </w:tr>
      <w:tr>
        <w:tc>
          <w:tcPr>
            <w:tcW w:type="dxa" w:w="3264"/>
            <w:vAlign w:val="top"/>
          </w:tcPr>
          <w:p>
            <w:r>
              <w:t>Assisted-use gate</w:t>
            </w:r>
          </w:p>
        </w:tc>
        <w:tc>
          <w:tcPr>
            <w:tcW w:type="dxa" w:w="3264"/>
            <w:vAlign w:val="top"/>
          </w:tcPr>
          <w:p>
            <w:r>
              <w:t>Does the human–AI workflow outperform the current workflow?</w:t>
            </w:r>
          </w:p>
        </w:tc>
        <w:tc>
          <w:tcPr>
            <w:tcW w:type="dxa" w:w="3264"/>
            <w:vAlign w:val="top"/>
          </w:tcPr>
          <w:p>
            <w:r>
              <w:t>Controlled operational comparison and staff feedback</w:t>
            </w:r>
          </w:p>
        </w:tc>
      </w:tr>
      <w:tr>
        <w:tc>
          <w:tcPr>
            <w:tcW w:type="dxa" w:w="3264"/>
            <w:vAlign w:val="top"/>
          </w:tcPr>
          <w:p>
            <w:r>
              <w:t>Scale gate</w:t>
            </w:r>
          </w:p>
        </w:tc>
        <w:tc>
          <w:tcPr>
            <w:tcW w:type="dxa" w:w="3264"/>
            <w:vAlign w:val="top"/>
          </w:tcPr>
          <w:p>
            <w:r>
              <w:t>Are benefits durable and controls sustainable?</w:t>
            </w:r>
          </w:p>
        </w:tc>
        <w:tc>
          <w:tcPr>
            <w:tcW w:type="dxa" w:w="3264"/>
            <w:vAlign w:val="top"/>
          </w:tcPr>
          <w:p>
            <w:r>
              <w:t>Total-cost analysis, monitoring plan, accountable owner, incident process</w:t>
            </w:r>
          </w:p>
        </w:tc>
      </w:tr>
    </w:tbl>
    <w:p/>
    <w:p>
      <w:pPr>
        <w:pStyle w:val="Heading1"/>
      </w:pPr>
      <w:r>
        <w:t>7. Email Triage as a First Pilot</w:t>
      </w:r>
    </w:p>
    <w:p>
      <w:r>
        <w:t>Email triage is the process of examining incoming messages and deciding what should happen next. The decision may include priority, category, destination, required information, ownership, and whether an immediate acknowledgement is appropriate. Academic research on email triage emphasizes that these decisions depend not only on message content but also on sender, attachments, workload, required effort, and the need for additional information (Sarrafzadeh, Awadallah, &amp; Shokouhi, 2019).</w:t>
      </w:r>
    </w:p>
    <w:p>
      <w:r>
        <w:t>This makes email triage a useful but non-trivial AI pilot. It has high volume and measurable outcomes, but it also exposes the limitations of simple keyword rules. A well-designed system can combine deterministic rules, a conventional classifier, and a language model, with low-confidence or sensitive cases routed to a person.</w:t>
      </w:r>
    </w:p>
    <w:p>
      <w:pPr>
        <w:pStyle w:val="Heading2"/>
      </w:pPr>
      <w:r>
        <w:t>7.1 Recommended pilot objective</w:t>
      </w:r>
    </w:p>
    <w:p>
      <w:r>
        <w:t>The initial objective should be to recommend routing labels for one shared administrative inbox. The AI should not send external messages, delete content, change records, or make final determinations. The pilot should demonstrate whether suggested categorization and prioritization reduce staff handling time without increasing service risk.</w:t>
      </w:r>
    </w:p>
    <w:p>
      <w:pPr>
        <w:pStyle w:val="Heading2"/>
      </w:pPr>
      <w:r>
        <w:t>7.2 Suitable scope</w:t>
      </w:r>
    </w:p>
    <w:p>
      <w:pPr>
        <w:pStyle w:val="ListBullet"/>
      </w:pPr>
      <w:r>
        <w:t>One department, faculty, or service unit with a clearly accountable manager.</w:t>
      </w:r>
    </w:p>
    <w:p>
      <w:pPr>
        <w:pStyle w:val="ListBullet"/>
      </w:pPr>
      <w:r>
        <w:t>Five to eight participating staff members who understand the current workflow.</w:t>
      </w:r>
    </w:p>
    <w:p>
      <w:pPr>
        <w:pStyle w:val="ListBullet"/>
      </w:pPr>
      <w:r>
        <w:t>Three to six routine categories plus a mandatory uncertain or specialist category.</w:t>
      </w:r>
    </w:p>
    <w:p>
      <w:pPr>
        <w:pStyle w:val="ListBullet"/>
      </w:pPr>
      <w:r>
        <w:t>Approximately 1,000 or more representative historical or live shadow-mode messages, subject to privacy approval.</w:t>
      </w:r>
    </w:p>
    <w:p>
      <w:pPr>
        <w:pStyle w:val="ListBullet"/>
      </w:pPr>
      <w:r>
        <w:t>A baseline period and a shadow-mode period long enough to include ordinary variation.</w:t>
      </w:r>
    </w:p>
    <w:p>
      <w:pPr>
        <w:pStyle w:val="ListBullet"/>
      </w:pPr>
      <w:r>
        <w:t>Explicit exclusion of accommodation, misconduct, legal, safety, medical, employment, and other sensitive cases.</w:t>
      </w:r>
    </w:p>
    <w:p>
      <w:pPr>
        <w:pStyle w:val="Heading2"/>
      </w:pPr>
      <w:r>
        <w:t>7.3 Recommended system output</w:t>
      </w:r>
    </w:p>
    <w:p>
      <w:pPr>
        <w:pStyle w:val="ListNumber"/>
      </w:pPr>
      <w:r>
        <w:t>Suggested category and destination.</w:t>
      </w:r>
    </w:p>
    <w:p>
      <w:pPr>
        <w:pStyle w:val="ListNumber"/>
      </w:pPr>
      <w:r>
        <w:t>Priority or urgency indicator.</w:t>
      </w:r>
    </w:p>
    <w:p>
      <w:pPr>
        <w:pStyle w:val="ListNumber"/>
      </w:pPr>
      <w:r>
        <w:t>Confidence or abstention indicator.</w:t>
      </w:r>
    </w:p>
    <w:p>
      <w:pPr>
        <w:pStyle w:val="ListNumber"/>
      </w:pPr>
      <w:r>
        <w:t>Short, user-facing explanation based on observable content.</w:t>
      </w:r>
    </w:p>
    <w:p>
      <w:pPr>
        <w:pStyle w:val="ListNumber"/>
      </w:pPr>
      <w:r>
        <w:t>Flag for potentially sensitive information.</w:t>
      </w:r>
    </w:p>
    <w:p>
      <w:pPr>
        <w:pStyle w:val="ListNumber"/>
      </w:pPr>
      <w:r>
        <w:t>Identification of missing standard information.</w:t>
      </w:r>
    </w:p>
    <w:p>
      <w:pPr>
        <w:pStyle w:val="ListNumber"/>
      </w:pPr>
      <w:r>
        <w:t>Optional draft acknowledgement or response for human review.</w:t>
      </w:r>
    </w:p>
    <w:p>
      <w:pPr>
        <w:pStyle w:val="ListNumber"/>
      </w:pPr>
      <w:r>
        <w:t>Link to the relevant approved procedure or response template when available.</w:t>
      </w:r>
    </w:p>
    <w:p>
      <w:pPr>
        <w:pStyle w:val="Heading2"/>
      </w:pPr>
      <w:r>
        <w:t>7.4 Automation boundaries</w:t>
      </w:r>
    </w:p>
    <w:tbl>
      <w:tblPr>
        <w:tblStyle w:val="TableGrid"/>
        <w:tblW w:type="auto" w:w="0"/>
        <w:jc w:val="center"/>
        <w:tblLook w:firstColumn="1" w:firstRow="1" w:lastColumn="0" w:lastRow="0" w:noHBand="0" w:noVBand="1" w:val="04A0"/>
      </w:tblPr>
      <w:tblGrid>
        <w:gridCol w:w="4896"/>
        <w:gridCol w:w="4896"/>
      </w:tblGrid>
      <w:tr>
        <w:trPr>
          <w:tblHeader w:val="true"/>
        </w:trPr>
        <w:tc>
          <w:tcPr>
            <w:tcW w:type="dxa" w:w="4824"/>
            <w:shd w:fill="D9E2F3"/>
            <w:vAlign w:val="center"/>
          </w:tcPr>
          <w:p>
            <w:r>
              <w:rPr>
                <w:b/>
              </w:rPr>
              <w:t>Permitted in an initial pilot</w:t>
            </w:r>
          </w:p>
        </w:tc>
        <w:tc>
          <w:tcPr>
            <w:tcW w:type="dxa" w:w="4824"/>
            <w:shd w:fill="D9E2F3"/>
            <w:vAlign w:val="center"/>
          </w:tcPr>
          <w:p>
            <w:r>
              <w:rPr>
                <w:b/>
              </w:rPr>
              <w:t>Not permitted in an initial pilot</w:t>
            </w:r>
          </w:p>
        </w:tc>
      </w:tr>
      <w:tr>
        <w:tc>
          <w:tcPr>
            <w:tcW w:type="dxa" w:w="4824"/>
            <w:vAlign w:val="top"/>
          </w:tcPr>
          <w:p>
            <w:r>
              <w:t>Suggest a label or queue</w:t>
            </w:r>
          </w:p>
        </w:tc>
        <w:tc>
          <w:tcPr>
            <w:tcW w:type="dxa" w:w="4824"/>
            <w:vAlign w:val="top"/>
          </w:tcPr>
          <w:p>
            <w:r>
              <w:t>Send an external reply without review</w:t>
            </w:r>
          </w:p>
        </w:tc>
      </w:tr>
      <w:tr>
        <w:tc>
          <w:tcPr>
            <w:tcW w:type="dxa" w:w="4824"/>
            <w:vAlign w:val="top"/>
          </w:tcPr>
          <w:p>
            <w:r>
              <w:t>Prioritize for staff attention</w:t>
            </w:r>
          </w:p>
        </w:tc>
        <w:tc>
          <w:tcPr>
            <w:tcW w:type="dxa" w:w="4824"/>
            <w:vAlign w:val="top"/>
          </w:tcPr>
          <w:p>
            <w:r>
              <w:t>Reject or approve a request</w:t>
            </w:r>
          </w:p>
        </w:tc>
      </w:tr>
      <w:tr>
        <w:tc>
          <w:tcPr>
            <w:tcW w:type="dxa" w:w="4824"/>
            <w:vAlign w:val="top"/>
          </w:tcPr>
          <w:p>
            <w:r>
              <w:t>Summarize a message</w:t>
            </w:r>
          </w:p>
        </w:tc>
        <w:tc>
          <w:tcPr>
            <w:tcW w:type="dxa" w:w="4824"/>
            <w:vAlign w:val="top"/>
          </w:tcPr>
          <w:p>
            <w:r>
              <w:t>Alter a student, employee, or research record</w:t>
            </w:r>
          </w:p>
        </w:tc>
      </w:tr>
      <w:tr>
        <w:tc>
          <w:tcPr>
            <w:tcW w:type="dxa" w:w="4824"/>
            <w:vAlign w:val="top"/>
          </w:tcPr>
          <w:p>
            <w:r>
              <w:t>Detect likely duplicates</w:t>
            </w:r>
          </w:p>
        </w:tc>
        <w:tc>
          <w:tcPr>
            <w:tcW w:type="dxa" w:w="4824"/>
            <w:vAlign w:val="top"/>
          </w:tcPr>
          <w:p>
            <w:r>
              <w:t>Determine eligibility or entitlement</w:t>
            </w:r>
          </w:p>
        </w:tc>
      </w:tr>
      <w:tr>
        <w:tc>
          <w:tcPr>
            <w:tcW w:type="dxa" w:w="4824"/>
            <w:vAlign w:val="top"/>
          </w:tcPr>
          <w:p>
            <w:r>
              <w:t>Identify missing standard information</w:t>
            </w:r>
          </w:p>
        </w:tc>
        <w:tc>
          <w:tcPr>
            <w:tcW w:type="dxa" w:w="4824"/>
            <w:vAlign w:val="top"/>
          </w:tcPr>
          <w:p>
            <w:r>
              <w:t>Infer protected characteristics</w:t>
            </w:r>
          </w:p>
        </w:tc>
      </w:tr>
      <w:tr>
        <w:tc>
          <w:tcPr>
            <w:tcW w:type="dxa" w:w="4824"/>
            <w:vAlign w:val="top"/>
          </w:tcPr>
          <w:p>
            <w:r>
              <w:t>Draft a routine acknowledgement</w:t>
            </w:r>
          </w:p>
        </w:tc>
        <w:tc>
          <w:tcPr>
            <w:tcW w:type="dxa" w:w="4824"/>
            <w:vAlign w:val="top"/>
          </w:tcPr>
          <w:p>
            <w:r>
              <w:t>Make admissions, employment, disciplinary, grading, or accommodation judgments</w:t>
            </w:r>
          </w:p>
        </w:tc>
      </w:tr>
      <w:tr>
        <w:tc>
          <w:tcPr>
            <w:tcW w:type="dxa" w:w="4824"/>
            <w:vAlign w:val="top"/>
          </w:tcPr>
          <w:p>
            <w:r>
              <w:t>Retrieve approved policy passages</w:t>
            </w:r>
          </w:p>
        </w:tc>
        <w:tc>
          <w:tcPr>
            <w:tcW w:type="dxa" w:w="4824"/>
            <w:vAlign w:val="top"/>
          </w:tcPr>
          <w:p>
            <w:r>
              <w:t>Provide definitive legal, medical, safety, or immigration advice</w:t>
            </w:r>
          </w:p>
        </w:tc>
      </w:tr>
    </w:tbl>
    <w:p/>
    <w:p>
      <w:pPr>
        <w:pStyle w:val="Heading2"/>
      </w:pPr>
      <w:r>
        <w:t>7.5 Example category design</w:t>
      </w:r>
    </w:p>
    <w:tbl>
      <w:tblPr>
        <w:tblStyle w:val="TableGrid"/>
        <w:tblW w:type="auto" w:w="0"/>
        <w:jc w:val="center"/>
        <w:tblLook w:firstColumn="1" w:firstRow="1" w:lastColumn="0" w:lastRow="0" w:noHBand="0" w:noVBand="1" w:val="04A0"/>
      </w:tblPr>
      <w:tblGrid>
        <w:gridCol w:w="3264"/>
        <w:gridCol w:w="3264"/>
        <w:gridCol w:w="3264"/>
      </w:tblGrid>
      <w:tr>
        <w:trPr>
          <w:tblHeader w:val="true"/>
        </w:trPr>
        <w:tc>
          <w:tcPr>
            <w:tcW w:type="dxa" w:w="3264"/>
            <w:shd w:fill="D9E2F3"/>
            <w:vAlign w:val="center"/>
          </w:tcPr>
          <w:p>
            <w:r>
              <w:rPr>
                <w:b/>
              </w:rPr>
              <w:t>Category</w:t>
            </w:r>
          </w:p>
        </w:tc>
        <w:tc>
          <w:tcPr>
            <w:tcW w:type="dxa" w:w="3264"/>
            <w:shd w:fill="D9E2F3"/>
            <w:vAlign w:val="center"/>
          </w:tcPr>
          <w:p>
            <w:r>
              <w:rPr>
                <w:b/>
              </w:rPr>
              <w:t>Typical content</w:t>
            </w:r>
          </w:p>
        </w:tc>
        <w:tc>
          <w:tcPr>
            <w:tcW w:type="dxa" w:w="3264"/>
            <w:shd w:fill="D9E2F3"/>
            <w:vAlign w:val="center"/>
          </w:tcPr>
          <w:p>
            <w:r>
              <w:rPr>
                <w:b/>
              </w:rPr>
              <w:t>Initial action</w:t>
            </w:r>
          </w:p>
        </w:tc>
      </w:tr>
      <w:tr>
        <w:tc>
          <w:tcPr>
            <w:tcW w:type="dxa" w:w="3264"/>
            <w:vAlign w:val="top"/>
          </w:tcPr>
          <w:p>
            <w:r>
              <w:t>Routine information</w:t>
            </w:r>
          </w:p>
        </w:tc>
        <w:tc>
          <w:tcPr>
            <w:tcW w:type="dxa" w:w="3264"/>
            <w:vAlign w:val="top"/>
          </w:tcPr>
          <w:p>
            <w:r>
              <w:t>Published dates, links, program details</w:t>
            </w:r>
          </w:p>
        </w:tc>
        <w:tc>
          <w:tcPr>
            <w:tcW w:type="dxa" w:w="3264"/>
            <w:vAlign w:val="top"/>
          </w:tcPr>
          <w:p>
            <w:r>
              <w:t>Route to general queue; suggest approved response</w:t>
            </w:r>
          </w:p>
        </w:tc>
      </w:tr>
      <w:tr>
        <w:tc>
          <w:tcPr>
            <w:tcW w:type="dxa" w:w="3264"/>
            <w:vAlign w:val="top"/>
          </w:tcPr>
          <w:p>
            <w:r>
              <w:t>Application or document status</w:t>
            </w:r>
          </w:p>
        </w:tc>
        <w:tc>
          <w:tcPr>
            <w:tcW w:type="dxa" w:w="3264"/>
            <w:vAlign w:val="top"/>
          </w:tcPr>
          <w:p>
            <w:r>
              <w:t>Questions about receipt or processing</w:t>
            </w:r>
          </w:p>
        </w:tc>
        <w:tc>
          <w:tcPr>
            <w:tcW w:type="dxa" w:w="3264"/>
            <w:vAlign w:val="top"/>
          </w:tcPr>
          <w:p>
            <w:r>
              <w:t>Route to records/status queue</w:t>
            </w:r>
          </w:p>
        </w:tc>
      </w:tr>
      <w:tr>
        <w:tc>
          <w:tcPr>
            <w:tcW w:type="dxa" w:w="3264"/>
            <w:vAlign w:val="top"/>
          </w:tcPr>
          <w:p>
            <w:r>
              <w:t>Technical problem</w:t>
            </w:r>
          </w:p>
        </w:tc>
        <w:tc>
          <w:tcPr>
            <w:tcW w:type="dxa" w:w="3264"/>
            <w:vAlign w:val="top"/>
          </w:tcPr>
          <w:p>
            <w:r>
              <w:t>Portal access, password, upload error</w:t>
            </w:r>
          </w:p>
        </w:tc>
        <w:tc>
          <w:tcPr>
            <w:tcW w:type="dxa" w:w="3264"/>
            <w:vAlign w:val="top"/>
          </w:tcPr>
          <w:p>
            <w:r>
              <w:t>Route to technical support</w:t>
            </w:r>
          </w:p>
        </w:tc>
      </w:tr>
      <w:tr>
        <w:tc>
          <w:tcPr>
            <w:tcW w:type="dxa" w:w="3264"/>
            <w:vAlign w:val="top"/>
          </w:tcPr>
          <w:p>
            <w:r>
              <w:t>Time-sensitive operational issue</w:t>
            </w:r>
          </w:p>
        </w:tc>
        <w:tc>
          <w:tcPr>
            <w:tcW w:type="dxa" w:w="3264"/>
            <w:vAlign w:val="top"/>
          </w:tcPr>
          <w:p>
            <w:r>
              <w:t>Deadline within a defined interval</w:t>
            </w:r>
          </w:p>
        </w:tc>
        <w:tc>
          <w:tcPr>
            <w:tcW w:type="dxa" w:w="3264"/>
            <w:vAlign w:val="top"/>
          </w:tcPr>
          <w:p>
            <w:r>
              <w:t>Raise priority; human review</w:t>
            </w:r>
          </w:p>
        </w:tc>
      </w:tr>
      <w:tr>
        <w:tc>
          <w:tcPr>
            <w:tcW w:type="dxa" w:w="3264"/>
            <w:vAlign w:val="top"/>
          </w:tcPr>
          <w:p>
            <w:r>
              <w:t>Sensitive or high-consequence</w:t>
            </w:r>
          </w:p>
        </w:tc>
        <w:tc>
          <w:tcPr>
            <w:tcW w:type="dxa" w:w="3264"/>
            <w:vAlign w:val="top"/>
          </w:tcPr>
          <w:p>
            <w:r>
              <w:t>Accommodation, safety, complaint, legal or health matter</w:t>
            </w:r>
          </w:p>
        </w:tc>
        <w:tc>
          <w:tcPr>
            <w:tcW w:type="dxa" w:w="3264"/>
            <w:vAlign w:val="top"/>
          </w:tcPr>
          <w:p>
            <w:r>
              <w:t>Immediate specialist human review</w:t>
            </w:r>
          </w:p>
        </w:tc>
      </w:tr>
      <w:tr>
        <w:tc>
          <w:tcPr>
            <w:tcW w:type="dxa" w:w="3264"/>
            <w:vAlign w:val="top"/>
          </w:tcPr>
          <w:p>
            <w:r>
              <w:t>Uncertain</w:t>
            </w:r>
          </w:p>
        </w:tc>
        <w:tc>
          <w:tcPr>
            <w:tcW w:type="dxa" w:w="3264"/>
            <w:vAlign w:val="top"/>
          </w:tcPr>
          <w:p>
            <w:r>
              <w:t>Low confidence, multiple intents, novel request</w:t>
            </w:r>
          </w:p>
        </w:tc>
        <w:tc>
          <w:tcPr>
            <w:tcW w:type="dxa" w:w="3264"/>
            <w:vAlign w:val="top"/>
          </w:tcPr>
          <w:p>
            <w:r>
              <w:t>General human triage</w:t>
            </w:r>
          </w:p>
        </w:tc>
      </w:tr>
    </w:tbl>
    <w:p/>
    <w:p>
      <w:pPr>
        <w:pStyle w:val="Heading2"/>
      </w:pPr>
      <w:r>
        <w:t>7.6 Evaluation design</w:t>
      </w:r>
    </w:p>
    <w:p>
      <w:r>
        <w:t>The strongest practical design randomly assigns eligible messages to the ordinary workflow or the AI-assisted workflow during a controlled period. The institution then compares median triage time, first-routing accuracy, reassignment, urgent-case recall, total handling time, cost per message, staff effort, and service-user outcomes. When random assignment is not operationally feasible, a phased rollout, alternating-day design, or matched historical comparison can be used, with explicit acknowledgement that causal inference will be weaker.</w:t>
      </w:r>
    </w:p>
    <w:tbl>
      <w:tblPr>
        <w:tblStyle w:val="TableGrid"/>
        <w:tblW w:type="auto" w:w="0"/>
        <w:jc w:val="center"/>
        <w:tblLook w:firstColumn="1" w:firstRow="1" w:lastColumn="0" w:lastRow="0" w:noHBand="0" w:noVBand="1" w:val="04A0"/>
      </w:tblPr>
      <w:tblGrid>
        <w:gridCol w:w="3264"/>
        <w:gridCol w:w="3264"/>
        <w:gridCol w:w="3264"/>
      </w:tblGrid>
      <w:tr>
        <w:trPr>
          <w:tblHeader w:val="true"/>
        </w:trPr>
        <w:tc>
          <w:tcPr>
            <w:tcW w:type="dxa" w:w="3264"/>
            <w:shd w:fill="D9E2F3"/>
            <w:vAlign w:val="center"/>
          </w:tcPr>
          <w:p>
            <w:r>
              <w:rPr>
                <w:b/>
              </w:rPr>
              <w:t>Measure</w:t>
            </w:r>
          </w:p>
        </w:tc>
        <w:tc>
          <w:tcPr>
            <w:tcW w:type="dxa" w:w="3264"/>
            <w:shd w:fill="D9E2F3"/>
            <w:vAlign w:val="center"/>
          </w:tcPr>
          <w:p>
            <w:r>
              <w:rPr>
                <w:b/>
              </w:rPr>
              <w:t>Definition</w:t>
            </w:r>
          </w:p>
        </w:tc>
        <w:tc>
          <w:tcPr>
            <w:tcW w:type="dxa" w:w="3264"/>
            <w:shd w:fill="D9E2F3"/>
            <w:vAlign w:val="center"/>
          </w:tcPr>
          <w:p>
            <w:r>
              <w:rPr>
                <w:b/>
              </w:rPr>
              <w:t>Why it matters</w:t>
            </w:r>
          </w:p>
        </w:tc>
      </w:tr>
      <w:tr>
        <w:tc>
          <w:tcPr>
            <w:tcW w:type="dxa" w:w="3264"/>
            <w:vAlign w:val="top"/>
          </w:tcPr>
          <w:p>
            <w:r>
              <w:t>Median triage time</w:t>
            </w:r>
          </w:p>
        </w:tc>
        <w:tc>
          <w:tcPr>
            <w:tcW w:type="dxa" w:w="3264"/>
            <w:vAlign w:val="top"/>
          </w:tcPr>
          <w:p>
            <w:r>
              <w:t>Time from opening to initial disposition</w:t>
            </w:r>
          </w:p>
        </w:tc>
        <w:tc>
          <w:tcPr>
            <w:tcW w:type="dxa" w:w="3264"/>
            <w:vAlign w:val="top"/>
          </w:tcPr>
          <w:p>
            <w:r>
              <w:t>Direct measure of staff effort</w:t>
            </w:r>
          </w:p>
        </w:tc>
      </w:tr>
      <w:tr>
        <w:tc>
          <w:tcPr>
            <w:tcW w:type="dxa" w:w="3264"/>
            <w:vAlign w:val="top"/>
          </w:tcPr>
          <w:p>
            <w:r>
              <w:t>First-routing accuracy</w:t>
            </w:r>
          </w:p>
        </w:tc>
        <w:tc>
          <w:tcPr>
            <w:tcW w:type="dxa" w:w="3264"/>
            <w:vAlign w:val="top"/>
          </w:tcPr>
          <w:p>
            <w:r>
              <w:t>Share reaching the correct queue initially</w:t>
            </w:r>
          </w:p>
        </w:tc>
        <w:tc>
          <w:tcPr>
            <w:tcW w:type="dxa" w:w="3264"/>
            <w:vAlign w:val="top"/>
          </w:tcPr>
          <w:p>
            <w:r>
              <w:t>Reduces delay and rework</w:t>
            </w:r>
          </w:p>
        </w:tc>
      </w:tr>
      <w:tr>
        <w:tc>
          <w:tcPr>
            <w:tcW w:type="dxa" w:w="3264"/>
            <w:vAlign w:val="top"/>
          </w:tcPr>
          <w:p>
            <w:r>
              <w:t>Reassignment rate</w:t>
            </w:r>
          </w:p>
        </w:tc>
        <w:tc>
          <w:tcPr>
            <w:tcW w:type="dxa" w:w="3264"/>
            <w:vAlign w:val="top"/>
          </w:tcPr>
          <w:p>
            <w:r>
              <w:t>Share moved after initial routing</w:t>
            </w:r>
          </w:p>
        </w:tc>
        <w:tc>
          <w:tcPr>
            <w:tcW w:type="dxa" w:w="3264"/>
            <w:vAlign w:val="top"/>
          </w:tcPr>
          <w:p>
            <w:r>
              <w:t>Shows hidden correction cost</w:t>
            </w:r>
          </w:p>
        </w:tc>
      </w:tr>
      <w:tr>
        <w:tc>
          <w:tcPr>
            <w:tcW w:type="dxa" w:w="3264"/>
            <w:vAlign w:val="top"/>
          </w:tcPr>
          <w:p>
            <w:r>
              <w:t>Urgent-case recall</w:t>
            </w:r>
          </w:p>
        </w:tc>
        <w:tc>
          <w:tcPr>
            <w:tcW w:type="dxa" w:w="3264"/>
            <w:vAlign w:val="top"/>
          </w:tcPr>
          <w:p>
            <w:r>
              <w:t>Share of truly urgent cases flagged</w:t>
            </w:r>
          </w:p>
        </w:tc>
        <w:tc>
          <w:tcPr>
            <w:tcW w:type="dxa" w:w="3264"/>
            <w:vAlign w:val="top"/>
          </w:tcPr>
          <w:p>
            <w:r>
              <w:t>Critical safety and service measure</w:t>
            </w:r>
          </w:p>
        </w:tc>
      </w:tr>
      <w:tr>
        <w:tc>
          <w:tcPr>
            <w:tcW w:type="dxa" w:w="3264"/>
            <w:vAlign w:val="top"/>
          </w:tcPr>
          <w:p>
            <w:r>
              <w:t>Abstention quality</w:t>
            </w:r>
          </w:p>
        </w:tc>
        <w:tc>
          <w:tcPr>
            <w:tcW w:type="dxa" w:w="3264"/>
            <w:vAlign w:val="top"/>
          </w:tcPr>
          <w:p>
            <w:r>
              <w:t>Accuracy of cases the system chooses not to classify</w:t>
            </w:r>
          </w:p>
        </w:tc>
        <w:tc>
          <w:tcPr>
            <w:tcW w:type="dxa" w:w="3264"/>
            <w:vAlign w:val="top"/>
          </w:tcPr>
          <w:p>
            <w:r>
              <w:t>Tests whether uncertainty is handled responsibly</w:t>
            </w:r>
          </w:p>
        </w:tc>
      </w:tr>
      <w:tr>
        <w:tc>
          <w:tcPr>
            <w:tcW w:type="dxa" w:w="3264"/>
            <w:vAlign w:val="top"/>
          </w:tcPr>
          <w:p>
            <w:r>
              <w:t>Resolution time</w:t>
            </w:r>
          </w:p>
        </w:tc>
        <w:tc>
          <w:tcPr>
            <w:tcW w:type="dxa" w:w="3264"/>
            <w:vAlign w:val="top"/>
          </w:tcPr>
          <w:p>
            <w:r>
              <w:t>Time from receipt to completion</w:t>
            </w:r>
          </w:p>
        </w:tc>
        <w:tc>
          <w:tcPr>
            <w:tcW w:type="dxa" w:w="3264"/>
            <w:vAlign w:val="top"/>
          </w:tcPr>
          <w:p>
            <w:r>
              <w:t>Measures end-to-end benefit</w:t>
            </w:r>
          </w:p>
        </w:tc>
      </w:tr>
      <w:tr>
        <w:tc>
          <w:tcPr>
            <w:tcW w:type="dxa" w:w="3264"/>
            <w:vAlign w:val="top"/>
          </w:tcPr>
          <w:p>
            <w:r>
              <w:t>Staff-rated effort</w:t>
            </w:r>
          </w:p>
        </w:tc>
        <w:tc>
          <w:tcPr>
            <w:tcW w:type="dxa" w:w="3264"/>
            <w:vAlign w:val="top"/>
          </w:tcPr>
          <w:p>
            <w:r>
              <w:t>Structured workload and usability rating</w:t>
            </w:r>
          </w:p>
        </w:tc>
        <w:tc>
          <w:tcPr>
            <w:tcW w:type="dxa" w:w="3264"/>
            <w:vAlign w:val="top"/>
          </w:tcPr>
          <w:p>
            <w:r>
              <w:t>Captures cognitive burden</w:t>
            </w:r>
          </w:p>
        </w:tc>
      </w:tr>
      <w:tr>
        <w:tc>
          <w:tcPr>
            <w:tcW w:type="dxa" w:w="3264"/>
            <w:vAlign w:val="top"/>
          </w:tcPr>
          <w:p>
            <w:r>
              <w:t>Service quality</w:t>
            </w:r>
          </w:p>
        </w:tc>
        <w:tc>
          <w:tcPr>
            <w:tcW w:type="dxa" w:w="3264"/>
            <w:vAlign w:val="top"/>
          </w:tcPr>
          <w:p>
            <w:r>
              <w:t>Correctness, tone, accessibility, satisfaction</w:t>
            </w:r>
          </w:p>
        </w:tc>
        <w:tc>
          <w:tcPr>
            <w:tcW w:type="dxa" w:w="3264"/>
            <w:vAlign w:val="top"/>
          </w:tcPr>
          <w:p>
            <w:r>
              <w:t>Prevents speed from displacing quality</w:t>
            </w:r>
          </w:p>
        </w:tc>
      </w:tr>
      <w:tr>
        <w:tc>
          <w:tcPr>
            <w:tcW w:type="dxa" w:w="3264"/>
            <w:vAlign w:val="top"/>
          </w:tcPr>
          <w:p>
            <w:r>
              <w:t>Total cost per message</w:t>
            </w:r>
          </w:p>
        </w:tc>
        <w:tc>
          <w:tcPr>
            <w:tcW w:type="dxa" w:w="3264"/>
            <w:vAlign w:val="top"/>
          </w:tcPr>
          <w:p>
            <w:r>
              <w:t>Technology plus staff and governance cost</w:t>
            </w:r>
          </w:p>
        </w:tc>
        <w:tc>
          <w:tcPr>
            <w:tcW w:type="dxa" w:w="3264"/>
            <w:vAlign w:val="top"/>
          </w:tcPr>
          <w:p>
            <w:r>
              <w:t>Supports economic assessment</w:t>
            </w:r>
          </w:p>
        </w:tc>
      </w:tr>
    </w:tbl>
    <w:p/>
    <w:p>
      <w:pPr>
        <w:pStyle w:val="Heading2"/>
      </w:pPr>
      <w:r>
        <w:t>7.7 Illustrative decision thresholds</w:t>
      </w:r>
    </w:p>
    <w:p>
      <w:r>
        <w:t>Thresholds should reflect local risk tolerance and category consequences. An illustrative pilot might require at least 90 percent overall classification accuracy, at least 98 percent recall for predefined urgent cases, no material privacy incidents, a 20 percent reduction in median triage time, no decline in service quality, and an acceptable staff adoption rate. High-risk categories should have stricter thresholds or remain outside automated classification.</w:t>
      </w:r>
    </w:p>
    <w:p>
      <w:pPr>
        <w:pStyle w:val="Heading1"/>
      </w:pPr>
      <w:r>
        <w:t>8. Evaluation and Benefit Realization</w:t>
      </w:r>
    </w:p>
    <w:p>
      <w:r>
        <w:t>Evaluation is the point at which many AI programs become weak. Institutions often report the number of users, prompts, generated documents, or pilot participants. These are adoption measures, not evidence of operational improvement. A rigorous evaluation compares the AI-enabled workflow with a defined counterfactual: what would have happened under the existing process during the same period?</w:t>
      </w:r>
    </w:p>
    <w:p>
      <w:pPr>
        <w:pStyle w:val="Heading2"/>
      </w:pPr>
      <w:r>
        <w:t>8.1 Five evaluation dimensions</w:t>
      </w:r>
    </w:p>
    <w:tbl>
      <w:tblPr>
        <w:tblStyle w:val="TableGrid"/>
        <w:tblW w:type="auto" w:w="0"/>
        <w:jc w:val="center"/>
        <w:tblLook w:firstColumn="1" w:firstRow="1" w:lastColumn="0" w:lastRow="0" w:noHBand="0" w:noVBand="1" w:val="04A0"/>
      </w:tblPr>
      <w:tblGrid>
        <w:gridCol w:w="4896"/>
        <w:gridCol w:w="4896"/>
      </w:tblGrid>
      <w:tr>
        <w:trPr>
          <w:tblHeader w:val="true"/>
        </w:trPr>
        <w:tc>
          <w:tcPr>
            <w:tcW w:type="dxa" w:w="4896"/>
            <w:shd w:fill="D9E2F3"/>
            <w:vAlign w:val="center"/>
          </w:tcPr>
          <w:p>
            <w:r>
              <w:rPr>
                <w:b/>
              </w:rPr>
              <w:t>Dimension</w:t>
            </w:r>
          </w:p>
        </w:tc>
        <w:tc>
          <w:tcPr>
            <w:tcW w:type="dxa" w:w="4896"/>
            <w:shd w:fill="D9E2F3"/>
            <w:vAlign w:val="center"/>
          </w:tcPr>
          <w:p>
            <w:r>
              <w:rPr>
                <w:b/>
              </w:rPr>
              <w:t>Core questions</w:t>
            </w:r>
          </w:p>
        </w:tc>
      </w:tr>
      <w:tr>
        <w:tc>
          <w:tcPr>
            <w:tcW w:type="dxa" w:w="4896"/>
            <w:vAlign w:val="top"/>
          </w:tcPr>
          <w:p>
            <w:r>
              <w:t>Efficiency</w:t>
            </w:r>
          </w:p>
        </w:tc>
        <w:tc>
          <w:tcPr>
            <w:tcW w:type="dxa" w:w="4896"/>
            <w:vAlign w:val="top"/>
          </w:tcPr>
          <w:p>
            <w:r>
              <w:t>Does the workflow require less staff time, fewer handoffs, or shorter queues?</w:t>
            </w:r>
          </w:p>
        </w:tc>
      </w:tr>
      <w:tr>
        <w:tc>
          <w:tcPr>
            <w:tcW w:type="dxa" w:w="4896"/>
            <w:vAlign w:val="top"/>
          </w:tcPr>
          <w:p>
            <w:r>
              <w:t>Quality</w:t>
            </w:r>
          </w:p>
        </w:tc>
        <w:tc>
          <w:tcPr>
            <w:tcW w:type="dxa" w:w="4896"/>
            <w:vAlign w:val="top"/>
          </w:tcPr>
          <w:p>
            <w:r>
              <w:t>Are classifications, responses, summaries, and outcomes correct and complete?</w:t>
            </w:r>
          </w:p>
        </w:tc>
      </w:tr>
      <w:tr>
        <w:tc>
          <w:tcPr>
            <w:tcW w:type="dxa" w:w="4896"/>
            <w:vAlign w:val="top"/>
          </w:tcPr>
          <w:p>
            <w:r>
              <w:t>Risk</w:t>
            </w:r>
          </w:p>
        </w:tc>
        <w:tc>
          <w:tcPr>
            <w:tcW w:type="dxa" w:w="4896"/>
            <w:vAlign w:val="top"/>
          </w:tcPr>
          <w:p>
            <w:r>
              <w:t>Does the system miss urgent cases, disclose information, hallucinate policy, or create unfair outcomes?</w:t>
            </w:r>
          </w:p>
        </w:tc>
      </w:tr>
      <w:tr>
        <w:tc>
          <w:tcPr>
            <w:tcW w:type="dxa" w:w="4896"/>
            <w:vAlign w:val="top"/>
          </w:tcPr>
          <w:p>
            <w:r>
              <w:t>Human factors</w:t>
            </w:r>
          </w:p>
        </w:tc>
        <w:tc>
          <w:tcPr>
            <w:tcW w:type="dxa" w:w="4896"/>
            <w:vAlign w:val="top"/>
          </w:tcPr>
          <w:p>
            <w:r>
              <w:t>Do staff understand, trust, correct, and appropriately challenge the system?</w:t>
            </w:r>
          </w:p>
        </w:tc>
      </w:tr>
      <w:tr>
        <w:tc>
          <w:tcPr>
            <w:tcW w:type="dxa" w:w="4896"/>
            <w:vAlign w:val="top"/>
          </w:tcPr>
          <w:p>
            <w:r>
              <w:t>Economics</w:t>
            </w:r>
          </w:p>
        </w:tc>
        <w:tc>
          <w:tcPr>
            <w:tcW w:type="dxa" w:w="4896"/>
            <w:vAlign w:val="top"/>
          </w:tcPr>
          <w:p>
            <w:r>
              <w:t>Do realized benefits exceed full implementation and operating costs?</w:t>
            </w:r>
          </w:p>
        </w:tc>
      </w:tr>
    </w:tbl>
    <w:p/>
    <w:p>
      <w:pPr>
        <w:pStyle w:val="Heading2"/>
      </w:pPr>
      <w:r>
        <w:t>8.2 Full-cost accounting</w:t>
      </w:r>
    </w:p>
    <w:p>
      <w:r>
        <w:t>The cost of AI is broader than the licence fee. It includes procurement, legal and privacy review, security assessment, integration, identity and access management, data preparation, testing, training, process redesign, monitoring, incident response, audit, model changes, and vendor exit. Staff time spent verifying and correcting outputs must be included. A small inexpensive tool may be more economical than a powerful platform if the workflow is narrow.</w:t>
      </w:r>
    </w:p>
    <w:p>
      <w:r>
        <w:t>Benefits should be classified before they are monetized. A reduction of ten minutes per staff member per day is not automatically a cash saving. It becomes a financial saving only when the institution reduces expenditure or avoids a planned cost. Otherwise, it is released capacity. The business case should state how that capacity will be used, such as reducing backlog, extending service hours, improving complex-case support, or avoiding additional hiring during growth.</w:t>
      </w:r>
    </w:p>
    <w:p>
      <w:pPr>
        <w:pStyle w:val="Heading2"/>
      </w:pPr>
      <w:r>
        <w:t>8.3 Measurement periods</w:t>
      </w:r>
    </w:p>
    <w:p>
      <w:r>
        <w:t>Initial accuracy testing may require only weeks, but durable benefit should be assessed across a longer period. Academic operations are seasonal. A system that performs well during an ordinary month may fail during admissions deadlines, registration, examinations, grant competitions, or fiscal year-end. Institutions should conduct an initial pilot evaluation, a post-implementation review after approximately three months, and a broader review after a full operational cycle where feasible.</w:t>
      </w:r>
    </w:p>
    <w:p>
      <w:pPr>
        <w:pStyle w:val="Heading1"/>
      </w:pPr>
      <w:r>
        <w:t>9. Governance, Privacy, Security, and Responsible Use</w:t>
      </w:r>
    </w:p>
    <w:p>
      <w:r>
        <w:t>Governance should be proportionate to risk, but it should begin before deployment. A small pilot does not require a large permanent committee. It does require named accountability, documented scope, authorized data, defined controls, and an incident route.</w:t>
      </w:r>
    </w:p>
    <w:p>
      <w:r>
        <w:t>NIST’s Artificial Intelligence Risk Management Framework organizes AI risk work around four functions: Govern, Map, Measure, and Manage. The Generative AI Profile extends the framework to risks such as confabulation, privacy, information security, harmful bias, intellectual property, and human over-reliance. The framework is voluntary and cross-sectoral, but it provides a useful structure for university projects (NIST, 2023, 2024).</w:t>
      </w:r>
    </w:p>
    <w:p>
      <w:r>
        <w:t>Jisc’s maturity model and EDUCAUSE’s readiness and landscape work emphasize similar institutional capabilities: leadership, policy, responsible-use frameworks, workforce development, data maturity, technology readiness, and structured experimentation. These capabilities should be built through pilots rather than postponed until after widespread adoption.</w:t>
      </w:r>
    </w:p>
    <w:p>
      <w:pPr>
        <w:pStyle w:val="Heading2"/>
      </w:pPr>
      <w:r>
        <w:t>9.1 Minimum project roles</w:t>
      </w:r>
    </w:p>
    <w:tbl>
      <w:tblPr>
        <w:tblStyle w:val="TableGrid"/>
        <w:tblW w:type="auto" w:w="0"/>
        <w:jc w:val="center"/>
        <w:tblLook w:firstColumn="1" w:firstRow="1" w:lastColumn="0" w:lastRow="0" w:noHBand="0" w:noVBand="1" w:val="04A0"/>
      </w:tblPr>
      <w:tblGrid>
        <w:gridCol w:w="4896"/>
        <w:gridCol w:w="4896"/>
      </w:tblGrid>
      <w:tr>
        <w:trPr>
          <w:tblHeader w:val="true"/>
        </w:trPr>
        <w:tc>
          <w:tcPr>
            <w:tcW w:type="dxa" w:w="4896"/>
            <w:shd w:fill="D9E2F3"/>
            <w:vAlign w:val="center"/>
          </w:tcPr>
          <w:p>
            <w:r>
              <w:rPr>
                <w:b/>
              </w:rPr>
              <w:t>Role</w:t>
            </w:r>
          </w:p>
        </w:tc>
        <w:tc>
          <w:tcPr>
            <w:tcW w:type="dxa" w:w="4896"/>
            <w:shd w:fill="D9E2F3"/>
            <w:vAlign w:val="center"/>
          </w:tcPr>
          <w:p>
            <w:r>
              <w:rPr>
                <w:b/>
              </w:rPr>
              <w:t>Responsibility</w:t>
            </w:r>
          </w:p>
        </w:tc>
      </w:tr>
      <w:tr>
        <w:tc>
          <w:tcPr>
            <w:tcW w:type="dxa" w:w="4896"/>
            <w:vAlign w:val="top"/>
          </w:tcPr>
          <w:p>
            <w:r>
              <w:t>Operational owner</w:t>
            </w:r>
          </w:p>
        </w:tc>
        <w:tc>
          <w:tcPr>
            <w:tcW w:type="dxa" w:w="4896"/>
            <w:vAlign w:val="top"/>
          </w:tcPr>
          <w:p>
            <w:r>
              <w:t>Defines the service objective and remains accountable for workflow outcomes</w:t>
            </w:r>
          </w:p>
        </w:tc>
      </w:tr>
      <w:tr>
        <w:tc>
          <w:tcPr>
            <w:tcW w:type="dxa" w:w="4896"/>
            <w:vAlign w:val="top"/>
          </w:tcPr>
          <w:p>
            <w:r>
              <w:t>Subject-matter lead</w:t>
            </w:r>
          </w:p>
        </w:tc>
        <w:tc>
          <w:tcPr>
            <w:tcW w:type="dxa" w:w="4896"/>
            <w:vAlign w:val="top"/>
          </w:tcPr>
          <w:p>
            <w:r>
              <w:t>Defines categories, authoritative sources, exceptions, and quality criteria</w:t>
            </w:r>
          </w:p>
        </w:tc>
      </w:tr>
      <w:tr>
        <w:tc>
          <w:tcPr>
            <w:tcW w:type="dxa" w:w="4896"/>
            <w:vAlign w:val="top"/>
          </w:tcPr>
          <w:p>
            <w:r>
              <w:t>Technical owner</w:t>
            </w:r>
          </w:p>
        </w:tc>
        <w:tc>
          <w:tcPr>
            <w:tcW w:type="dxa" w:w="4896"/>
            <w:vAlign w:val="top"/>
          </w:tcPr>
          <w:p>
            <w:r>
              <w:t>Manages system design, integration, monitoring, and change control</w:t>
            </w:r>
          </w:p>
        </w:tc>
      </w:tr>
      <w:tr>
        <w:tc>
          <w:tcPr>
            <w:tcW w:type="dxa" w:w="4896"/>
            <w:vAlign w:val="top"/>
          </w:tcPr>
          <w:p>
            <w:r>
              <w:t>Privacy/security reviewer</w:t>
            </w:r>
          </w:p>
        </w:tc>
        <w:tc>
          <w:tcPr>
            <w:tcW w:type="dxa" w:w="4896"/>
            <w:vAlign w:val="top"/>
          </w:tcPr>
          <w:p>
            <w:r>
              <w:t>Approves data use, access, retention, vendor terms, and controls</w:t>
            </w:r>
          </w:p>
        </w:tc>
      </w:tr>
      <w:tr>
        <w:tc>
          <w:tcPr>
            <w:tcW w:type="dxa" w:w="4896"/>
            <w:vAlign w:val="top"/>
          </w:tcPr>
          <w:p>
            <w:r>
              <w:t>Evaluation lead</w:t>
            </w:r>
          </w:p>
        </w:tc>
        <w:tc>
          <w:tcPr>
            <w:tcW w:type="dxa" w:w="4896"/>
            <w:vAlign w:val="top"/>
          </w:tcPr>
          <w:p>
            <w:r>
              <w:t>Defines baseline, comparison method, metrics, and reporting</w:t>
            </w:r>
          </w:p>
        </w:tc>
      </w:tr>
      <w:tr>
        <w:tc>
          <w:tcPr>
            <w:tcW w:type="dxa" w:w="4896"/>
            <w:vAlign w:val="top"/>
          </w:tcPr>
          <w:p>
            <w:r>
              <w:t>Staff representative</w:t>
            </w:r>
          </w:p>
        </w:tc>
        <w:tc>
          <w:tcPr>
            <w:tcW w:type="dxa" w:w="4896"/>
            <w:vAlign w:val="top"/>
          </w:tcPr>
          <w:p>
            <w:r>
              <w:t>Ensures that actual work practices and job-quality effects are considered</w:t>
            </w:r>
          </w:p>
        </w:tc>
      </w:tr>
    </w:tbl>
    <w:p/>
    <w:p>
      <w:pPr>
        <w:pStyle w:val="Heading2"/>
      </w:pPr>
      <w:r>
        <w:t>9.2 Minimum project record</w:t>
      </w:r>
    </w:p>
    <w:p>
      <w:pPr>
        <w:pStyle w:val="ListBullet"/>
      </w:pPr>
      <w:r>
        <w:t>Purpose, scope, users, and accountable owner.</w:t>
      </w:r>
    </w:p>
    <w:p>
      <w:pPr>
        <w:pStyle w:val="ListBullet"/>
      </w:pPr>
      <w:r>
        <w:t>Permitted and prohibited uses.</w:t>
      </w:r>
    </w:p>
    <w:p>
      <w:pPr>
        <w:pStyle w:val="ListBullet"/>
      </w:pPr>
      <w:r>
        <w:t>Data categories, data flows, retention, and access controls.</w:t>
      </w:r>
    </w:p>
    <w:p>
      <w:pPr>
        <w:pStyle w:val="ListBullet"/>
      </w:pPr>
      <w:r>
        <w:t>Model, vendor, deployment environment, and material subcontractors.</w:t>
      </w:r>
    </w:p>
    <w:p>
      <w:pPr>
        <w:pStyle w:val="ListBullet"/>
      </w:pPr>
      <w:r>
        <w:t>Human-review and escalation points.</w:t>
      </w:r>
    </w:p>
    <w:p>
      <w:pPr>
        <w:pStyle w:val="ListBullet"/>
      </w:pPr>
      <w:r>
        <w:t>Known failure modes and excluded cases.</w:t>
      </w:r>
    </w:p>
    <w:p>
      <w:pPr>
        <w:pStyle w:val="ListBullet"/>
      </w:pPr>
      <w:r>
        <w:t>Testing results by category.</w:t>
      </w:r>
    </w:p>
    <w:p>
      <w:pPr>
        <w:pStyle w:val="ListBullet"/>
      </w:pPr>
      <w:r>
        <w:t>Monitoring measures and review frequency.</w:t>
      </w:r>
    </w:p>
    <w:p>
      <w:pPr>
        <w:pStyle w:val="ListBullet"/>
      </w:pPr>
      <w:r>
        <w:t>Incident response and user complaint process.</w:t>
      </w:r>
    </w:p>
    <w:p>
      <w:pPr>
        <w:pStyle w:val="ListBullet"/>
      </w:pPr>
      <w:r>
        <w:t>Exit, portability, and deletion arrangements.</w:t>
      </w:r>
    </w:p>
    <w:p>
      <w:pPr>
        <w:pStyle w:val="Heading2"/>
      </w:pPr>
      <w:r>
        <w:t>9.3 Privacy and data protection</w:t>
      </w:r>
    </w:p>
    <w:p>
      <w:r>
        <w:t>The institution should determine whether messages or documents can be processed by the proposed service, whether the vendor uses inputs or outputs for model training, where data is stored, how long it is retained, whether administrators can access it, and how deletion is verified. Data minimization is preferable to contractual reliance alone. A pilot may use de-identified historical messages, synthetic examples, or only the minimum fields needed for classification.</w:t>
      </w:r>
    </w:p>
    <w:p>
      <w:pPr>
        <w:pStyle w:val="Heading2"/>
      </w:pPr>
      <w:r>
        <w:t>9.4 Security</w:t>
      </w:r>
    </w:p>
    <w:p>
      <w:r>
        <w:t>AI systems introduce familiar and novel security risks. Familiar risks include excessive access, weak identity controls, insecure integration, and vendor concentration. AI-specific risks include prompt injection, malicious content in retrieved documents, unintended disclosure through generated responses, and over-broad tool permissions. Systems that can take actions should use least privilege, segmented credentials, transaction limits, logging, and approval gates.</w:t>
      </w:r>
    </w:p>
    <w:p>
      <w:pPr>
        <w:pStyle w:val="Heading2"/>
      </w:pPr>
      <w:r>
        <w:t>9.5 Transparency and contestability</w:t>
      </w:r>
    </w:p>
    <w:p>
      <w:r>
        <w:t>Staff should know when they are receiving AI recommendations and understand the limits of the system. Service users should be informed when AI materially shapes an interaction, especially when automated content is presented as institutional guidance. A person affected by an error should have a clear route to human review. Transparency should be practical rather than ceremonial: it should help users understand what the system did and how to challenge it.</w:t>
      </w:r>
    </w:p>
    <w:p>
      <w:pPr>
        <w:pStyle w:val="Heading1"/>
      </w:pPr>
      <w:r>
        <w:t>10. Workforce and Change-Management Considerations</w:t>
      </w:r>
    </w:p>
    <w:p>
      <w:r>
        <w:t>AI efficiency programs change work even when they do not reduce headcount. They may shift staff from routine handling to exception management, increase monitoring responsibilities, standardize responses, or redistribute expertise. These changes can improve job quality, but they can also create deskilling, surveillance concerns, or an expectation that staff absorb higher volumes without corresponding support.</w:t>
      </w:r>
    </w:p>
    <w:p>
      <w:r>
        <w:t>Frontline participation should begin during problem definition. Staff can identify hidden exceptions, unrealistic categories, and downstream consequences that are invisible in process documentation. They should participate in testing and have a simple mechanism for reporting systematic errors. Pilot results should be shared with them, including negative findings.</w:t>
      </w:r>
    </w:p>
    <w:p>
      <w:r>
        <w:t>Training should cover more than prompting. Staff need to understand approved and prohibited data, common model failures, verification expectations, source checking, escalation, incident reporting, and appropriate reliance. Managers need training in interpreting performance measures and distinguishing adoption from benefit.</w:t>
      </w:r>
    </w:p>
    <w:p>
      <w:r>
        <w:t>Institutions should make an explicit commitment about the purpose of released capacity. When staff believe that any efficiency gain will be used solely for job reduction, they have a rational incentive to resist or conceal problems. A credible plan may state that the pilot is intended to reduce backlog, improve response time, support growth, or redirect time to complex cases. Any workforce implications should be handled through normal governance and employment processes rather than being concealed inside a technology project.</w:t>
      </w:r>
    </w:p>
    <w:p>
      <w:pPr>
        <w:pStyle w:val="Heading1"/>
      </w:pPr>
      <w:r>
        <w:t>11. Technical and Procurement Architecture</w:t>
      </w:r>
    </w:p>
    <w:p>
      <w:r>
        <w:t>The technical design should match the task. Large language models are useful for ambiguous language, summarization, and drafting, but they need not process every case. A tiered design can reduce cost and risk.</w:t>
      </w:r>
    </w:p>
    <w:p>
      <w:pPr>
        <w:pStyle w:val="ListNumber"/>
      </w:pPr>
      <w:r>
        <w:t>Deterministic rules handle obvious patterns, prohibited content, or known addresses.</w:t>
      </w:r>
    </w:p>
    <w:p>
      <w:pPr>
        <w:pStyle w:val="ListNumber"/>
      </w:pPr>
      <w:r>
        <w:t>A smaller classifier handles standard categories with high confidence.</w:t>
      </w:r>
    </w:p>
    <w:p>
      <w:pPr>
        <w:pStyle w:val="ListNumber"/>
      </w:pPr>
      <w:r>
        <w:t>A language model processes ambiguous text or prepares a draft.</w:t>
      </w:r>
    </w:p>
    <w:p>
      <w:pPr>
        <w:pStyle w:val="ListNumber"/>
      </w:pPr>
      <w:r>
        <w:t>Retrieval provides approved institutional sources when policy information is needed.</w:t>
      </w:r>
    </w:p>
    <w:p>
      <w:pPr>
        <w:pStyle w:val="ListNumber"/>
      </w:pPr>
      <w:r>
        <w:t>Low-confidence, sensitive, or conflicting cases are routed to a person.</w:t>
      </w:r>
    </w:p>
    <w:p>
      <w:pPr>
        <w:pStyle w:val="ListNumber"/>
      </w:pPr>
      <w:r>
        <w:t>All recommendations and corrections are logged for monitoring.</w:t>
      </w:r>
    </w:p>
    <w:p>
      <w:r>
        <w:t>Retrieval-augmented generation can improve grounding by providing the model with selected institutional documents. It does not guarantee correctness. Source documents may be outdated, contradictory, or incomplete; retrieval may select the wrong passage; and the model may still misstate the source. The interface should show the underlying source and version, and staff should remain accountable for consequential interpretations.</w:t>
      </w:r>
    </w:p>
    <w:p>
      <w:pPr>
        <w:pStyle w:val="Heading2"/>
      </w:pPr>
      <w:r>
        <w:t>11.1 Procurement questions</w:t>
      </w:r>
    </w:p>
    <w:tbl>
      <w:tblPr>
        <w:tblStyle w:val="TableGrid"/>
        <w:tblW w:type="auto" w:w="0"/>
        <w:jc w:val="center"/>
        <w:tblLook w:firstColumn="1" w:firstRow="1" w:lastColumn="0" w:lastRow="0" w:noHBand="0" w:noVBand="1" w:val="04A0"/>
      </w:tblPr>
      <w:tblGrid>
        <w:gridCol w:w="4896"/>
        <w:gridCol w:w="4896"/>
      </w:tblGrid>
      <w:tr>
        <w:trPr>
          <w:tblHeader w:val="true"/>
        </w:trPr>
        <w:tc>
          <w:tcPr>
            <w:tcW w:type="dxa" w:w="4896"/>
            <w:shd w:fill="D9E2F3"/>
            <w:vAlign w:val="center"/>
          </w:tcPr>
          <w:p>
            <w:r>
              <w:rPr>
                <w:b/>
              </w:rPr>
              <w:t>Area</w:t>
            </w:r>
          </w:p>
        </w:tc>
        <w:tc>
          <w:tcPr>
            <w:tcW w:type="dxa" w:w="4896"/>
            <w:shd w:fill="D9E2F3"/>
            <w:vAlign w:val="center"/>
          </w:tcPr>
          <w:p>
            <w:r>
              <w:rPr>
                <w:b/>
              </w:rPr>
              <w:t>Questions</w:t>
            </w:r>
          </w:p>
        </w:tc>
      </w:tr>
      <w:tr>
        <w:tc>
          <w:tcPr>
            <w:tcW w:type="dxa" w:w="4896"/>
            <w:vAlign w:val="top"/>
          </w:tcPr>
          <w:p>
            <w:r>
              <w:t>Data use</w:t>
            </w:r>
          </w:p>
        </w:tc>
        <w:tc>
          <w:tcPr>
            <w:tcW w:type="dxa" w:w="4896"/>
            <w:vAlign w:val="top"/>
          </w:tcPr>
          <w:p>
            <w:r>
              <w:t>Are prompts, files, outputs, and metadata used to train models? Can this be disabled contractually and technically?</w:t>
            </w:r>
          </w:p>
        </w:tc>
      </w:tr>
      <w:tr>
        <w:tc>
          <w:tcPr>
            <w:tcW w:type="dxa" w:w="4896"/>
            <w:vAlign w:val="top"/>
          </w:tcPr>
          <w:p>
            <w:r>
              <w:t>Retention</w:t>
            </w:r>
          </w:p>
        </w:tc>
        <w:tc>
          <w:tcPr>
            <w:tcW w:type="dxa" w:w="4896"/>
            <w:vAlign w:val="top"/>
          </w:tcPr>
          <w:p>
            <w:r>
              <w:t>Where is data stored, for how long, and how is deletion verified?</w:t>
            </w:r>
          </w:p>
        </w:tc>
      </w:tr>
      <w:tr>
        <w:tc>
          <w:tcPr>
            <w:tcW w:type="dxa" w:w="4896"/>
            <w:vAlign w:val="top"/>
          </w:tcPr>
          <w:p>
            <w:r>
              <w:t>Security</w:t>
            </w:r>
          </w:p>
        </w:tc>
        <w:tc>
          <w:tcPr>
            <w:tcW w:type="dxa" w:w="4896"/>
            <w:vAlign w:val="top"/>
          </w:tcPr>
          <w:p>
            <w:r>
              <w:t>What certifications, incident processes, encryption, identity controls, and audit logs are available?</w:t>
            </w:r>
          </w:p>
        </w:tc>
      </w:tr>
      <w:tr>
        <w:tc>
          <w:tcPr>
            <w:tcW w:type="dxa" w:w="4896"/>
            <w:vAlign w:val="top"/>
          </w:tcPr>
          <w:p>
            <w:r>
              <w:t>Model change</w:t>
            </w:r>
          </w:p>
        </w:tc>
        <w:tc>
          <w:tcPr>
            <w:tcW w:type="dxa" w:w="4896"/>
            <w:vAlign w:val="top"/>
          </w:tcPr>
          <w:p>
            <w:r>
              <w:t>Can the vendor change models without notice? Can versions be pinned or tested before release?</w:t>
            </w:r>
          </w:p>
        </w:tc>
      </w:tr>
      <w:tr>
        <w:tc>
          <w:tcPr>
            <w:tcW w:type="dxa" w:w="4896"/>
            <w:vAlign w:val="top"/>
          </w:tcPr>
          <w:p>
            <w:r>
              <w:t>Performance</w:t>
            </w:r>
          </w:p>
        </w:tc>
        <w:tc>
          <w:tcPr>
            <w:tcW w:type="dxa" w:w="4896"/>
            <w:vAlign w:val="top"/>
          </w:tcPr>
          <w:p>
            <w:r>
              <w:t>Can the institution evaluate accuracy using its own data? Are confidence and abstention supported?</w:t>
            </w:r>
          </w:p>
        </w:tc>
      </w:tr>
      <w:tr>
        <w:tc>
          <w:tcPr>
            <w:tcW w:type="dxa" w:w="4896"/>
            <w:vAlign w:val="top"/>
          </w:tcPr>
          <w:p>
            <w:r>
              <w:t>Integration</w:t>
            </w:r>
          </w:p>
        </w:tc>
        <w:tc>
          <w:tcPr>
            <w:tcW w:type="dxa" w:w="4896"/>
            <w:vAlign w:val="top"/>
          </w:tcPr>
          <w:p>
            <w:r>
              <w:t>What permissions are required? Can actions be limited and approved?</w:t>
            </w:r>
          </w:p>
        </w:tc>
      </w:tr>
      <w:tr>
        <w:tc>
          <w:tcPr>
            <w:tcW w:type="dxa" w:w="4896"/>
            <w:vAlign w:val="top"/>
          </w:tcPr>
          <w:p>
            <w:r>
              <w:t>Accessibility</w:t>
            </w:r>
          </w:p>
        </w:tc>
        <w:tc>
          <w:tcPr>
            <w:tcW w:type="dxa" w:w="4896"/>
            <w:vAlign w:val="top"/>
          </w:tcPr>
          <w:p>
            <w:r>
              <w:t>Does the interface meet institutional accessibility requirements?</w:t>
            </w:r>
          </w:p>
        </w:tc>
      </w:tr>
      <w:tr>
        <w:tc>
          <w:tcPr>
            <w:tcW w:type="dxa" w:w="4896"/>
            <w:vAlign w:val="top"/>
          </w:tcPr>
          <w:p>
            <w:r>
              <w:t>Intellectual property</w:t>
            </w:r>
          </w:p>
        </w:tc>
        <w:tc>
          <w:tcPr>
            <w:tcW w:type="dxa" w:w="4896"/>
            <w:vAlign w:val="top"/>
          </w:tcPr>
          <w:p>
            <w:r>
              <w:t>Who owns outputs, configurations, feedback, and derived data?</w:t>
            </w:r>
          </w:p>
        </w:tc>
      </w:tr>
      <w:tr>
        <w:tc>
          <w:tcPr>
            <w:tcW w:type="dxa" w:w="4896"/>
            <w:vAlign w:val="top"/>
          </w:tcPr>
          <w:p>
            <w:r>
              <w:t>Exit</w:t>
            </w:r>
          </w:p>
        </w:tc>
        <w:tc>
          <w:tcPr>
            <w:tcW w:type="dxa" w:w="4896"/>
            <w:vAlign w:val="top"/>
          </w:tcPr>
          <w:p>
            <w:r>
              <w:t>Can data, prompts, logs, and configurations be exported and deleted?</w:t>
            </w:r>
          </w:p>
        </w:tc>
      </w:tr>
      <w:tr>
        <w:tc>
          <w:tcPr>
            <w:tcW w:type="dxa" w:w="4896"/>
            <w:vAlign w:val="top"/>
          </w:tcPr>
          <w:p>
            <w:r>
              <w:t>Cost</w:t>
            </w:r>
          </w:p>
        </w:tc>
        <w:tc>
          <w:tcPr>
            <w:tcW w:type="dxa" w:w="4896"/>
            <w:vAlign w:val="top"/>
          </w:tcPr>
          <w:p>
            <w:r>
              <w:t>How are tokens, messages, storage, integration, support, and future price changes charged?</w:t>
            </w:r>
          </w:p>
        </w:tc>
      </w:tr>
    </w:tbl>
    <w:p/>
    <w:p>
      <w:pPr>
        <w:pStyle w:val="Heading1"/>
      </w:pPr>
      <w:r>
        <w:t>12. Other Suitable Early Use Cases</w:t>
      </w:r>
    </w:p>
    <w:p>
      <w:r>
        <w:t>Email triage is a useful first pilot, but it is not the only suitable one. The strongest early candidates are internal, assistive, document-grounded, and easy to review.</w:t>
      </w:r>
    </w:p>
    <w:p>
      <w:pPr>
        <w:pStyle w:val="Heading2"/>
      </w:pPr>
      <w:r>
        <w:t>Policy and procedure retrieval</w:t>
      </w:r>
    </w:p>
    <w:p>
      <w:r>
        <w:t>A private assistant can search approved policies, procedures, templates, and frequently asked questions, then provide a short answer with citations to the source. Emory University’s Office of Research Administration reported a proof-of-concept private AI assistant built around curated institutional documentation. The case emphasizes secure platform selection, data curation, stakeholder feedback, governance, and financial planning (Wilson et al., 2025).</w:t>
      </w:r>
    </w:p>
    <w:p>
      <w:pPr>
        <w:pStyle w:val="Heading2"/>
      </w:pPr>
      <w:r>
        <w:t>Meeting and document administration</w:t>
      </w:r>
    </w:p>
    <w:p>
      <w:r>
        <w:t>AI can summarize non-sensitive meetings, extract action items, draft agendas, compare document versions, and convert notes into standard templates. These outputs are visible and readily reviewed.</w:t>
      </w:r>
    </w:p>
    <w:p>
      <w:pPr>
        <w:pStyle w:val="Heading2"/>
      </w:pPr>
      <w:r>
        <w:t>Form completeness checking</w:t>
      </w:r>
    </w:p>
    <w:p>
      <w:r>
        <w:t>A system can flag missing fields, inconsistent dates, or absent standard attachments. It should identify possible omissions rather than decide whether a submission is acceptable.</w:t>
      </w:r>
    </w:p>
    <w:p>
      <w:pPr>
        <w:pStyle w:val="Heading2"/>
      </w:pPr>
      <w:r>
        <w:t>Service-ticket classification</w:t>
      </w:r>
    </w:p>
    <w:p>
      <w:r>
        <w:t>IT, facilities, library, and general service requests can be categorized and routed. The workflow resembles email triage and provides clear feedback when routing is incorrect.</w:t>
      </w:r>
    </w:p>
    <w:p>
      <w:pPr>
        <w:pStyle w:val="Heading2"/>
      </w:pPr>
      <w:r>
        <w:t>Research administration support</w:t>
      </w:r>
    </w:p>
    <w:p>
      <w:r>
        <w:t>AI can summarize sponsor instructions, find internal guidance, create administrative checklists, compare a proposal with standard requirements, and draft routine communications. It should not certify compliance, approve ethics, or provide definitive sponsor interpretation without human verification.</w:t>
      </w:r>
    </w:p>
    <w:p>
      <w:pPr>
        <w:pStyle w:val="Heading2"/>
      </w:pPr>
      <w:r>
        <w:t>Internal drafting and editing</w:t>
      </w:r>
    </w:p>
    <w:p>
      <w:r>
        <w:t>Staff can use approved tools to draft routine reports, notices, standard responses, and summaries. Templates and source documents improve consistency, while human review remains necessary for factual accuracy and institutional tone.</w:t>
      </w:r>
    </w:p>
    <w:p>
      <w:pPr>
        <w:pStyle w:val="Heading1"/>
      </w:pPr>
      <w:r>
        <w:t>13. Use Cases That Should Not Be Early Pilots</w:t>
      </w:r>
    </w:p>
    <w:p>
      <w:r>
        <w:t>Early pilots should avoid activities in which an error directly affects a person’s rights, status, safety, or educational opportunity. These areas may eventually contain carefully bounded decision-support applications, but they are poor starting points because evaluation, fairness, explanation, and appeal requirements are substantially greater.</w:t>
      </w:r>
    </w:p>
    <w:p>
      <w:pPr>
        <w:pStyle w:val="ListBullet"/>
      </w:pPr>
      <w:r>
        <w:t>Admissions selection or ranking.</w:t>
      </w:r>
    </w:p>
    <w:p>
      <w:pPr>
        <w:pStyle w:val="ListBullet"/>
      </w:pPr>
      <w:r>
        <w:t>Scholarship or financial-aid allocation.</w:t>
      </w:r>
    </w:p>
    <w:p>
      <w:pPr>
        <w:pStyle w:val="ListBullet"/>
      </w:pPr>
      <w:r>
        <w:t>Grading or final academic assessment.</w:t>
      </w:r>
    </w:p>
    <w:p>
      <w:pPr>
        <w:pStyle w:val="ListBullet"/>
      </w:pPr>
      <w:r>
        <w:t>Academic-misconduct findings.</w:t>
      </w:r>
    </w:p>
    <w:p>
      <w:pPr>
        <w:pStyle w:val="ListBullet"/>
      </w:pPr>
      <w:r>
        <w:t>Employee recruitment, selection, discipline, or performance evaluation.</w:t>
      </w:r>
    </w:p>
    <w:p>
      <w:pPr>
        <w:pStyle w:val="ListBullet"/>
      </w:pPr>
      <w:r>
        <w:t>Disability accommodation decisions.</w:t>
      </w:r>
    </w:p>
    <w:p>
      <w:pPr>
        <w:pStyle w:val="ListBullet"/>
      </w:pPr>
      <w:r>
        <w:t>Mental-health or safety triage without specialized clinical governance.</w:t>
      </w:r>
    </w:p>
    <w:p>
      <w:pPr>
        <w:pStyle w:val="ListBullet"/>
      </w:pPr>
      <w:r>
        <w:t>Student discipline or threat assessment.</w:t>
      </w:r>
    </w:p>
    <w:p>
      <w:pPr>
        <w:pStyle w:val="ListBullet"/>
      </w:pPr>
      <w:r>
        <w:t>Research-ethics approval or compliance certification.</w:t>
      </w:r>
    </w:p>
    <w:p>
      <w:pPr>
        <w:pStyle w:val="ListBullet"/>
      </w:pPr>
      <w:r>
        <w:t>Predictive identification of “at-risk” students when the intervention, data, and fairness implications are not fully governed.</w:t>
      </w:r>
    </w:p>
    <w:p>
      <w:r>
        <w:t>The principle is not that AI can never assist these functions. It is that an institution should first demonstrate competence in low-risk workflows and establish mature controls before considering systems that influence consequential decisions.</w:t>
      </w:r>
    </w:p>
    <w:p>
      <w:pPr>
        <w:pStyle w:val="Heading1"/>
      </w:pPr>
      <w:r>
        <w:t>14. Common Failure Patterns</w:t>
      </w:r>
    </w:p>
    <w:p>
      <w:pPr>
        <w:pStyle w:val="Heading2"/>
      </w:pPr>
      <w:r>
        <w:t>Buying a platform before selecting the problem</w:t>
      </w:r>
    </w:p>
    <w:p>
      <w:r>
        <w:t>The organization acquires broad capability and then searches for uses. This encourages scattered adoption and weak measurement.</w:t>
      </w:r>
    </w:p>
    <w:p>
      <w:pPr>
        <w:pStyle w:val="Heading2"/>
      </w:pPr>
      <w:r>
        <w:t>Automating a poor process</w:t>
      </w:r>
    </w:p>
    <w:p>
      <w:r>
        <w:t>Unnecessary approvals, unclear ownership, and inconsistent categories are embedded rather than removed.</w:t>
      </w:r>
    </w:p>
    <w:p>
      <w:pPr>
        <w:pStyle w:val="Heading2"/>
      </w:pPr>
      <w:r>
        <w:t>Measuring activity instead of outcomes</w:t>
      </w:r>
    </w:p>
    <w:p>
      <w:r>
        <w:t>Usage counts and prompt volume are presented as evidence of efficiency.</w:t>
      </w:r>
    </w:p>
    <w:p>
      <w:pPr>
        <w:pStyle w:val="Heading2"/>
      </w:pPr>
      <w:r>
        <w:t>Treating all saved time as financial savings</w:t>
      </w:r>
    </w:p>
    <w:p>
      <w:r>
        <w:t>Capacity release is monetized without a plan to reduce cost or avoid expenditure.</w:t>
      </w:r>
    </w:p>
    <w:p>
      <w:pPr>
        <w:pStyle w:val="Heading2"/>
      </w:pPr>
      <w:r>
        <w:t>Scaling from a demonstration</w:t>
      </w:r>
    </w:p>
    <w:p>
      <w:r>
        <w:t>A few impressive examples substitute for representative testing and category-level error analysis.</w:t>
      </w:r>
    </w:p>
    <w:p>
      <w:pPr>
        <w:pStyle w:val="Heading2"/>
      </w:pPr>
      <w:r>
        <w:t>Ignoring exception work</w:t>
      </w:r>
    </w:p>
    <w:p>
      <w:r>
        <w:t>The average case improves while difficult cases become harder to identify or resolve.</w:t>
      </w:r>
    </w:p>
    <w:p>
      <w:pPr>
        <w:pStyle w:val="Heading2"/>
      </w:pPr>
      <w:r>
        <w:t>Using unapproved consumer tools</w:t>
      </w:r>
    </w:p>
    <w:p>
      <w:r>
        <w:t>Staff place institutional information into services without suitable terms, controls, or monitoring.</w:t>
      </w:r>
    </w:p>
    <w:p>
      <w:pPr>
        <w:pStyle w:val="Heading2"/>
      </w:pPr>
      <w:r>
        <w:t>Excluding frontline expertise</w:t>
      </w:r>
    </w:p>
    <w:p>
      <w:r>
        <w:t>The system lacks knowledge of actual practice and is experienced as imposed surveillance.</w:t>
      </w:r>
    </w:p>
    <w:p>
      <w:pPr>
        <w:pStyle w:val="Heading2"/>
      </w:pPr>
      <w:r>
        <w:t>Failing to design abstention</w:t>
      </w:r>
    </w:p>
    <w:p>
      <w:r>
        <w:t>The model is expected to answer or classify every case, producing confident errors.</w:t>
      </w:r>
    </w:p>
    <w:p>
      <w:pPr>
        <w:pStyle w:val="Heading2"/>
      </w:pPr>
      <w:r>
        <w:t>Neglecting model and policy change</w:t>
      </w:r>
    </w:p>
    <w:p>
      <w:r>
        <w:t>Performance is assumed stable even when vendor models, source documents, or institutional procedures change.</w:t>
      </w:r>
    </w:p>
    <w:p>
      <w:pPr>
        <w:pStyle w:val="Heading2"/>
      </w:pPr>
      <w:r>
        <w:t>Removing human access</w:t>
      </w:r>
    </w:p>
    <w:p>
      <w:r>
        <w:t>Service users cannot obtain meaningful review when the AI-assisted process fails.</w:t>
      </w:r>
    </w:p>
    <w:p>
      <w:pPr>
        <w:pStyle w:val="Heading2"/>
      </w:pPr>
      <w:r>
        <w:t>Failing to stop</w:t>
      </w:r>
    </w:p>
    <w:p>
      <w:r>
        <w:t>Sunk cost, executive sponsorship, or publicity prevents termination of an underperforming pilot.</w:t>
      </w:r>
    </w:p>
    <w:p>
      <w:pPr>
        <w:pStyle w:val="Heading1"/>
      </w:pPr>
      <w:r>
        <w:t>15. Twelve-Month Institutional Roadmap</w:t>
      </w:r>
    </w:p>
    <w:tbl>
      <w:tblPr>
        <w:tblStyle w:val="TableGrid"/>
        <w:tblW w:type="auto" w:w="0"/>
        <w:jc w:val="center"/>
        <w:tblLook w:firstColumn="1" w:firstRow="1" w:lastColumn="0" w:lastRow="0" w:noHBand="0" w:noVBand="1" w:val="04A0"/>
      </w:tblPr>
      <w:tblGrid>
        <w:gridCol w:w="3264"/>
        <w:gridCol w:w="3264"/>
        <w:gridCol w:w="3264"/>
      </w:tblGrid>
      <w:tr>
        <w:trPr>
          <w:tblHeader w:val="true"/>
        </w:trPr>
        <w:tc>
          <w:tcPr>
            <w:tcW w:type="dxa" w:w="3264"/>
            <w:shd w:fill="D9E2F3"/>
            <w:vAlign w:val="center"/>
          </w:tcPr>
          <w:p>
            <w:r>
              <w:rPr>
                <w:b/>
              </w:rPr>
              <w:t>Period</w:t>
            </w:r>
          </w:p>
        </w:tc>
        <w:tc>
          <w:tcPr>
            <w:tcW w:type="dxa" w:w="3264"/>
            <w:shd w:fill="D9E2F3"/>
            <w:vAlign w:val="center"/>
          </w:tcPr>
          <w:p>
            <w:r>
              <w:rPr>
                <w:b/>
              </w:rPr>
              <w:t>Primary activities</w:t>
            </w:r>
          </w:p>
        </w:tc>
        <w:tc>
          <w:tcPr>
            <w:tcW w:type="dxa" w:w="3264"/>
            <w:shd w:fill="D9E2F3"/>
            <w:vAlign w:val="center"/>
          </w:tcPr>
          <w:p>
            <w:r>
              <w:rPr>
                <w:b/>
              </w:rPr>
              <w:t>Outputs</w:t>
            </w:r>
          </w:p>
        </w:tc>
      </w:tr>
      <w:tr>
        <w:tc>
          <w:tcPr>
            <w:tcW w:type="dxa" w:w="3264"/>
            <w:vAlign w:val="top"/>
          </w:tcPr>
          <w:p>
            <w:r>
              <w:t>Months 1–2</w:t>
            </w:r>
          </w:p>
        </w:tc>
        <w:tc>
          <w:tcPr>
            <w:tcW w:type="dxa" w:w="3264"/>
            <w:vAlign w:val="top"/>
          </w:tcPr>
          <w:p>
            <w:r>
              <w:t>Create interim data rules; identify sponsor and pilot unit; map the inbox process; collect baseline data</w:t>
            </w:r>
          </w:p>
        </w:tc>
        <w:tc>
          <w:tcPr>
            <w:tcW w:type="dxa" w:w="3264"/>
            <w:vAlign w:val="top"/>
          </w:tcPr>
          <w:p>
            <w:r>
              <w:t>Pilot charter, process map, baseline, risk screen</w:t>
            </w:r>
          </w:p>
        </w:tc>
      </w:tr>
      <w:tr>
        <w:tc>
          <w:tcPr>
            <w:tcW w:type="dxa" w:w="3264"/>
            <w:vAlign w:val="top"/>
          </w:tcPr>
          <w:p>
            <w:r>
              <w:t>Months 3–4</w:t>
            </w:r>
          </w:p>
        </w:tc>
        <w:tc>
          <w:tcPr>
            <w:tcW w:type="dxa" w:w="3264"/>
            <w:vAlign w:val="top"/>
          </w:tcPr>
          <w:p>
            <w:r>
              <w:t>Select tool and architecture; prepare authorized data; define categories, exclusions, and thresholds</w:t>
            </w:r>
          </w:p>
        </w:tc>
        <w:tc>
          <w:tcPr>
            <w:tcW w:type="dxa" w:w="3264"/>
            <w:vAlign w:val="top"/>
          </w:tcPr>
          <w:p>
            <w:r>
              <w:t>Test environment, data set, evaluation protocol</w:t>
            </w:r>
          </w:p>
        </w:tc>
      </w:tr>
      <w:tr>
        <w:tc>
          <w:tcPr>
            <w:tcW w:type="dxa" w:w="3264"/>
            <w:vAlign w:val="top"/>
          </w:tcPr>
          <w:p>
            <w:r>
              <w:t>Months 5–6</w:t>
            </w:r>
          </w:p>
        </w:tc>
        <w:tc>
          <w:tcPr>
            <w:tcW w:type="dxa" w:w="3264"/>
            <w:vAlign w:val="top"/>
          </w:tcPr>
          <w:p>
            <w:r>
              <w:t>Run shadow mode; analyze category-level performance; correct process and system design</w:t>
            </w:r>
          </w:p>
        </w:tc>
        <w:tc>
          <w:tcPr>
            <w:tcW w:type="dxa" w:w="3264"/>
            <w:vAlign w:val="top"/>
          </w:tcPr>
          <w:p>
            <w:r>
              <w:t>Shadow report and go/no-go decision</w:t>
            </w:r>
          </w:p>
        </w:tc>
      </w:tr>
      <w:tr>
        <w:tc>
          <w:tcPr>
            <w:tcW w:type="dxa" w:w="3264"/>
            <w:vAlign w:val="top"/>
          </w:tcPr>
          <w:p>
            <w:r>
              <w:t>Months 7–8</w:t>
            </w:r>
          </w:p>
        </w:tc>
        <w:tc>
          <w:tcPr>
            <w:tcW w:type="dxa" w:w="3264"/>
            <w:vAlign w:val="top"/>
          </w:tcPr>
          <w:p>
            <w:r>
              <w:t>Run human-reviewed assisted pilot with control or comparison group</w:t>
            </w:r>
          </w:p>
        </w:tc>
        <w:tc>
          <w:tcPr>
            <w:tcW w:type="dxa" w:w="3264"/>
            <w:vAlign w:val="top"/>
          </w:tcPr>
          <w:p>
            <w:r>
              <w:t>Operational evaluation and staff feedback</w:t>
            </w:r>
          </w:p>
        </w:tc>
      </w:tr>
      <w:tr>
        <w:tc>
          <w:tcPr>
            <w:tcW w:type="dxa" w:w="3264"/>
            <w:vAlign w:val="top"/>
          </w:tcPr>
          <w:p>
            <w:r>
              <w:t>Month 9</w:t>
            </w:r>
          </w:p>
        </w:tc>
        <w:tc>
          <w:tcPr>
            <w:tcW w:type="dxa" w:w="3264"/>
            <w:vAlign w:val="top"/>
          </w:tcPr>
          <w:p>
            <w:r>
              <w:t>Assess full costs, benefits, privacy, security, accessibility, and service quality</w:t>
            </w:r>
          </w:p>
        </w:tc>
        <w:tc>
          <w:tcPr>
            <w:tcW w:type="dxa" w:w="3264"/>
            <w:vAlign w:val="top"/>
          </w:tcPr>
          <w:p>
            <w:r>
              <w:t>Benefit-realization report</w:t>
            </w:r>
          </w:p>
        </w:tc>
      </w:tr>
      <w:tr>
        <w:tc>
          <w:tcPr>
            <w:tcW w:type="dxa" w:w="3264"/>
            <w:vAlign w:val="top"/>
          </w:tcPr>
          <w:p>
            <w:r>
              <w:t>Month 10</w:t>
            </w:r>
          </w:p>
        </w:tc>
        <w:tc>
          <w:tcPr>
            <w:tcW w:type="dxa" w:w="3264"/>
            <w:vAlign w:val="top"/>
          </w:tcPr>
          <w:p>
            <w:r>
              <w:t>Decide to stop, revise, or scale; document lessons and reusable controls</w:t>
            </w:r>
          </w:p>
        </w:tc>
        <w:tc>
          <w:tcPr>
            <w:tcW w:type="dxa" w:w="3264"/>
            <w:vAlign w:val="top"/>
          </w:tcPr>
          <w:p>
            <w:r>
              <w:t>Decision record and updated standards</w:t>
            </w:r>
          </w:p>
        </w:tc>
      </w:tr>
      <w:tr>
        <w:tc>
          <w:tcPr>
            <w:tcW w:type="dxa" w:w="3264"/>
            <w:vAlign w:val="top"/>
          </w:tcPr>
          <w:p>
            <w:r>
              <w:t>Months 11–12</w:t>
            </w:r>
          </w:p>
        </w:tc>
        <w:tc>
          <w:tcPr>
            <w:tcW w:type="dxa" w:w="3264"/>
            <w:vAlign w:val="top"/>
          </w:tcPr>
          <w:p>
            <w:r>
              <w:t>Replicate in a similar low-risk workflow; create institutional register and monitoring process</w:t>
            </w:r>
          </w:p>
        </w:tc>
        <w:tc>
          <w:tcPr>
            <w:tcW w:type="dxa" w:w="3264"/>
            <w:vAlign w:val="top"/>
          </w:tcPr>
          <w:p>
            <w:r>
              <w:t>Second pilot, governance register, annual portfolio plan</w:t>
            </w:r>
          </w:p>
        </w:tc>
      </w:tr>
    </w:tbl>
    <w:p/>
    <w:p>
      <w:r>
        <w:t>This schedule is illustrative. The institution should extend the timeline when data preparation, consultation, procurement, collective-agreement considerations, or privacy assessment require additional work. Speed is not the primary success criterion. The objective is to build a repeatable institutional method.</w:t>
      </w:r>
    </w:p>
    <w:p>
      <w:pPr>
        <w:pStyle w:val="Heading1"/>
      </w:pPr>
      <w:r>
        <w:t>16. Recommendations</w:t>
      </w:r>
    </w:p>
    <w:p>
      <w:r>
        <w:rPr>
          <w:b/>
        </w:rPr>
        <w:t xml:space="preserve">1. Adopt a workflow-first strategy. </w:t>
      </w:r>
      <w:r>
        <w:t>Require every proposed AI project to begin with a quantified operational problem, process map, accountable owner, and baseline.</w:t>
      </w:r>
    </w:p>
    <w:p>
      <w:r>
        <w:rPr>
          <w:b/>
        </w:rPr>
        <w:t xml:space="preserve">2. Use “small” to mean bounded, not inconsequential. </w:t>
      </w:r>
      <w:r>
        <w:t>Choose a real service burden with enough volume to support meaningful evaluation.</w:t>
      </w:r>
    </w:p>
    <w:p>
      <w:r>
        <w:rPr>
          <w:b/>
        </w:rPr>
        <w:t xml:space="preserve">3. Begin with assistance and triage. </w:t>
      </w:r>
      <w:r>
        <w:t>Prefer recommendations, retrieval, summarization, and drafting before workflow execution or autonomous decisions.</w:t>
      </w:r>
    </w:p>
    <w:p>
      <w:r>
        <w:rPr>
          <w:b/>
        </w:rPr>
        <w:t xml:space="preserve">4. Make shadow mode standard. </w:t>
      </w:r>
      <w:r>
        <w:t>Test on representative cases without affecting operations before staff or service users rely on the output.</w:t>
      </w:r>
    </w:p>
    <w:p>
      <w:r>
        <w:rPr>
          <w:b/>
        </w:rPr>
        <w:t xml:space="preserve">5. Require abstention and escalation. </w:t>
      </w:r>
      <w:r>
        <w:t>A responsible system must be able to say that it is uncertain and route the case to a person.</w:t>
      </w:r>
    </w:p>
    <w:p>
      <w:r>
        <w:rPr>
          <w:b/>
        </w:rPr>
        <w:t xml:space="preserve">6. Measure the human–AI system. </w:t>
      </w:r>
      <w:r>
        <w:t>Include verification time, corrections, downstream effects, service quality, and staff experience.</w:t>
      </w:r>
    </w:p>
    <w:p>
      <w:r>
        <w:rPr>
          <w:b/>
        </w:rPr>
        <w:t xml:space="preserve">7. Separate financial savings from capacity and quality. </w:t>
      </w:r>
      <w:r>
        <w:t>State clearly which benefits are cashable, which release capacity, and how released capacity will be used.</w:t>
      </w:r>
    </w:p>
    <w:p>
      <w:r>
        <w:rPr>
          <w:b/>
        </w:rPr>
        <w:t xml:space="preserve">8. Protect human accountability. </w:t>
      </w:r>
      <w:r>
        <w:t>Do not permit AI to become the unreviewable source of consequential institutional decisions.</w:t>
      </w:r>
    </w:p>
    <w:p>
      <w:r>
        <w:rPr>
          <w:b/>
        </w:rPr>
        <w:t xml:space="preserve">9. Build reusable governance through pilots. </w:t>
      </w:r>
      <w:r>
        <w:t>Use each pilot to improve data rules, procurement language, monitoring, training, and incident response.</w:t>
      </w:r>
    </w:p>
    <w:p>
      <w:r>
        <w:rPr>
          <w:b/>
        </w:rPr>
        <w:t xml:space="preserve">10. Scale by similarity. </w:t>
      </w:r>
      <w:r>
        <w:t>After a successful inbox pilot, expand first to another comparable queue rather than to a high-consequence decision process.</w:t>
      </w:r>
    </w:p>
    <w:p>
      <w:r>
        <w:rPr>
          <w:b/>
        </w:rPr>
        <w:t xml:space="preserve">11. Publish results internally. </w:t>
      </w:r>
      <w:r>
        <w:t>Share positive and negative evidence so that the institution learns collectively and avoids repeated experiments.</w:t>
      </w:r>
    </w:p>
    <w:p>
      <w:r>
        <w:rPr>
          <w:b/>
        </w:rPr>
        <w:t xml:space="preserve">12. Maintain the option to stop. </w:t>
      </w:r>
      <w:r>
        <w:t>Predetermine termination criteria and treat discontinuation of an ineffective tool as a successful governance outcome.</w:t>
      </w:r>
    </w:p>
    <w:p>
      <w:pPr>
        <w:pStyle w:val="Heading2"/>
      </w:pPr>
      <w:r>
        <w:t>Overall conclusion</w:t>
      </w:r>
    </w:p>
    <w:p>
      <w:r>
        <w:t>AI can improve business efficiency in academic settings when it is used to augment well-defined work rather than to replace institutional judgment indiscriminately. The central challenge is not obtaining access to a capable model. It is choosing an appropriate problem, preparing trustworthy knowledge, redesigning the process, governing the data, measuring outcomes, and maintaining accountable human review.</w:t>
      </w:r>
    </w:p>
    <w:p>
      <w:r>
        <w:t>Email triage is an appropriate first example because it permits useful assistance at low levels of autonomy. A system can suggest a category, priority, destination, summary, and draft response while staff retain control. This creates a practical test of whether AI reduces administrative burden without exposing the institution to unnecessary risk. If the pilot succeeds, the institution gains more than a tool: it gains a repeatable method for evaluating future AI investments.</w:t>
      </w:r>
    </w:p>
    <w:p>
      <w:pPr>
        <w:pStyle w:val="Heading1"/>
      </w:pPr>
      <w:r>
        <w:t>Appendix A: Sample Email-Triage Pilot Charter</w:t>
      </w:r>
    </w:p>
    <w:tbl>
      <w:tblPr>
        <w:tblStyle w:val="TableGrid"/>
        <w:tblW w:type="auto" w:w="0"/>
        <w:jc w:val="center"/>
        <w:tblLook w:firstColumn="1" w:firstRow="1" w:lastColumn="0" w:lastRow="0" w:noHBand="0" w:noVBand="1" w:val="04A0"/>
      </w:tblPr>
      <w:tblGrid>
        <w:gridCol w:w="4896"/>
        <w:gridCol w:w="4896"/>
      </w:tblGrid>
      <w:tr>
        <w:trPr>
          <w:tblHeader w:val="true"/>
        </w:trPr>
        <w:tc>
          <w:tcPr>
            <w:tcW w:type="dxa" w:w="4896"/>
            <w:shd w:fill="D9E2F3"/>
            <w:vAlign w:val="center"/>
          </w:tcPr>
          <w:p>
            <w:r>
              <w:rPr>
                <w:b/>
              </w:rPr>
              <w:t>Field</w:t>
            </w:r>
          </w:p>
        </w:tc>
        <w:tc>
          <w:tcPr>
            <w:tcW w:type="dxa" w:w="4896"/>
            <w:shd w:fill="D9E2F3"/>
            <w:vAlign w:val="center"/>
          </w:tcPr>
          <w:p>
            <w:r>
              <w:rPr>
                <w:b/>
              </w:rPr>
              <w:t>Illustrative entry</w:t>
            </w:r>
          </w:p>
        </w:tc>
      </w:tr>
      <w:tr>
        <w:tc>
          <w:tcPr>
            <w:tcW w:type="dxa" w:w="4896"/>
            <w:vAlign w:val="top"/>
          </w:tcPr>
          <w:p>
            <w:r>
              <w:t>Pilot name</w:t>
            </w:r>
          </w:p>
        </w:tc>
        <w:tc>
          <w:tcPr>
            <w:tcW w:type="dxa" w:w="4896"/>
            <w:vAlign w:val="top"/>
          </w:tcPr>
          <w:p>
            <w:r>
              <w:t>Graduate Studies Shared Inbox Triage Pilot</w:t>
            </w:r>
          </w:p>
        </w:tc>
      </w:tr>
      <w:tr>
        <w:tc>
          <w:tcPr>
            <w:tcW w:type="dxa" w:w="4896"/>
            <w:vAlign w:val="top"/>
          </w:tcPr>
          <w:p>
            <w:r>
              <w:t>Problem</w:t>
            </w:r>
          </w:p>
        </w:tc>
        <w:tc>
          <w:tcPr>
            <w:tcW w:type="dxa" w:w="4896"/>
            <w:vAlign w:val="top"/>
          </w:tcPr>
          <w:p>
            <w:r>
              <w:t>High message volume, slow initial routing, and avoidable reassignment</w:t>
            </w:r>
          </w:p>
        </w:tc>
      </w:tr>
      <w:tr>
        <w:tc>
          <w:tcPr>
            <w:tcW w:type="dxa" w:w="4896"/>
            <w:vAlign w:val="top"/>
          </w:tcPr>
          <w:p>
            <w:r>
              <w:t>Objective</w:t>
            </w:r>
          </w:p>
        </w:tc>
        <w:tc>
          <w:tcPr>
            <w:tcW w:type="dxa" w:w="4896"/>
            <w:vAlign w:val="top"/>
          </w:tcPr>
          <w:p>
            <w:r>
              <w:t>Reduce median triage time while maintaining or improving routing accuracy and urgent-case detection</w:t>
            </w:r>
          </w:p>
        </w:tc>
      </w:tr>
      <w:tr>
        <w:tc>
          <w:tcPr>
            <w:tcW w:type="dxa" w:w="4896"/>
            <w:vAlign w:val="top"/>
          </w:tcPr>
          <w:p>
            <w:r>
              <w:t>Scope</w:t>
            </w:r>
          </w:p>
        </w:tc>
        <w:tc>
          <w:tcPr>
            <w:tcW w:type="dxa" w:w="4896"/>
            <w:vAlign w:val="top"/>
          </w:tcPr>
          <w:p>
            <w:r>
              <w:t>One inbox; routine information, status, document, and technical inquiries</w:t>
            </w:r>
          </w:p>
        </w:tc>
      </w:tr>
      <w:tr>
        <w:tc>
          <w:tcPr>
            <w:tcW w:type="dxa" w:w="4896"/>
            <w:vAlign w:val="top"/>
          </w:tcPr>
          <w:p>
            <w:r>
              <w:t>Exclusions</w:t>
            </w:r>
          </w:p>
        </w:tc>
        <w:tc>
          <w:tcPr>
            <w:tcW w:type="dxa" w:w="4896"/>
            <w:vAlign w:val="top"/>
          </w:tcPr>
          <w:p>
            <w:r>
              <w:t>Accommodation, safety, health, legal, misconduct, employment, appeals, and novel policy cases</w:t>
            </w:r>
          </w:p>
        </w:tc>
      </w:tr>
      <w:tr>
        <w:tc>
          <w:tcPr>
            <w:tcW w:type="dxa" w:w="4896"/>
            <w:vAlign w:val="top"/>
          </w:tcPr>
          <w:p>
            <w:r>
              <w:t>AI actions</w:t>
            </w:r>
          </w:p>
        </w:tc>
        <w:tc>
          <w:tcPr>
            <w:tcW w:type="dxa" w:w="4896"/>
            <w:vAlign w:val="top"/>
          </w:tcPr>
          <w:p>
            <w:r>
              <w:t>Suggest label, priority, destination, summary, and draft acknowledgement</w:t>
            </w:r>
          </w:p>
        </w:tc>
      </w:tr>
      <w:tr>
        <w:tc>
          <w:tcPr>
            <w:tcW w:type="dxa" w:w="4896"/>
            <w:vAlign w:val="top"/>
          </w:tcPr>
          <w:p>
            <w:r>
              <w:t>Prohibited actions</w:t>
            </w:r>
          </w:p>
        </w:tc>
        <w:tc>
          <w:tcPr>
            <w:tcW w:type="dxa" w:w="4896"/>
            <w:vAlign w:val="top"/>
          </w:tcPr>
          <w:p>
            <w:r>
              <w:t>External sending, deletion, record changes, eligibility or policy decisions</w:t>
            </w:r>
          </w:p>
        </w:tc>
      </w:tr>
      <w:tr>
        <w:tc>
          <w:tcPr>
            <w:tcW w:type="dxa" w:w="4896"/>
            <w:vAlign w:val="top"/>
          </w:tcPr>
          <w:p>
            <w:r>
              <w:t>Owner</w:t>
            </w:r>
          </w:p>
        </w:tc>
        <w:tc>
          <w:tcPr>
            <w:tcW w:type="dxa" w:w="4896"/>
            <w:vAlign w:val="top"/>
          </w:tcPr>
          <w:p>
            <w:r>
              <w:t>Director of Graduate Administration</w:t>
            </w:r>
          </w:p>
        </w:tc>
      </w:tr>
      <w:tr>
        <w:tc>
          <w:tcPr>
            <w:tcW w:type="dxa" w:w="4896"/>
            <w:vAlign w:val="top"/>
          </w:tcPr>
          <w:p>
            <w:r>
              <w:t>Pilot period</w:t>
            </w:r>
          </w:p>
        </w:tc>
        <w:tc>
          <w:tcPr>
            <w:tcW w:type="dxa" w:w="4896"/>
            <w:vAlign w:val="top"/>
          </w:tcPr>
          <w:p>
            <w:r>
              <w:t>Baseline, shadow mode, and assisted-use phases</w:t>
            </w:r>
          </w:p>
        </w:tc>
      </w:tr>
      <w:tr>
        <w:tc>
          <w:tcPr>
            <w:tcW w:type="dxa" w:w="4896"/>
            <w:vAlign w:val="top"/>
          </w:tcPr>
          <w:p>
            <w:r>
              <w:t>Success measures</w:t>
            </w:r>
          </w:p>
        </w:tc>
        <w:tc>
          <w:tcPr>
            <w:tcW w:type="dxa" w:w="4896"/>
            <w:vAlign w:val="top"/>
          </w:tcPr>
          <w:p>
            <w:r>
              <w:t>Time, accuracy, urgent recall, rework, service quality, staff effort, total cost</w:t>
            </w:r>
          </w:p>
        </w:tc>
      </w:tr>
      <w:tr>
        <w:tc>
          <w:tcPr>
            <w:tcW w:type="dxa" w:w="4896"/>
            <w:vAlign w:val="top"/>
          </w:tcPr>
          <w:p>
            <w:r>
              <w:t>Decision</w:t>
            </w:r>
          </w:p>
        </w:tc>
        <w:tc>
          <w:tcPr>
            <w:tcW w:type="dxa" w:w="4896"/>
            <w:vAlign w:val="top"/>
          </w:tcPr>
          <w:p>
            <w:r>
              <w:t>Stop, revise, replicate, or scale based on predetermined thresholds</w:t>
            </w:r>
          </w:p>
        </w:tc>
      </w:tr>
    </w:tbl>
    <w:p/>
    <w:p>
      <w:pPr>
        <w:pStyle w:val="Heading1"/>
      </w:pPr>
      <w:r>
        <w:t>Appendix B: Sample Risk Screen</w:t>
      </w:r>
    </w:p>
    <w:tbl>
      <w:tblPr>
        <w:tblStyle w:val="TableGrid"/>
        <w:tblW w:type="auto" w:w="0"/>
        <w:jc w:val="center"/>
        <w:tblLook w:firstColumn="1" w:firstRow="1" w:lastColumn="0" w:lastRow="0" w:noHBand="0" w:noVBand="1" w:val="04A0"/>
      </w:tblPr>
      <w:tblGrid>
        <w:gridCol w:w="3264"/>
        <w:gridCol w:w="3264"/>
        <w:gridCol w:w="3264"/>
      </w:tblGrid>
      <w:tr>
        <w:trPr>
          <w:tblHeader w:val="true"/>
        </w:trPr>
        <w:tc>
          <w:tcPr>
            <w:tcW w:type="dxa" w:w="3264"/>
            <w:shd w:fill="D9E2F3"/>
            <w:vAlign w:val="center"/>
          </w:tcPr>
          <w:p>
            <w:r>
              <w:rPr>
                <w:b/>
              </w:rPr>
              <w:t>Question</w:t>
            </w:r>
          </w:p>
        </w:tc>
        <w:tc>
          <w:tcPr>
            <w:tcW w:type="dxa" w:w="3264"/>
            <w:shd w:fill="D9E2F3"/>
            <w:vAlign w:val="center"/>
          </w:tcPr>
          <w:p>
            <w:r>
              <w:rPr>
                <w:b/>
              </w:rPr>
              <w:t>Low-risk indication</w:t>
            </w:r>
          </w:p>
        </w:tc>
        <w:tc>
          <w:tcPr>
            <w:tcW w:type="dxa" w:w="3264"/>
            <w:shd w:fill="D9E2F3"/>
            <w:vAlign w:val="center"/>
          </w:tcPr>
          <w:p>
            <w:r>
              <w:rPr>
                <w:b/>
              </w:rPr>
              <w:t>Escalation indication</w:t>
            </w:r>
          </w:p>
        </w:tc>
      </w:tr>
      <w:tr>
        <w:tc>
          <w:tcPr>
            <w:tcW w:type="dxa" w:w="3264"/>
            <w:vAlign w:val="top"/>
          </w:tcPr>
          <w:p>
            <w:r>
              <w:t>Does the output affect rights or status?</w:t>
            </w:r>
          </w:p>
        </w:tc>
        <w:tc>
          <w:tcPr>
            <w:tcW w:type="dxa" w:w="3264"/>
            <w:vAlign w:val="top"/>
          </w:tcPr>
          <w:p>
            <w:r>
              <w:t>No; recommendation only</w:t>
            </w:r>
          </w:p>
        </w:tc>
        <w:tc>
          <w:tcPr>
            <w:tcW w:type="dxa" w:w="3264"/>
            <w:vAlign w:val="top"/>
          </w:tcPr>
          <w:p>
            <w:r>
              <w:t>Yes; admission, grading, employment, aid, discipline, accommodation</w:t>
            </w:r>
          </w:p>
        </w:tc>
      </w:tr>
      <w:tr>
        <w:tc>
          <w:tcPr>
            <w:tcW w:type="dxa" w:w="3264"/>
            <w:vAlign w:val="top"/>
          </w:tcPr>
          <w:p>
            <w:r>
              <w:t>Can an error be reversed easily?</w:t>
            </w:r>
          </w:p>
        </w:tc>
        <w:tc>
          <w:tcPr>
            <w:tcW w:type="dxa" w:w="3264"/>
            <w:vAlign w:val="top"/>
          </w:tcPr>
          <w:p>
            <w:r>
              <w:t>Yes, before external action</w:t>
            </w:r>
          </w:p>
        </w:tc>
        <w:tc>
          <w:tcPr>
            <w:tcW w:type="dxa" w:w="3264"/>
            <w:vAlign w:val="top"/>
          </w:tcPr>
          <w:p>
            <w:r>
              <w:t>No or only after material harm</w:t>
            </w:r>
          </w:p>
        </w:tc>
      </w:tr>
      <w:tr>
        <w:tc>
          <w:tcPr>
            <w:tcW w:type="dxa" w:w="3264"/>
            <w:vAlign w:val="top"/>
          </w:tcPr>
          <w:p>
            <w:r>
              <w:t>Is sensitive data involved?</w:t>
            </w:r>
          </w:p>
        </w:tc>
        <w:tc>
          <w:tcPr>
            <w:tcW w:type="dxa" w:w="3264"/>
            <w:vAlign w:val="top"/>
          </w:tcPr>
          <w:p>
            <w:r>
              <w:t>Minimal and approved</w:t>
            </w:r>
          </w:p>
        </w:tc>
        <w:tc>
          <w:tcPr>
            <w:tcW w:type="dxa" w:w="3264"/>
            <w:vAlign w:val="top"/>
          </w:tcPr>
          <w:p>
            <w:r>
              <w:t>Health, disability, safety, legal, protected or highly confidential data</w:t>
            </w:r>
          </w:p>
        </w:tc>
      </w:tr>
      <w:tr>
        <w:tc>
          <w:tcPr>
            <w:tcW w:type="dxa" w:w="3264"/>
            <w:vAlign w:val="top"/>
          </w:tcPr>
          <w:p>
            <w:r>
              <w:t>Can a person review the output?</w:t>
            </w:r>
          </w:p>
        </w:tc>
        <w:tc>
          <w:tcPr>
            <w:tcW w:type="dxa" w:w="3264"/>
            <w:vAlign w:val="top"/>
          </w:tcPr>
          <w:p>
            <w:r>
              <w:t>Yes, at point of use</w:t>
            </w:r>
          </w:p>
        </w:tc>
        <w:tc>
          <w:tcPr>
            <w:tcW w:type="dxa" w:w="3264"/>
            <w:vAlign w:val="top"/>
          </w:tcPr>
          <w:p>
            <w:r>
              <w:t>No meaningful human review</w:t>
            </w:r>
          </w:p>
        </w:tc>
      </w:tr>
      <w:tr>
        <w:tc>
          <w:tcPr>
            <w:tcW w:type="dxa" w:w="3264"/>
            <w:vAlign w:val="top"/>
          </w:tcPr>
          <w:p>
            <w:r>
              <w:t>Can the system abstain?</w:t>
            </w:r>
          </w:p>
        </w:tc>
        <w:tc>
          <w:tcPr>
            <w:tcW w:type="dxa" w:w="3264"/>
            <w:vAlign w:val="top"/>
          </w:tcPr>
          <w:p>
            <w:r>
              <w:t>Yes, uncertain cases are escalated</w:t>
            </w:r>
          </w:p>
        </w:tc>
        <w:tc>
          <w:tcPr>
            <w:tcW w:type="dxa" w:w="3264"/>
            <w:vAlign w:val="top"/>
          </w:tcPr>
          <w:p>
            <w:r>
              <w:t>No, every case receives a definitive output</w:t>
            </w:r>
          </w:p>
        </w:tc>
      </w:tr>
      <w:tr>
        <w:tc>
          <w:tcPr>
            <w:tcW w:type="dxa" w:w="3264"/>
            <w:vAlign w:val="top"/>
          </w:tcPr>
          <w:p>
            <w:r>
              <w:t>Is performance measurable?</w:t>
            </w:r>
          </w:p>
        </w:tc>
        <w:tc>
          <w:tcPr>
            <w:tcW w:type="dxa" w:w="3264"/>
            <w:vAlign w:val="top"/>
          </w:tcPr>
          <w:p>
            <w:r>
              <w:t>Clear labels and outcomes</w:t>
            </w:r>
          </w:p>
        </w:tc>
        <w:tc>
          <w:tcPr>
            <w:tcW w:type="dxa" w:w="3264"/>
            <w:vAlign w:val="top"/>
          </w:tcPr>
          <w:p>
            <w:r>
              <w:t>Subjective or long-delayed outcomes</w:t>
            </w:r>
          </w:p>
        </w:tc>
      </w:tr>
      <w:tr>
        <w:tc>
          <w:tcPr>
            <w:tcW w:type="dxa" w:w="3264"/>
            <w:vAlign w:val="top"/>
          </w:tcPr>
          <w:p>
            <w:r>
              <w:t>Are sources authoritative?</w:t>
            </w:r>
          </w:p>
        </w:tc>
        <w:tc>
          <w:tcPr>
            <w:tcW w:type="dxa" w:w="3264"/>
            <w:vAlign w:val="top"/>
          </w:tcPr>
          <w:p>
            <w:r>
              <w:t>Curated, current, versioned</w:t>
            </w:r>
          </w:p>
        </w:tc>
        <w:tc>
          <w:tcPr>
            <w:tcW w:type="dxa" w:w="3264"/>
            <w:vAlign w:val="top"/>
          </w:tcPr>
          <w:p>
            <w:r>
              <w:t>Unknown, conflicting, or uncontrolled content</w:t>
            </w:r>
          </w:p>
        </w:tc>
      </w:tr>
    </w:tbl>
    <w:p/>
    <w:p>
      <w:pPr>
        <w:pStyle w:val="Heading1"/>
      </w:pPr>
      <w:r>
        <w:t>Appendix C: Sample Pilot Scorecard</w:t>
      </w:r>
    </w:p>
    <w:tbl>
      <w:tblPr>
        <w:tblStyle w:val="TableGrid"/>
        <w:tblW w:type="auto" w:w="0"/>
        <w:jc w:val="center"/>
        <w:tblLook w:firstColumn="1" w:firstRow="1" w:lastColumn="0" w:lastRow="0" w:noHBand="0" w:noVBand="1" w:val="04A0"/>
      </w:tblPr>
      <w:tblGrid>
        <w:gridCol w:w="1958"/>
        <w:gridCol w:w="1958"/>
        <w:gridCol w:w="1958"/>
        <w:gridCol w:w="1958"/>
        <w:gridCol w:w="1958"/>
      </w:tblGrid>
      <w:tr>
        <w:trPr>
          <w:tblHeader w:val="true"/>
        </w:trPr>
        <w:tc>
          <w:tcPr>
            <w:tcW w:type="dxa" w:w="1958"/>
            <w:shd w:fill="D9E2F3"/>
            <w:vAlign w:val="center"/>
          </w:tcPr>
          <w:p>
            <w:r>
              <w:rPr>
                <w:b/>
              </w:rPr>
              <w:t>Metric</w:t>
            </w:r>
          </w:p>
        </w:tc>
        <w:tc>
          <w:tcPr>
            <w:tcW w:type="dxa" w:w="1958"/>
            <w:shd w:fill="D9E2F3"/>
            <w:vAlign w:val="center"/>
          </w:tcPr>
          <w:p>
            <w:r>
              <w:rPr>
                <w:b/>
              </w:rPr>
              <w:t>Baseline</w:t>
            </w:r>
          </w:p>
        </w:tc>
        <w:tc>
          <w:tcPr>
            <w:tcW w:type="dxa" w:w="1958"/>
            <w:shd w:fill="D9E2F3"/>
            <w:vAlign w:val="center"/>
          </w:tcPr>
          <w:p>
            <w:r>
              <w:rPr>
                <w:b/>
              </w:rPr>
              <w:t>Target</w:t>
            </w:r>
          </w:p>
        </w:tc>
        <w:tc>
          <w:tcPr>
            <w:tcW w:type="dxa" w:w="1958"/>
            <w:shd w:fill="D9E2F3"/>
            <w:vAlign w:val="center"/>
          </w:tcPr>
          <w:p>
            <w:r>
              <w:rPr>
                <w:b/>
              </w:rPr>
              <w:t>Result</w:t>
            </w:r>
          </w:p>
        </w:tc>
        <w:tc>
          <w:tcPr>
            <w:tcW w:type="dxa" w:w="1958"/>
            <w:shd w:fill="D9E2F3"/>
            <w:vAlign w:val="center"/>
          </w:tcPr>
          <w:p>
            <w:r>
              <w:rPr>
                <w:b/>
              </w:rPr>
              <w:t>Decision note</w:t>
            </w:r>
          </w:p>
        </w:tc>
      </w:tr>
      <w:tr>
        <w:tc>
          <w:tcPr>
            <w:tcW w:type="dxa" w:w="1958"/>
            <w:vAlign w:val="top"/>
          </w:tcPr>
          <w:p>
            <w:r>
              <w:t>Median triage time</w:t>
            </w:r>
          </w:p>
        </w:tc>
        <w:tc>
          <w:tcPr>
            <w:tcW w:type="dxa" w:w="1958"/>
            <w:vAlign w:val="top"/>
          </w:tcPr>
          <w:p>
            <w:r/>
          </w:p>
        </w:tc>
        <w:tc>
          <w:tcPr>
            <w:tcW w:type="dxa" w:w="1958"/>
            <w:vAlign w:val="top"/>
          </w:tcPr>
          <w:p>
            <w:r>
              <w:t>≥20% reduction</w:t>
            </w:r>
          </w:p>
        </w:tc>
        <w:tc>
          <w:tcPr>
            <w:tcW w:type="dxa" w:w="1958"/>
            <w:vAlign w:val="top"/>
          </w:tcPr>
          <w:p>
            <w:r/>
          </w:p>
        </w:tc>
        <w:tc>
          <w:tcPr>
            <w:tcW w:type="dxa" w:w="1958"/>
            <w:vAlign w:val="top"/>
          </w:tcPr>
          <w:p>
            <w:r/>
          </w:p>
        </w:tc>
      </w:tr>
      <w:tr>
        <w:tc>
          <w:tcPr>
            <w:tcW w:type="dxa" w:w="1958"/>
            <w:vAlign w:val="top"/>
          </w:tcPr>
          <w:p>
            <w:r>
              <w:t>Overall first-routing accuracy</w:t>
            </w:r>
          </w:p>
        </w:tc>
        <w:tc>
          <w:tcPr>
            <w:tcW w:type="dxa" w:w="1958"/>
            <w:vAlign w:val="top"/>
          </w:tcPr>
          <w:p>
            <w:r/>
          </w:p>
        </w:tc>
        <w:tc>
          <w:tcPr>
            <w:tcW w:type="dxa" w:w="1958"/>
            <w:vAlign w:val="top"/>
          </w:tcPr>
          <w:p>
            <w:r>
              <w:t>≥90%</w:t>
            </w:r>
          </w:p>
        </w:tc>
        <w:tc>
          <w:tcPr>
            <w:tcW w:type="dxa" w:w="1958"/>
            <w:vAlign w:val="top"/>
          </w:tcPr>
          <w:p>
            <w:r/>
          </w:p>
        </w:tc>
        <w:tc>
          <w:tcPr>
            <w:tcW w:type="dxa" w:w="1958"/>
            <w:vAlign w:val="top"/>
          </w:tcPr>
          <w:p>
            <w:r/>
          </w:p>
        </w:tc>
      </w:tr>
      <w:tr>
        <w:tc>
          <w:tcPr>
            <w:tcW w:type="dxa" w:w="1958"/>
            <w:vAlign w:val="top"/>
          </w:tcPr>
          <w:p>
            <w:r>
              <w:t>Urgent-case recall</w:t>
            </w:r>
          </w:p>
        </w:tc>
        <w:tc>
          <w:tcPr>
            <w:tcW w:type="dxa" w:w="1958"/>
            <w:vAlign w:val="top"/>
          </w:tcPr>
          <w:p>
            <w:r/>
          </w:p>
        </w:tc>
        <w:tc>
          <w:tcPr>
            <w:tcW w:type="dxa" w:w="1958"/>
            <w:vAlign w:val="top"/>
          </w:tcPr>
          <w:p>
            <w:r>
              <w:t>≥98%</w:t>
            </w:r>
          </w:p>
        </w:tc>
        <w:tc>
          <w:tcPr>
            <w:tcW w:type="dxa" w:w="1958"/>
            <w:vAlign w:val="top"/>
          </w:tcPr>
          <w:p>
            <w:r/>
          </w:p>
        </w:tc>
        <w:tc>
          <w:tcPr>
            <w:tcW w:type="dxa" w:w="1958"/>
            <w:vAlign w:val="top"/>
          </w:tcPr>
          <w:p>
            <w:r/>
          </w:p>
        </w:tc>
      </w:tr>
      <w:tr>
        <w:tc>
          <w:tcPr>
            <w:tcW w:type="dxa" w:w="1958"/>
            <w:vAlign w:val="top"/>
          </w:tcPr>
          <w:p>
            <w:r>
              <w:t>Reassignment rate</w:t>
            </w:r>
          </w:p>
        </w:tc>
        <w:tc>
          <w:tcPr>
            <w:tcW w:type="dxa" w:w="1958"/>
            <w:vAlign w:val="top"/>
          </w:tcPr>
          <w:p>
            <w:r/>
          </w:p>
        </w:tc>
        <w:tc>
          <w:tcPr>
            <w:tcW w:type="dxa" w:w="1958"/>
            <w:vAlign w:val="top"/>
          </w:tcPr>
          <w:p>
            <w:r>
              <w:t>No increase</w:t>
            </w:r>
          </w:p>
        </w:tc>
        <w:tc>
          <w:tcPr>
            <w:tcW w:type="dxa" w:w="1958"/>
            <w:vAlign w:val="top"/>
          </w:tcPr>
          <w:p>
            <w:r/>
          </w:p>
        </w:tc>
        <w:tc>
          <w:tcPr>
            <w:tcW w:type="dxa" w:w="1958"/>
            <w:vAlign w:val="top"/>
          </w:tcPr>
          <w:p>
            <w:r/>
          </w:p>
        </w:tc>
      </w:tr>
      <w:tr>
        <w:tc>
          <w:tcPr>
            <w:tcW w:type="dxa" w:w="1958"/>
            <w:vAlign w:val="top"/>
          </w:tcPr>
          <w:p>
            <w:r>
              <w:t>Median resolution time</w:t>
            </w:r>
          </w:p>
        </w:tc>
        <w:tc>
          <w:tcPr>
            <w:tcW w:type="dxa" w:w="1958"/>
            <w:vAlign w:val="top"/>
          </w:tcPr>
          <w:p>
            <w:r/>
          </w:p>
        </w:tc>
        <w:tc>
          <w:tcPr>
            <w:tcW w:type="dxa" w:w="1958"/>
            <w:vAlign w:val="top"/>
          </w:tcPr>
          <w:p>
            <w:r>
              <w:t>Improvement</w:t>
            </w:r>
          </w:p>
        </w:tc>
        <w:tc>
          <w:tcPr>
            <w:tcW w:type="dxa" w:w="1958"/>
            <w:vAlign w:val="top"/>
          </w:tcPr>
          <w:p>
            <w:r/>
          </w:p>
        </w:tc>
        <w:tc>
          <w:tcPr>
            <w:tcW w:type="dxa" w:w="1958"/>
            <w:vAlign w:val="top"/>
          </w:tcPr>
          <w:p>
            <w:r/>
          </w:p>
        </w:tc>
      </w:tr>
      <w:tr>
        <w:tc>
          <w:tcPr>
            <w:tcW w:type="dxa" w:w="1958"/>
            <w:vAlign w:val="top"/>
          </w:tcPr>
          <w:p>
            <w:r>
              <w:t>Staff-rated effort</w:t>
            </w:r>
          </w:p>
        </w:tc>
        <w:tc>
          <w:tcPr>
            <w:tcW w:type="dxa" w:w="1958"/>
            <w:vAlign w:val="top"/>
          </w:tcPr>
          <w:p>
            <w:r/>
          </w:p>
        </w:tc>
        <w:tc>
          <w:tcPr>
            <w:tcW w:type="dxa" w:w="1958"/>
            <w:vAlign w:val="top"/>
          </w:tcPr>
          <w:p>
            <w:r>
              <w:t>Meaningful reduction</w:t>
            </w:r>
          </w:p>
        </w:tc>
        <w:tc>
          <w:tcPr>
            <w:tcW w:type="dxa" w:w="1958"/>
            <w:vAlign w:val="top"/>
          </w:tcPr>
          <w:p>
            <w:r/>
          </w:p>
        </w:tc>
        <w:tc>
          <w:tcPr>
            <w:tcW w:type="dxa" w:w="1958"/>
            <w:vAlign w:val="top"/>
          </w:tcPr>
          <w:p>
            <w:r/>
          </w:p>
        </w:tc>
      </w:tr>
      <w:tr>
        <w:tc>
          <w:tcPr>
            <w:tcW w:type="dxa" w:w="1958"/>
            <w:vAlign w:val="top"/>
          </w:tcPr>
          <w:p>
            <w:r>
              <w:t>Service quality</w:t>
            </w:r>
          </w:p>
        </w:tc>
        <w:tc>
          <w:tcPr>
            <w:tcW w:type="dxa" w:w="1958"/>
            <w:vAlign w:val="top"/>
          </w:tcPr>
          <w:p>
            <w:r/>
          </w:p>
        </w:tc>
        <w:tc>
          <w:tcPr>
            <w:tcW w:type="dxa" w:w="1958"/>
            <w:vAlign w:val="top"/>
          </w:tcPr>
          <w:p>
            <w:r>
              <w:t>No decline</w:t>
            </w:r>
          </w:p>
        </w:tc>
        <w:tc>
          <w:tcPr>
            <w:tcW w:type="dxa" w:w="1958"/>
            <w:vAlign w:val="top"/>
          </w:tcPr>
          <w:p>
            <w:r/>
          </w:p>
        </w:tc>
        <w:tc>
          <w:tcPr>
            <w:tcW w:type="dxa" w:w="1958"/>
            <w:vAlign w:val="top"/>
          </w:tcPr>
          <w:p>
            <w:r/>
          </w:p>
        </w:tc>
      </w:tr>
      <w:tr>
        <w:tc>
          <w:tcPr>
            <w:tcW w:type="dxa" w:w="1958"/>
            <w:vAlign w:val="top"/>
          </w:tcPr>
          <w:p>
            <w:r>
              <w:t>Privacy/security incidents</w:t>
            </w:r>
          </w:p>
        </w:tc>
        <w:tc>
          <w:tcPr>
            <w:tcW w:type="dxa" w:w="1958"/>
            <w:vAlign w:val="top"/>
          </w:tcPr>
          <w:p>
            <w:r>
              <w:t>0</w:t>
            </w:r>
          </w:p>
        </w:tc>
        <w:tc>
          <w:tcPr>
            <w:tcW w:type="dxa" w:w="1958"/>
            <w:vAlign w:val="top"/>
          </w:tcPr>
          <w:p>
            <w:r>
              <w:t>0 material incidents</w:t>
            </w:r>
          </w:p>
        </w:tc>
        <w:tc>
          <w:tcPr>
            <w:tcW w:type="dxa" w:w="1958"/>
            <w:vAlign w:val="top"/>
          </w:tcPr>
          <w:p>
            <w:r/>
          </w:p>
        </w:tc>
        <w:tc>
          <w:tcPr>
            <w:tcW w:type="dxa" w:w="1958"/>
            <w:vAlign w:val="top"/>
          </w:tcPr>
          <w:p>
            <w:r/>
          </w:p>
        </w:tc>
      </w:tr>
      <w:tr>
        <w:tc>
          <w:tcPr>
            <w:tcW w:type="dxa" w:w="1958"/>
            <w:vAlign w:val="top"/>
          </w:tcPr>
          <w:p>
            <w:r>
              <w:t>Total cost per message</w:t>
            </w:r>
          </w:p>
        </w:tc>
        <w:tc>
          <w:tcPr>
            <w:tcW w:type="dxa" w:w="1958"/>
            <w:vAlign w:val="top"/>
          </w:tcPr>
          <w:p>
            <w:r/>
          </w:p>
        </w:tc>
        <w:tc>
          <w:tcPr>
            <w:tcW w:type="dxa" w:w="1958"/>
            <w:vAlign w:val="top"/>
          </w:tcPr>
          <w:p>
            <w:r>
              <w:t>Acceptable versus benefit</w:t>
            </w:r>
          </w:p>
        </w:tc>
        <w:tc>
          <w:tcPr>
            <w:tcW w:type="dxa" w:w="1958"/>
            <w:vAlign w:val="top"/>
          </w:tcPr>
          <w:p>
            <w:r/>
          </w:p>
        </w:tc>
        <w:tc>
          <w:tcPr>
            <w:tcW w:type="dxa" w:w="1958"/>
            <w:vAlign w:val="top"/>
          </w:tcPr>
          <w:p>
            <w:r/>
          </w:p>
        </w:tc>
      </w:tr>
    </w:tbl>
    <w:p/>
    <w:p>
      <w:pPr>
        <w:pStyle w:val="Heading1"/>
      </w:pPr>
      <w:r>
        <w:t>Appendix D: Practical Checklist</w:t>
      </w:r>
    </w:p>
    <w:p>
      <w:pPr>
        <w:pStyle w:val="ListBullet"/>
      </w:pPr>
      <w:r>
        <w:t>☐ The problem is quantified and has an accountable process owner.</w:t>
      </w:r>
    </w:p>
    <w:p>
      <w:pPr>
        <w:pStyle w:val="ListBullet"/>
      </w:pPr>
      <w:r>
        <w:t>☐ The current process has been mapped and simplified.</w:t>
      </w:r>
    </w:p>
    <w:p>
      <w:pPr>
        <w:pStyle w:val="ListBullet"/>
      </w:pPr>
      <w:r>
        <w:t>☐ The pilot is bounded to a unit, workflow, and set of categories.</w:t>
      </w:r>
    </w:p>
    <w:p>
      <w:pPr>
        <w:pStyle w:val="ListBullet"/>
      </w:pPr>
      <w:r>
        <w:t>☐ High-consequence and sensitive cases are explicitly excluded or escalated.</w:t>
      </w:r>
    </w:p>
    <w:p>
      <w:pPr>
        <w:pStyle w:val="ListBullet"/>
      </w:pPr>
      <w:r>
        <w:t>☐ Authorized data use, retention, and access are documented.</w:t>
      </w:r>
    </w:p>
    <w:p>
      <w:pPr>
        <w:pStyle w:val="ListBullet"/>
      </w:pPr>
      <w:r>
        <w:t>☐ A representative baseline has been collected.</w:t>
      </w:r>
    </w:p>
    <w:p>
      <w:pPr>
        <w:pStyle w:val="ListBullet"/>
      </w:pPr>
      <w:r>
        <w:t>☐ Shadow mode precedes operational reliance.</w:t>
      </w:r>
    </w:p>
    <w:p>
      <w:pPr>
        <w:pStyle w:val="ListBullet"/>
      </w:pPr>
      <w:r>
        <w:t>☐ The system can abstain and staff can correct it easily.</w:t>
      </w:r>
    </w:p>
    <w:p>
      <w:pPr>
        <w:pStyle w:val="ListBullet"/>
      </w:pPr>
      <w:r>
        <w:t>☐ Metrics include quality, risk, staff experience, and full cost, not only speed.</w:t>
      </w:r>
    </w:p>
    <w:p>
      <w:pPr>
        <w:pStyle w:val="ListBullet"/>
      </w:pPr>
      <w:r>
        <w:t>☐ Success and termination thresholds are agreed before results are known.</w:t>
      </w:r>
    </w:p>
    <w:p>
      <w:pPr>
        <w:pStyle w:val="ListBullet"/>
      </w:pPr>
      <w:r>
        <w:t>☐ Human accountability and a route to review remain visible.</w:t>
      </w:r>
    </w:p>
    <w:p>
      <w:pPr>
        <w:pStyle w:val="ListBullet"/>
      </w:pPr>
      <w:r>
        <w:t>☐ Post-implementation monitoring and model-change testing are assigned.</w:t>
      </w:r>
    </w:p>
    <w:p>
      <w:pPr>
        <w:pStyle w:val="Heading1"/>
      </w:pPr>
      <w:r>
        <w:t>References</w:t>
      </w:r>
    </w:p>
    <w:p>
      <w:pPr>
        <w:spacing w:after="140"/>
        <w:ind w:left="432" w:hanging="432"/>
      </w:pPr>
      <w:r>
        <w:t xml:space="preserve">Brynjolfsson, E., Li, D., &amp; Raymond, L. R. (2025). Generative AI at work. The Quarterly Journal of Economics, 140(2), 889–942. </w:t>
      </w:r>
      <w:hyperlink r:id="rId9">
        <w:r>
          <w:rPr>
            <w:color w:val="0563C1"/>
            <w:u w:val="single"/>
          </w:rPr>
          <w:t>https://doi.org/10.1093/qje/qjae044</w:t>
        </w:r>
      </w:hyperlink>
    </w:p>
    <w:p>
      <w:pPr>
        <w:spacing w:after="140"/>
        <w:ind w:left="432" w:hanging="432"/>
      </w:pPr>
      <w:r>
        <w:t xml:space="preserve">EDUCAUSE. (2025). 2025 EDUCAUSE AI landscape study: Into the digital AI divide. </w:t>
      </w:r>
      <w:hyperlink r:id="rId10">
        <w:r>
          <w:rPr>
            <w:color w:val="0563C1"/>
            <w:u w:val="single"/>
          </w:rPr>
          <w:t>https://www.educause.edu/content/2025/2025-educause-ai-landscape-study/introduction-and-key-findings</w:t>
        </w:r>
      </w:hyperlink>
    </w:p>
    <w:p>
      <w:pPr>
        <w:spacing w:after="140"/>
        <w:ind w:left="432" w:hanging="432"/>
      </w:pPr>
      <w:r>
        <w:t xml:space="preserve">EDUCAUSE. (2025). Higher education generative AI readiness assessment. </w:t>
      </w:r>
      <w:hyperlink r:id="rId11">
        <w:r>
          <w:rPr>
            <w:color w:val="0563C1"/>
            <w:u w:val="single"/>
          </w:rPr>
          <w:t>https://library.educause.edu/resources/2024/4/higher-education-generative-ai-readiness-assessment</w:t>
        </w:r>
      </w:hyperlink>
    </w:p>
    <w:p>
      <w:pPr>
        <w:spacing w:after="140"/>
        <w:ind w:left="432" w:hanging="432"/>
      </w:pPr>
      <w:r>
        <w:t xml:space="preserve">EDUCAUSE. (2026). The impact of AI on work in higher education. </w:t>
      </w:r>
      <w:hyperlink r:id="rId12">
        <w:r>
          <w:rPr>
            <w:color w:val="0563C1"/>
            <w:u w:val="single"/>
          </w:rPr>
          <w:t>https://www.educause.edu/research/2026/the-impact-of-ai-on-work-in-higher-education</w:t>
        </w:r>
      </w:hyperlink>
    </w:p>
    <w:p>
      <w:pPr>
        <w:spacing w:after="140"/>
        <w:ind w:left="432" w:hanging="432"/>
      </w:pPr>
      <w:r>
        <w:t xml:space="preserve">EDUCAUSE. (2024). 2025 EDUCAUSE Top 10 #2: Administrative simplification. </w:t>
      </w:r>
      <w:hyperlink r:id="rId13">
        <w:r>
          <w:rPr>
            <w:color w:val="0563C1"/>
            <w:u w:val="single"/>
          </w:rPr>
          <w:t>https://er.educause.edu/articles/2024/10/2025-educause-top-10-2-administrative-simplification</w:t>
        </w:r>
      </w:hyperlink>
    </w:p>
    <w:p>
      <w:pPr>
        <w:spacing w:after="140"/>
        <w:ind w:left="432" w:hanging="432"/>
      </w:pPr>
      <w:r>
        <w:t xml:space="preserve">Jisc. (2024). AI maturity toolkit for tertiary education. </w:t>
      </w:r>
      <w:hyperlink r:id="rId14">
        <w:r>
          <w:rPr>
            <w:color w:val="0563C1"/>
            <w:u w:val="single"/>
          </w:rPr>
          <w:t>https://www.jisc.ac.uk/ai-maturity-toolkit-for-tertiary-education</w:t>
        </w:r>
      </w:hyperlink>
    </w:p>
    <w:p>
      <w:pPr>
        <w:spacing w:after="140"/>
        <w:ind w:left="432" w:hanging="432"/>
      </w:pPr>
      <w:r>
        <w:t xml:space="preserve">Jisc. (2024). Experimenting and exploring AI. </w:t>
      </w:r>
      <w:hyperlink r:id="rId15">
        <w:r>
          <w:rPr>
            <w:color w:val="0563C1"/>
            <w:u w:val="single"/>
          </w:rPr>
          <w:t>https://www.jisc.ac.uk/ai-maturity-toolkit-for-tertiary-education/experimenting-and-exploring/</w:t>
        </w:r>
      </w:hyperlink>
    </w:p>
    <w:p>
      <w:pPr>
        <w:spacing w:after="140"/>
        <w:ind w:left="432" w:hanging="432"/>
      </w:pPr>
      <w:r>
        <w:t xml:space="preserve">National Institute of Standards and Technology. (2023). Artificial Intelligence Risk Management Framework (AI RMF 1.0) (NIST AI 100-1). </w:t>
      </w:r>
      <w:hyperlink r:id="rId16">
        <w:r>
          <w:rPr>
            <w:color w:val="0563C1"/>
            <w:u w:val="single"/>
          </w:rPr>
          <w:t>https://doi.org/10.6028/NIST.AI.100-1</w:t>
        </w:r>
      </w:hyperlink>
    </w:p>
    <w:p>
      <w:pPr>
        <w:spacing w:after="140"/>
        <w:ind w:left="432" w:hanging="432"/>
      </w:pPr>
      <w:r>
        <w:t xml:space="preserve">National Institute of Standards and Technology. (2024). Artificial Intelligence Risk Management Framework: Generative Artificial Intelligence Profile (NIST AI 600-1). </w:t>
      </w:r>
      <w:hyperlink r:id="rId17">
        <w:r>
          <w:rPr>
            <w:color w:val="0563C1"/>
            <w:u w:val="single"/>
          </w:rPr>
          <w:t>https://doi.org/10.6028/NIST.AI.600-1</w:t>
        </w:r>
      </w:hyperlink>
    </w:p>
    <w:p>
      <w:pPr>
        <w:spacing w:after="140"/>
        <w:ind w:left="432" w:hanging="432"/>
      </w:pPr>
      <w:r>
        <w:t xml:space="preserve">Noy, S., &amp; Zhang, W. (2023). Experimental evidence on the productivity effects of generative artificial intelligence. Science, 381(6654), 187–192. </w:t>
      </w:r>
      <w:hyperlink r:id="rId18">
        <w:r>
          <w:rPr>
            <w:color w:val="0563C1"/>
            <w:u w:val="single"/>
          </w:rPr>
          <w:t>https://doi.org/10.1126/science.adh2586</w:t>
        </w:r>
      </w:hyperlink>
    </w:p>
    <w:p>
      <w:pPr>
        <w:spacing w:after="140"/>
        <w:ind w:left="432" w:hanging="432"/>
      </w:pPr>
      <w:r>
        <w:t xml:space="preserve">OECD. (2023). Emerging governance of generative AI in education. In OECD Digital Education Outlook 2023. </w:t>
      </w:r>
      <w:hyperlink r:id="rId19">
        <w:r>
          <w:rPr>
            <w:color w:val="0563C1"/>
            <w:u w:val="single"/>
          </w:rPr>
          <w:t>https://doi.org/10.1787/3cbd6269-en</w:t>
        </w:r>
      </w:hyperlink>
    </w:p>
    <w:p>
      <w:pPr>
        <w:spacing w:after="140"/>
        <w:ind w:left="432" w:hanging="432"/>
      </w:pPr>
      <w:r>
        <w:t xml:space="preserve">OECD. (2026). OECD Digital Education Outlook 2026. </w:t>
      </w:r>
      <w:hyperlink r:id="rId20">
        <w:r>
          <w:rPr>
            <w:color w:val="0563C1"/>
            <w:u w:val="single"/>
          </w:rPr>
          <w:t>https://www.oecd.org/en/publications/oecd-digital-education-outlook-2026_062a7394-en.html</w:t>
        </w:r>
      </w:hyperlink>
    </w:p>
    <w:p>
      <w:pPr>
        <w:spacing w:after="140"/>
        <w:ind w:left="432" w:hanging="432"/>
      </w:pPr>
      <w:r>
        <w:t xml:space="preserve">Sarrafzadeh, B., Awadallah, A. H., &amp; Shokouhi, M. (2019). Exploring email triage: Challenges and opportunities. Proceedings of the 2019 Conference on Human Information Interaction and Retrieval, 295–299. </w:t>
      </w:r>
      <w:hyperlink r:id="rId21">
        <w:r>
          <w:rPr>
            <w:color w:val="0563C1"/>
            <w:u w:val="single"/>
          </w:rPr>
          <w:t>https://doi.org/10.1145/3295750.3298960</w:t>
        </w:r>
      </w:hyperlink>
    </w:p>
    <w:p>
      <w:pPr>
        <w:spacing w:after="140"/>
        <w:ind w:left="432" w:hanging="432"/>
      </w:pPr>
      <w:r>
        <w:t xml:space="preserve">Wilson, L. A., et al. (2025). Advancing research administration with AI: A case study from Emory University. Journal of Research Administration. </w:t>
      </w:r>
      <w:hyperlink r:id="rId22">
        <w:r>
          <w:rPr>
            <w:color w:val="0563C1"/>
            <w:u w:val="single"/>
          </w:rPr>
          <w:t>https://files.eric.ed.gov/fulltext/EJ1491694.pdf</w:t>
        </w:r>
      </w:hyperlink>
    </w:p>
    <w:p>
      <w:pPr>
        <w:spacing w:after="140"/>
        <w:ind w:left="432" w:hanging="432"/>
      </w:pPr>
      <w:r>
        <w:t xml:space="preserve">Ithaka S+R. (2025). AI adoption in research administration at emerging research institutions. </w:t>
      </w:r>
      <w:hyperlink r:id="rId23">
        <w:r>
          <w:rPr>
            <w:color w:val="0563C1"/>
            <w:u w:val="single"/>
          </w:rPr>
          <w:t>https://sr.ithaka.org/publications/ai-adoption-in-research-administration-at-emerging-research-institutions/</w:t>
        </w:r>
      </w:hyperlink>
    </w:p>
    <w:p>
      <w:pPr>
        <w:spacing w:after="140"/>
        <w:ind w:left="432" w:hanging="432"/>
      </w:pPr>
      <w:r>
        <w:t xml:space="preserve">University of Toronto. (2025). Guideline on the use of artificial intelligence by university administrative staff. </w:t>
      </w:r>
      <w:hyperlink r:id="rId24">
        <w:r>
          <w:rPr>
            <w:color w:val="0563C1"/>
            <w:u w:val="single"/>
          </w:rPr>
          <w:t>https://people.utoronto.ca/memos/guideline-on-the-use-of-artificial-intelligence-by-university-administrative-staff/</w:t>
        </w:r>
      </w:hyperlink>
    </w:p>
    <w:sectPr w:rsidR="00FC693F" w:rsidRPr="0006063C" w:rsidSect="00034616">
      <w:headerReference w:type="default" r:id="rId25"/>
      <w:footerReference w:type="default" r:id="rId26"/>
      <w:pgSz w:w="12240" w:h="15840"/>
      <w:pgMar w:top="1080" w:right="1224" w:bottom="1008" w:left="122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fldChar w:fldCharType="begin"/>
      <w:instrText xml:space="preserve"> PAGE </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color w:val="646464"/>
        <w:sz w:val="16"/>
      </w:rPr>
      <w:t>AI-Enabled Business Efficiency Improvement in Academic Settings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69" w:lineRule="auto"/>
    </w:pPr>
    <w:rPr>
      <w:rFonts w:ascii="Aptos" w:hAnsi="Aptos" w:eastAsia="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20" w:after="140"/>
      <w:outlineLvl w:val="0"/>
    </w:pPr>
    <w:rPr>
      <w:rFonts w:asciiTheme="majorHAnsi" w:eastAsiaTheme="majorEastAsia" w:hAnsiTheme="majorHAnsi" w:cstheme="majorBidi" w:ascii="Aptos Display" w:hAnsi="Aptos Display" w:eastAsia="Aptos Display"/>
      <w:b/>
      <w:bCs/>
      <w:color w:val="1F4E79"/>
      <w:sz w:val="34"/>
      <w:szCs w:val="28"/>
    </w:rPr>
  </w:style>
  <w:style w:type="paragraph" w:styleId="Heading2">
    <w:name w:val="heading 2"/>
    <w:basedOn w:val="Normal"/>
    <w:next w:val="Normal"/>
    <w:link w:val="Heading2Char"/>
    <w:uiPriority w:val="9"/>
    <w:unhideWhenUsed/>
    <w:qFormat/>
    <w:rsid w:val="00FC693F"/>
    <w:pPr>
      <w:keepNext/>
      <w:keepLines/>
      <w:spacing w:before="200" w:after="100"/>
      <w:outlineLvl w:val="1"/>
    </w:pPr>
    <w:rPr>
      <w:rFonts w:asciiTheme="majorHAnsi" w:eastAsiaTheme="majorEastAsia" w:hAnsiTheme="majorHAnsi" w:cstheme="majorBidi" w:ascii="Aptos Display" w:hAnsi="Aptos Display" w:eastAsia="Aptos Display"/>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160" w:after="0"/>
      <w:outlineLvl w:val="2"/>
    </w:pPr>
    <w:rPr>
      <w:rFonts w:asciiTheme="majorHAnsi" w:eastAsiaTheme="majorEastAsia" w:hAnsiTheme="majorHAnsi" w:cstheme="majorBidi" w:ascii="Aptos Display" w:hAnsi="Aptos Display" w:eastAsia="Aptos Display"/>
      <w:b/>
      <w:bCs/>
      <w:color w:val="4F81BD" w:themeColor="accent1"/>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eastAsia="Aptos Display"/>
      <w:b/>
      <w:color w:val="1F4E79"/>
      <w:spacing w:val="5"/>
      <w:kern w:val="28"/>
      <w:sz w:val="5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Aptos Display" w:hAnsi="Aptos Display" w:eastAsia="Aptos Display"/>
      <w:i/>
      <w:iCs/>
      <w:color w:val="595959"/>
      <w:spacing w:val="15"/>
      <w:sz w:val="26"/>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doi.org/10.1093/qje/qjae044" TargetMode="External"/><Relationship Id="rId10" Type="http://schemas.openxmlformats.org/officeDocument/2006/relationships/hyperlink" Target="https://www.educause.edu/content/2025/2025-educause-ai-landscape-study/introduction-and-key-findings" TargetMode="External"/><Relationship Id="rId11" Type="http://schemas.openxmlformats.org/officeDocument/2006/relationships/hyperlink" Target="https://library.educause.edu/resources/2024/4/higher-education-generative-ai-readiness-assessment" TargetMode="External"/><Relationship Id="rId12" Type="http://schemas.openxmlformats.org/officeDocument/2006/relationships/hyperlink" Target="https://www.educause.edu/research/2026/the-impact-of-ai-on-work-in-higher-education" TargetMode="External"/><Relationship Id="rId13" Type="http://schemas.openxmlformats.org/officeDocument/2006/relationships/hyperlink" Target="https://er.educause.edu/articles/2024/10/2025-educause-top-10-2-administrative-simplification" TargetMode="External"/><Relationship Id="rId14" Type="http://schemas.openxmlformats.org/officeDocument/2006/relationships/hyperlink" Target="https://www.jisc.ac.uk/ai-maturity-toolkit-for-tertiary-education" TargetMode="External"/><Relationship Id="rId15" Type="http://schemas.openxmlformats.org/officeDocument/2006/relationships/hyperlink" Target="https://www.jisc.ac.uk/ai-maturity-toolkit-for-tertiary-education/experimenting-and-exploring/" TargetMode="External"/><Relationship Id="rId16" Type="http://schemas.openxmlformats.org/officeDocument/2006/relationships/hyperlink" Target="https://doi.org/10.6028/NIST.AI.100-1" TargetMode="External"/><Relationship Id="rId17" Type="http://schemas.openxmlformats.org/officeDocument/2006/relationships/hyperlink" Target="https://doi.org/10.6028/NIST.AI.600-1" TargetMode="External"/><Relationship Id="rId18" Type="http://schemas.openxmlformats.org/officeDocument/2006/relationships/hyperlink" Target="https://doi.org/10.1126/science.adh2586" TargetMode="External"/><Relationship Id="rId19" Type="http://schemas.openxmlformats.org/officeDocument/2006/relationships/hyperlink" Target="https://doi.org/10.1787/3cbd6269-en" TargetMode="External"/><Relationship Id="rId20" Type="http://schemas.openxmlformats.org/officeDocument/2006/relationships/hyperlink" Target="https://www.oecd.org/en/publications/oecd-digital-education-outlook-2026_062a7394-en.html" TargetMode="External"/><Relationship Id="rId21" Type="http://schemas.openxmlformats.org/officeDocument/2006/relationships/hyperlink" Target="https://doi.org/10.1145/3295750.3298960" TargetMode="External"/><Relationship Id="rId22" Type="http://schemas.openxmlformats.org/officeDocument/2006/relationships/hyperlink" Target="https://files.eric.ed.gov/fulltext/EJ1491694.pdf" TargetMode="External"/><Relationship Id="rId23" Type="http://schemas.openxmlformats.org/officeDocument/2006/relationships/hyperlink" Target="https://sr.ithaka.org/publications/ai-adoption-in-research-administration-at-emerging-research-institutions/" TargetMode="External"/><Relationship Id="rId24" Type="http://schemas.openxmlformats.org/officeDocument/2006/relationships/hyperlink" Target="https://people.utoronto.ca/memos/guideline-on-the-use-of-artificial-intelligence-by-university-administrative-staff/" TargetMode="External"/><Relationship Id="rId25" Type="http://schemas.openxmlformats.org/officeDocument/2006/relationships/header" Target="header1.xml"/><Relationship Id="rId26"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AI-Enabled Business Efficiency Improvement in Academic Settings</dc:title>
  <dc:subject>Implementation methods, governance, measurement, and small-scale pilots in universities and colleges</dc:subject>
  <dc:creator>OpenAI</dc:creator>
  <cp:keywords>artificial intelligence, higher education, academic administration, efficiency, email triage, governance</cp:keywords>
  <dc:description>generated by python-docx</dc:description>
  <cp:lastModifiedBy/>
  <cp:revision>1</cp:revision>
  <dcterms:created xsi:type="dcterms:W3CDTF">2013-12-23T23:15:00Z</dcterms:created>
  <dcterms:modified xsi:type="dcterms:W3CDTF">2013-12-23T23:15:00Z</dcterms:modified>
  <cp:category/>
</cp:coreProperties>
</file>