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11B2F" w14:textId="5A814F72" w:rsidR="00560A21" w:rsidRDefault="00560A21">
      <w:pPr>
        <w:rPr>
          <w:b/>
          <w:bCs/>
          <w:lang w:val="en-US"/>
        </w:rPr>
      </w:pPr>
      <w:r>
        <w:rPr>
          <w:b/>
          <w:bCs/>
          <w:lang w:val="en-US"/>
        </w:rPr>
        <w:t xml:space="preserve">Supplemental Material: Testing whether adding protein structure characters increases accuracy of phylogenetic inference, using congruence of LECA </w:t>
      </w:r>
      <w:proofErr w:type="spellStart"/>
      <w:r>
        <w:rPr>
          <w:b/>
          <w:bCs/>
          <w:lang w:val="en-US"/>
        </w:rPr>
        <w:t>MitoCOG</w:t>
      </w:r>
      <w:proofErr w:type="spellEnd"/>
      <w:r>
        <w:rPr>
          <w:b/>
          <w:bCs/>
          <w:lang w:val="en-US"/>
        </w:rPr>
        <w:t xml:space="preserve"> proteins</w:t>
      </w:r>
    </w:p>
    <w:p w14:paraId="5BB34918" w14:textId="3EFCAE98" w:rsidR="00560A21" w:rsidRPr="00560A21" w:rsidRDefault="00560A21">
      <w:pPr>
        <w:rPr>
          <w:b/>
          <w:bCs/>
          <w:lang w:val="en-US"/>
        </w:rPr>
      </w:pPr>
      <w:r>
        <w:rPr>
          <w:b/>
          <w:bCs/>
          <w:lang w:val="en-US"/>
        </w:rPr>
        <w:t>Background</w:t>
      </w:r>
    </w:p>
    <w:p w14:paraId="23FB0269" w14:textId="6293D084" w:rsidR="00C42BE3" w:rsidRDefault="00CE4EC7">
      <w:pPr>
        <w:rPr>
          <w:lang w:val="en-US"/>
        </w:rPr>
      </w:pPr>
      <w:r>
        <w:rPr>
          <w:lang w:val="en-US"/>
        </w:rPr>
        <w:t xml:space="preserve">The ferritin results show that adding 3Di characters increases congruence with a previously published structural-distances tree. While this reference tree matches major groups recognized by experts, it falls short of being a true “ground truth,” as reviewers noted during review of the first version of this manuscript. Ideally a phylogenetic inference </w:t>
      </w:r>
      <w:r w:rsidR="004A516B">
        <w:rPr>
          <w:lang w:val="en-US"/>
        </w:rPr>
        <w:t>dataset or model</w:t>
      </w:r>
      <w:r>
        <w:rPr>
          <w:lang w:val="en-US"/>
        </w:rPr>
        <w:t xml:space="preserve"> would be tested by its accuracy measured against a known tree, </w:t>
      </w:r>
      <w:r w:rsidR="00272A1E">
        <w:rPr>
          <w:lang w:val="en-US"/>
        </w:rPr>
        <w:t>but “</w:t>
      </w:r>
      <w:r w:rsidR="00272A1E" w:rsidRPr="00272A1E">
        <w:rPr>
          <w:lang w:val="en-US"/>
        </w:rPr>
        <w:t>datasets for which the truth is known are exceptionally rare</w:t>
      </w:r>
      <w:r w:rsidR="00272A1E">
        <w:rPr>
          <w:lang w:val="en-US"/>
        </w:rPr>
        <w:t>” (</w:t>
      </w:r>
      <w:proofErr w:type="spellStart"/>
      <w:r w:rsidR="00272A1E">
        <w:rPr>
          <w:lang w:val="en-US"/>
        </w:rPr>
        <w:t>Bettisworth</w:t>
      </w:r>
      <w:proofErr w:type="spellEnd"/>
      <w:r w:rsidR="00272A1E">
        <w:rPr>
          <w:lang w:val="en-US"/>
        </w:rPr>
        <w:t xml:space="preserve"> &amp; </w:t>
      </w:r>
      <w:proofErr w:type="spellStart"/>
      <w:r w:rsidR="00272A1E">
        <w:rPr>
          <w:lang w:val="en-US"/>
        </w:rPr>
        <w:t>Stamitakis</w:t>
      </w:r>
      <w:proofErr w:type="spellEnd"/>
      <w:r w:rsidR="00272A1E">
        <w:rPr>
          <w:lang w:val="en-US"/>
        </w:rPr>
        <w:t xml:space="preserve"> 2025). Experimental testing of phylogenetic inference was famously done in </w:t>
      </w:r>
      <w:proofErr w:type="gramStart"/>
      <w:r w:rsidR="00272A1E">
        <w:rPr>
          <w:lang w:val="en-US"/>
        </w:rPr>
        <w:t>rapidly-evolving</w:t>
      </w:r>
      <w:proofErr w:type="gramEnd"/>
      <w:r w:rsidR="00272A1E">
        <w:rPr>
          <w:lang w:val="en-US"/>
        </w:rPr>
        <w:t xml:space="preserve"> bacteriophages by Hillis et al. (1993) with a few papers following in this tradition (</w:t>
      </w:r>
      <w:r w:rsidR="00416E6E">
        <w:rPr>
          <w:lang w:val="en-US"/>
        </w:rPr>
        <w:t>refs Sousa</w:t>
      </w:r>
      <w:r w:rsidR="00456D44">
        <w:rPr>
          <w:lang w:val="en-US"/>
        </w:rPr>
        <w:t xml:space="preserve"> 2007, </w:t>
      </w:r>
      <w:r w:rsidR="00456D44" w:rsidRPr="00456D44">
        <w:rPr>
          <w:lang w:val="en-US"/>
        </w:rPr>
        <w:t>Vartanian</w:t>
      </w:r>
      <w:r w:rsidR="00456D44">
        <w:rPr>
          <w:lang w:val="en-US"/>
        </w:rPr>
        <w:t xml:space="preserve"> 2001, Sanson 2002, </w:t>
      </w:r>
      <w:r w:rsidR="00456D44" w:rsidRPr="00456D44">
        <w:rPr>
          <w:lang w:val="en-US"/>
        </w:rPr>
        <w:t>Quintero-Galvis</w:t>
      </w:r>
      <w:r w:rsidR="00456D44">
        <w:rPr>
          <w:lang w:val="en-US"/>
        </w:rPr>
        <w:t xml:space="preserve"> 2017</w:t>
      </w:r>
      <w:r w:rsidR="00272A1E">
        <w:rPr>
          <w:lang w:val="en-US"/>
        </w:rPr>
        <w:t>)</w:t>
      </w:r>
      <w:r w:rsidR="00456D44">
        <w:rPr>
          <w:lang w:val="en-US"/>
        </w:rPr>
        <w:t>,</w:t>
      </w:r>
      <w:r w:rsidR="00272A1E">
        <w:rPr>
          <w:lang w:val="en-US"/>
        </w:rPr>
        <w:t xml:space="preserve"> but in practice </w:t>
      </w:r>
      <w:r>
        <w:rPr>
          <w:lang w:val="en-US"/>
        </w:rPr>
        <w:t xml:space="preserve">most methods </w:t>
      </w:r>
      <w:r w:rsidR="004A516B">
        <w:rPr>
          <w:lang w:val="en-US"/>
        </w:rPr>
        <w:t>currently in use are given softer tests</w:t>
      </w:r>
      <w:r w:rsidR="00272A1E">
        <w:rPr>
          <w:lang w:val="en-US"/>
        </w:rPr>
        <w:t>.</w:t>
      </w:r>
      <w:r w:rsidR="004A516B">
        <w:rPr>
          <w:lang w:val="en-US"/>
        </w:rPr>
        <w:t xml:space="preserve"> These include statistical comparisons of model fit, comparisons of inferences between datasets, and/or tests against simulated data</w:t>
      </w:r>
      <w:r w:rsidR="00456D44">
        <w:rPr>
          <w:lang w:val="en-US"/>
        </w:rPr>
        <w:t xml:space="preserve"> (</w:t>
      </w:r>
      <w:r w:rsidR="00CB2E44">
        <w:rPr>
          <w:lang w:val="en-US"/>
        </w:rPr>
        <w:t xml:space="preserve">Hillis 1995; </w:t>
      </w:r>
      <w:r w:rsidR="00456D44">
        <w:rPr>
          <w:lang w:val="en-US"/>
        </w:rPr>
        <w:t>Huelsenbeck</w:t>
      </w:r>
      <w:r w:rsidR="00CB2E44">
        <w:rPr>
          <w:lang w:val="en-US"/>
        </w:rPr>
        <w:t xml:space="preserve"> 1995</w:t>
      </w:r>
      <w:r w:rsidR="00456D44">
        <w:rPr>
          <w:lang w:val="en-US"/>
        </w:rPr>
        <w:t>)</w:t>
      </w:r>
      <w:r w:rsidR="004A516B">
        <w:rPr>
          <w:lang w:val="en-US"/>
        </w:rPr>
        <w:t xml:space="preserve">. </w:t>
      </w:r>
    </w:p>
    <w:p w14:paraId="62FF5923" w14:textId="4E87B09D" w:rsidR="00456D44" w:rsidRDefault="00CB2E44">
      <w:pPr>
        <w:rPr>
          <w:lang w:val="en-US"/>
        </w:rPr>
      </w:pPr>
      <w:r>
        <w:rPr>
          <w:lang w:val="en-US"/>
        </w:rPr>
        <w:t xml:space="preserve">For the problem of testing phylogenetic inference at </w:t>
      </w:r>
      <w:proofErr w:type="spellStart"/>
      <w:r>
        <w:rPr>
          <w:lang w:val="en-US"/>
        </w:rPr>
        <w:t>gigayear</w:t>
      </w:r>
      <w:proofErr w:type="spellEnd"/>
      <w:r>
        <w:rPr>
          <w:lang w:val="en-US"/>
        </w:rPr>
        <w:t xml:space="preserve"> timescales, where key data is derived from protein structure, the problem of ground-truthing is acute. No experimental phylogenetics systems have evolved proteins into the twilight zone or into substantial structural divergence, and in </w:t>
      </w:r>
      <w:r w:rsidR="00077AFF">
        <w:rPr>
          <w:lang w:val="en-US"/>
        </w:rPr>
        <w:t xml:space="preserve">any </w:t>
      </w:r>
      <w:r>
        <w:rPr>
          <w:lang w:val="en-US"/>
        </w:rPr>
        <w:t xml:space="preserve">case the artificial simplicity of experimental environments compared to </w:t>
      </w:r>
      <w:r w:rsidR="00077AFF">
        <w:rPr>
          <w:lang w:val="en-US"/>
        </w:rPr>
        <w:t xml:space="preserve">the vast scale of microbial evolution around the globe raises realism concerns </w:t>
      </w:r>
      <w:proofErr w:type="gramStart"/>
      <w:r w:rsidR="00077AFF">
        <w:rPr>
          <w:lang w:val="en-US"/>
        </w:rPr>
        <w:t>similar to</w:t>
      </w:r>
      <w:proofErr w:type="gramEnd"/>
      <w:r w:rsidR="00077AFF">
        <w:rPr>
          <w:lang w:val="en-US"/>
        </w:rPr>
        <w:t xml:space="preserve"> those present for computer simulations. As for simulation, realistic simulation of protein structure evolution is a daunting task. Simulating 3Di characters would be a trivial exercise in implementing the assumed inference model, but a rigorous simulation test would involve simulating structural evolution and then deriving 3Di characters from the sampled structures. </w:t>
      </w:r>
    </w:p>
    <w:p w14:paraId="7D9106CE" w14:textId="18FB00E8" w:rsidR="00456D44" w:rsidRDefault="00C50466" w:rsidP="00FC6300">
      <w:pPr>
        <w:rPr>
          <w:lang w:val="en-US"/>
        </w:rPr>
      </w:pPr>
      <w:r>
        <w:rPr>
          <w:lang w:val="en-US"/>
        </w:rPr>
        <w:t>For these reasons, we focused on a different approach that is valid even for very deep</w:t>
      </w:r>
      <w:r w:rsidR="00FC6300">
        <w:rPr>
          <w:lang w:val="en-US"/>
        </w:rPr>
        <w:t xml:space="preserve"> </w:t>
      </w:r>
      <w:r>
        <w:rPr>
          <w:lang w:val="en-US"/>
        </w:rPr>
        <w:t xml:space="preserve">timescales: congruence between different genes. </w:t>
      </w:r>
      <w:r w:rsidR="00A96F10">
        <w:rPr>
          <w:lang w:val="en-US"/>
        </w:rPr>
        <w:t xml:space="preserve">The challenge for this approach is to find an appropriate database. </w:t>
      </w:r>
      <w:proofErr w:type="spellStart"/>
      <w:r w:rsidR="00B1669A">
        <w:rPr>
          <w:lang w:val="en-US"/>
        </w:rPr>
        <w:t>A</w:t>
      </w:r>
      <w:proofErr w:type="spellEnd"/>
      <w:r w:rsidR="00B1669A">
        <w:rPr>
          <w:lang w:val="en-US"/>
        </w:rPr>
        <w:t xml:space="preserve"> reviewer suggested the </w:t>
      </w:r>
      <w:proofErr w:type="spellStart"/>
      <w:r w:rsidR="00B1669A">
        <w:rPr>
          <w:lang w:val="en-US"/>
        </w:rPr>
        <w:t>OrthMaM</w:t>
      </w:r>
      <w:proofErr w:type="spellEnd"/>
      <w:r w:rsidR="00B1669A">
        <w:rPr>
          <w:lang w:val="en-US"/>
        </w:rPr>
        <w:t xml:space="preserve"> database of single-copy orthologous genes from mammals </w:t>
      </w:r>
      <w:r w:rsidR="002A0D2B">
        <w:rPr>
          <w:lang w:val="en-US"/>
        </w:rPr>
        <w:t xml:space="preserve">(Allio et al. 2024) </w:t>
      </w:r>
      <w:r w:rsidR="00B1669A">
        <w:rPr>
          <w:lang w:val="en-US"/>
        </w:rPr>
        <w:t xml:space="preserve">as a ground-truthing dataset, </w:t>
      </w:r>
      <w:r w:rsidR="00FC6300">
        <w:rPr>
          <w:lang w:val="en-US"/>
        </w:rPr>
        <w:t xml:space="preserve">as all these genes are likely to share very similar phylogenetic histories, </w:t>
      </w:r>
      <w:r w:rsidR="00B1669A">
        <w:rPr>
          <w:lang w:val="en-US"/>
        </w:rPr>
        <w:t xml:space="preserve">however the time-depth of this dataset is </w:t>
      </w:r>
      <w:r w:rsidR="009005B2">
        <w:rPr>
          <w:lang w:val="en-US"/>
        </w:rPr>
        <w:t>only ~</w:t>
      </w:r>
      <w:r w:rsidR="00B1669A">
        <w:rPr>
          <w:lang w:val="en-US"/>
        </w:rPr>
        <w:t>10% of the depth where we think structural characters are likely to be useful additions to amino acid data</w:t>
      </w:r>
      <w:r w:rsidR="009005B2">
        <w:rPr>
          <w:lang w:val="en-US"/>
        </w:rPr>
        <w:t>.</w:t>
      </w:r>
      <w:r w:rsidR="00FC6300">
        <w:rPr>
          <w:lang w:val="en-US"/>
        </w:rPr>
        <w:t xml:space="preserve"> Orthologs from databases covering eukaryote and prokaryote diversity, as in </w:t>
      </w:r>
      <w:proofErr w:type="spellStart"/>
      <w:r w:rsidR="00FC6300">
        <w:rPr>
          <w:lang w:val="en-US"/>
        </w:rPr>
        <w:t>OrthoDB</w:t>
      </w:r>
      <w:proofErr w:type="spellEnd"/>
      <w:r w:rsidR="00FC6300">
        <w:rPr>
          <w:lang w:val="en-US"/>
        </w:rPr>
        <w:t xml:space="preserve"> (Kuznetsov et al. 202</w:t>
      </w:r>
      <w:r w:rsidR="002502E7">
        <w:rPr>
          <w:lang w:val="en-US"/>
        </w:rPr>
        <w:t>3</w:t>
      </w:r>
      <w:r w:rsidR="00FC6300">
        <w:rPr>
          <w:lang w:val="en-US"/>
        </w:rPr>
        <w:t xml:space="preserve">) are unlikely to share a common history due to extensive horizontal transfer, endosymbiosis, and extensive </w:t>
      </w:r>
      <w:proofErr w:type="spellStart"/>
      <w:r w:rsidR="00FC6300">
        <w:rPr>
          <w:lang w:val="en-US"/>
        </w:rPr>
        <w:t>paralogy</w:t>
      </w:r>
      <w:proofErr w:type="spellEnd"/>
      <w:r w:rsidR="00FC6300">
        <w:rPr>
          <w:lang w:val="en-US"/>
        </w:rPr>
        <w:t xml:space="preserve"> at deeper levels of classification leading to </w:t>
      </w:r>
      <w:proofErr w:type="spellStart"/>
      <w:proofErr w:type="gramStart"/>
      <w:r w:rsidR="00FC6300">
        <w:rPr>
          <w:lang w:val="en-US"/>
        </w:rPr>
        <w:t>many:many</w:t>
      </w:r>
      <w:proofErr w:type="spellEnd"/>
      <w:proofErr w:type="gramEnd"/>
      <w:r w:rsidR="00FC6300">
        <w:rPr>
          <w:lang w:val="en-US"/>
        </w:rPr>
        <w:t xml:space="preserve"> </w:t>
      </w:r>
      <w:proofErr w:type="spellStart"/>
      <w:r w:rsidR="00FC6300">
        <w:rPr>
          <w:lang w:val="en-US"/>
        </w:rPr>
        <w:t>orthology</w:t>
      </w:r>
      <w:proofErr w:type="spellEnd"/>
      <w:r w:rsidR="00FC6300">
        <w:rPr>
          <w:lang w:val="en-US"/>
        </w:rPr>
        <w:t xml:space="preserve"> relationships.</w:t>
      </w:r>
    </w:p>
    <w:p w14:paraId="1E0C4511" w14:textId="55844BC8" w:rsidR="009164B8" w:rsidRDefault="009164B8" w:rsidP="00FC6300">
      <w:pPr>
        <w:rPr>
          <w:lang w:val="en-US"/>
        </w:rPr>
      </w:pPr>
      <w:r>
        <w:rPr>
          <w:lang w:val="en-US"/>
        </w:rPr>
        <w:lastRenderedPageBreak/>
        <w:t xml:space="preserve">However, one dataset does seem to meet all the requirements necessary for a congruence test, namely orthologs of mitochondrial proteins. </w:t>
      </w:r>
      <w:r w:rsidR="0040639E">
        <w:rPr>
          <w:lang w:val="en-US"/>
        </w:rPr>
        <w:t xml:space="preserve">Kannan et al. 2014 assembled a dataset of 56 protein-coding orthologs that they reconstructed in the mitochondrion of the Last Common Eukaryotic Ancestor (LECA), producing an all-proteins tree of 41 </w:t>
      </w:r>
      <w:proofErr w:type="gramStart"/>
      <w:r w:rsidR="0040639E">
        <w:rPr>
          <w:lang w:val="en-US"/>
        </w:rPr>
        <w:t>deeply-diverging</w:t>
      </w:r>
      <w:proofErr w:type="gramEnd"/>
      <w:r w:rsidR="0040639E">
        <w:rPr>
          <w:lang w:val="en-US"/>
        </w:rPr>
        <w:t xml:space="preserve"> eukaryotes and 8 outgroup taxa from alphaproteobacterial relatives of the mitochondrion.</w:t>
      </w:r>
      <w:r w:rsidR="009341A9">
        <w:rPr>
          <w:lang w:val="en-US"/>
        </w:rPr>
        <w:t xml:space="preserve"> While this dataset does not stretch back to the LUCA,</w:t>
      </w:r>
      <w:r w:rsidR="004461CF">
        <w:rPr>
          <w:lang w:val="en-US"/>
        </w:rPr>
        <w:t xml:space="preserve"> and most of the proteins in the dataset are well-conserved and not a challenge to align (thus not technically in the Twilight Zone where we expect structure to be most helpful), it does have substantial advantages. T</w:t>
      </w:r>
      <w:r w:rsidR="009341A9">
        <w:rPr>
          <w:lang w:val="en-US"/>
        </w:rPr>
        <w:t xml:space="preserve">he LECA </w:t>
      </w:r>
      <w:r w:rsidR="00C457D8">
        <w:rPr>
          <w:lang w:val="en-US"/>
        </w:rPr>
        <w:t xml:space="preserve">evolved in the </w:t>
      </w:r>
      <w:r w:rsidR="00C457D8" w:rsidRPr="00C457D8">
        <w:t>Proterozoic</w:t>
      </w:r>
      <w:r w:rsidR="00C457D8" w:rsidRPr="00C457D8">
        <w:rPr>
          <w:lang w:val="en-US"/>
        </w:rPr>
        <w:t xml:space="preserve"> </w:t>
      </w:r>
      <w:r w:rsidR="00C457D8">
        <w:rPr>
          <w:lang w:val="en-US"/>
        </w:rPr>
        <w:t>Eon approximately 1.5-2 billion years ago</w:t>
      </w:r>
      <w:r w:rsidR="00E03476">
        <w:rPr>
          <w:lang w:val="en-US"/>
        </w:rPr>
        <w:t>,</w:t>
      </w:r>
      <w:r w:rsidR="00C457D8">
        <w:rPr>
          <w:lang w:val="en-US"/>
        </w:rPr>
        <w:t xml:space="preserve"> and </w:t>
      </w:r>
      <w:r w:rsidR="00E03476">
        <w:rPr>
          <w:lang w:val="en-US"/>
        </w:rPr>
        <w:t>sampled taxa range from plants</w:t>
      </w:r>
      <w:r w:rsidR="004F0EDA">
        <w:rPr>
          <w:lang w:val="en-US"/>
        </w:rPr>
        <w:t xml:space="preserve">, </w:t>
      </w:r>
      <w:r w:rsidR="00E03476">
        <w:rPr>
          <w:lang w:val="en-US"/>
        </w:rPr>
        <w:t xml:space="preserve">animals </w:t>
      </w:r>
      <w:r w:rsidR="004F0EDA">
        <w:rPr>
          <w:lang w:val="en-US"/>
        </w:rPr>
        <w:t xml:space="preserve">and fungi </w:t>
      </w:r>
      <w:r w:rsidR="00E03476">
        <w:rPr>
          <w:lang w:val="en-US"/>
        </w:rPr>
        <w:t xml:space="preserve">to free-living and parasitic unicells. It </w:t>
      </w:r>
      <w:r w:rsidR="00C457D8">
        <w:rPr>
          <w:lang w:val="en-US"/>
        </w:rPr>
        <w:t xml:space="preserve">thus spans a </w:t>
      </w:r>
      <w:r w:rsidR="004461CF">
        <w:rPr>
          <w:lang w:val="en-US"/>
        </w:rPr>
        <w:t>large</w:t>
      </w:r>
      <w:r w:rsidR="00C457D8">
        <w:rPr>
          <w:lang w:val="en-US"/>
        </w:rPr>
        <w:t xml:space="preserve"> breadth of geological</w:t>
      </w:r>
      <w:r w:rsidR="004461CF">
        <w:rPr>
          <w:lang w:val="en-US"/>
        </w:rPr>
        <w:t>, environmental,</w:t>
      </w:r>
      <w:r w:rsidR="00C457D8">
        <w:rPr>
          <w:lang w:val="en-US"/>
        </w:rPr>
        <w:t xml:space="preserve"> and organismal change</w:t>
      </w:r>
      <w:r w:rsidR="004F0EDA">
        <w:rPr>
          <w:lang w:val="en-US"/>
        </w:rPr>
        <w:t>, as well as long molecular branches due to time and substantial rate variation</w:t>
      </w:r>
      <w:r w:rsidR="00C457D8">
        <w:rPr>
          <w:lang w:val="en-US"/>
        </w:rPr>
        <w:t xml:space="preserve">. And while horizontal transfer of some </w:t>
      </w:r>
      <w:proofErr w:type="spellStart"/>
      <w:r w:rsidR="00C457D8">
        <w:rPr>
          <w:lang w:val="en-US"/>
        </w:rPr>
        <w:t>mitoCOGs</w:t>
      </w:r>
      <w:proofErr w:type="spellEnd"/>
      <w:r w:rsidR="00C457D8">
        <w:rPr>
          <w:lang w:val="en-US"/>
        </w:rPr>
        <w:t xml:space="preserve"> cannot be absolutely ruled out, it would require several steps (transfer from the mitochondrion to the nucleus, transfer to the nucleus of another eukaryote, replacement of the native ortholog) and thus is unlikely.</w:t>
      </w:r>
      <w:r w:rsidR="00E178F9">
        <w:rPr>
          <w:lang w:val="en-US"/>
        </w:rPr>
        <w:t xml:space="preserve"> </w:t>
      </w:r>
      <w:r w:rsidR="00B908B3">
        <w:rPr>
          <w:lang w:val="en-US"/>
        </w:rPr>
        <w:t xml:space="preserve">Kannan et al. note a possible exception in the apparent transfer of mitochondrial genes between parasitic and host plants, but this not likely to be relevant at the coarse phylogenetic scale in this dataset, where the plant clade is represented only by the eudicots </w:t>
      </w:r>
      <w:r w:rsidR="00B908B3" w:rsidRPr="00B908B3">
        <w:rPr>
          <w:i/>
          <w:iCs/>
          <w:lang w:val="en-US"/>
        </w:rPr>
        <w:t>Arabidopsis</w:t>
      </w:r>
      <w:r w:rsidR="00B908B3">
        <w:rPr>
          <w:lang w:val="en-US"/>
        </w:rPr>
        <w:t xml:space="preserve"> and </w:t>
      </w:r>
      <w:r w:rsidR="00B908B3" w:rsidRPr="00B908B3">
        <w:rPr>
          <w:i/>
          <w:iCs/>
          <w:lang w:val="en-US"/>
        </w:rPr>
        <w:t>Vitis</w:t>
      </w:r>
      <w:r w:rsidR="00B908B3">
        <w:rPr>
          <w:lang w:val="en-US"/>
        </w:rPr>
        <w:t xml:space="preserve">, the monocots </w:t>
      </w:r>
      <w:r w:rsidR="00B908B3" w:rsidRPr="00B908B3">
        <w:rPr>
          <w:i/>
          <w:iCs/>
          <w:lang w:val="en-US"/>
        </w:rPr>
        <w:t>Sorghum</w:t>
      </w:r>
      <w:r w:rsidR="00B908B3">
        <w:rPr>
          <w:lang w:val="en-US"/>
        </w:rPr>
        <w:t xml:space="preserve"> and </w:t>
      </w:r>
      <w:r w:rsidR="00B908B3" w:rsidRPr="00B908B3">
        <w:rPr>
          <w:i/>
          <w:iCs/>
          <w:lang w:val="en-US"/>
        </w:rPr>
        <w:t>Oryza</w:t>
      </w:r>
      <w:r w:rsidR="00B908B3">
        <w:rPr>
          <w:lang w:val="en-US"/>
        </w:rPr>
        <w:t xml:space="preserve">, and </w:t>
      </w:r>
      <w:r w:rsidR="000A031C">
        <w:rPr>
          <w:lang w:val="en-US"/>
        </w:rPr>
        <w:t>the seedless</w:t>
      </w:r>
      <w:r w:rsidR="00B908B3">
        <w:rPr>
          <w:lang w:val="en-US"/>
        </w:rPr>
        <w:t xml:space="preserve"> </w:t>
      </w:r>
      <w:proofErr w:type="spellStart"/>
      <w:r w:rsidR="00B908B3" w:rsidRPr="00B908B3">
        <w:rPr>
          <w:i/>
          <w:iCs/>
          <w:lang w:val="en-US"/>
        </w:rPr>
        <w:t>Phys</w:t>
      </w:r>
      <w:r w:rsidR="00900B5E">
        <w:rPr>
          <w:i/>
          <w:iCs/>
          <w:lang w:val="en-US"/>
        </w:rPr>
        <w:t>c</w:t>
      </w:r>
      <w:r w:rsidR="00B908B3" w:rsidRPr="00B908B3">
        <w:rPr>
          <w:i/>
          <w:iCs/>
          <w:lang w:val="en-US"/>
        </w:rPr>
        <w:t>omitrella</w:t>
      </w:r>
      <w:proofErr w:type="spellEnd"/>
      <w:r w:rsidR="00B908B3">
        <w:rPr>
          <w:lang w:val="en-US"/>
        </w:rPr>
        <w:t xml:space="preserve"> and </w:t>
      </w:r>
      <w:r w:rsidR="00B908B3" w:rsidRPr="00B908B3">
        <w:rPr>
          <w:i/>
          <w:iCs/>
          <w:lang w:val="en-US"/>
        </w:rPr>
        <w:t>Selaginella</w:t>
      </w:r>
      <w:r w:rsidR="000A031C">
        <w:rPr>
          <w:lang w:val="en-US"/>
        </w:rPr>
        <w:t>.</w:t>
      </w:r>
      <w:r w:rsidR="00B908B3">
        <w:rPr>
          <w:lang w:val="en-US"/>
        </w:rPr>
        <w:t xml:space="preserve"> </w:t>
      </w:r>
      <w:r w:rsidR="00E178F9">
        <w:rPr>
          <w:lang w:val="en-US"/>
        </w:rPr>
        <w:t xml:space="preserve">In addition, many of the early-diverging </w:t>
      </w:r>
      <w:r w:rsidR="0042712B">
        <w:rPr>
          <w:lang w:val="en-US"/>
        </w:rPr>
        <w:t xml:space="preserve">single-celled </w:t>
      </w:r>
      <w:r w:rsidR="00E178F9">
        <w:rPr>
          <w:lang w:val="en-US"/>
        </w:rPr>
        <w:t xml:space="preserve">eukaryotes in the </w:t>
      </w:r>
      <w:proofErr w:type="spellStart"/>
      <w:r w:rsidR="00E178F9">
        <w:rPr>
          <w:lang w:val="en-US"/>
        </w:rPr>
        <w:t>mitoCOGs</w:t>
      </w:r>
      <w:proofErr w:type="spellEnd"/>
      <w:r w:rsidR="00E178F9">
        <w:rPr>
          <w:lang w:val="en-US"/>
        </w:rPr>
        <w:t xml:space="preserve"> dataset retain up to 53 of the 56 orthologs in their mitochondrion</w:t>
      </w:r>
      <w:r w:rsidR="00BE7770">
        <w:rPr>
          <w:lang w:val="en-US"/>
        </w:rPr>
        <w:t xml:space="preserve"> (Kannan et al. 2014)</w:t>
      </w:r>
      <w:r w:rsidR="00E178F9">
        <w:rPr>
          <w:lang w:val="en-US"/>
        </w:rPr>
        <w:t>.</w:t>
      </w:r>
    </w:p>
    <w:p w14:paraId="3EC60765" w14:textId="4BED1FA0" w:rsidR="002B2059" w:rsidRDefault="002B2059" w:rsidP="00FC6300">
      <w:pPr>
        <w:rPr>
          <w:lang w:val="en-US"/>
        </w:rPr>
      </w:pPr>
      <w:r>
        <w:rPr>
          <w:lang w:val="en-US"/>
        </w:rPr>
        <w:t xml:space="preserve">The logic of a congruence test was to our knowledge first </w:t>
      </w:r>
      <w:r w:rsidR="00900B5E">
        <w:rPr>
          <w:lang w:val="en-US"/>
        </w:rPr>
        <w:t xml:space="preserve">elucidated </w:t>
      </w:r>
      <w:r>
        <w:rPr>
          <w:lang w:val="en-US"/>
        </w:rPr>
        <w:t xml:space="preserve">by Yamaguchi </w:t>
      </w:r>
      <w:r w:rsidR="00C87890">
        <w:rPr>
          <w:lang w:val="en-US"/>
        </w:rPr>
        <w:t>et al. (</w:t>
      </w:r>
      <w:r>
        <w:rPr>
          <w:lang w:val="en-US"/>
        </w:rPr>
        <w:t>1995</w:t>
      </w:r>
      <w:r w:rsidR="00C87890">
        <w:rPr>
          <w:lang w:val="en-US"/>
        </w:rPr>
        <w:t>)</w:t>
      </w:r>
      <w:r>
        <w:rPr>
          <w:lang w:val="en-US"/>
        </w:rPr>
        <w:t xml:space="preserve">, who also took the linked genes of mitochondria as their paradigmatic example. </w:t>
      </w:r>
      <w:r w:rsidR="000F25E0">
        <w:rPr>
          <w:lang w:val="en-US"/>
        </w:rPr>
        <w:t xml:space="preserve">If two genes can be assumed to have the same true history, then a more accurate phylogenetic method should, </w:t>
      </w:r>
      <w:proofErr w:type="spellStart"/>
      <w:r w:rsidR="000F25E0">
        <w:rPr>
          <w:lang w:val="en-US"/>
        </w:rPr>
        <w:t>on aver</w:t>
      </w:r>
      <w:proofErr w:type="spellEnd"/>
      <w:r w:rsidR="000F25E0">
        <w:rPr>
          <w:lang w:val="en-US"/>
        </w:rPr>
        <w:t xml:space="preserve">age, infer trees that are more </w:t>
      </w:r>
      <w:proofErr w:type="gramStart"/>
      <w:r w:rsidR="000F25E0">
        <w:rPr>
          <w:lang w:val="en-US"/>
        </w:rPr>
        <w:t>similar to</w:t>
      </w:r>
      <w:proofErr w:type="gramEnd"/>
      <w:r w:rsidR="000F25E0">
        <w:rPr>
          <w:lang w:val="en-US"/>
        </w:rPr>
        <w:t xml:space="preserve"> each other than a less accurate phylogenetic method. This is the case even though the exact true tree is unknown. </w:t>
      </w:r>
      <w:r w:rsidR="00126625">
        <w:rPr>
          <w:lang w:val="en-US"/>
        </w:rPr>
        <w:t xml:space="preserve">The logic of this test partially breaks down if the two genes </w:t>
      </w:r>
      <w:proofErr w:type="gramStart"/>
      <w:r w:rsidR="00126625">
        <w:rPr>
          <w:lang w:val="en-US"/>
        </w:rPr>
        <w:t>actually have</w:t>
      </w:r>
      <w:proofErr w:type="gramEnd"/>
      <w:r w:rsidR="00126625">
        <w:rPr>
          <w:lang w:val="en-US"/>
        </w:rPr>
        <w:t xml:space="preserve"> different histories, as increasingly accurate inferred phylogenies would eventually converge on two different trees. (We say partially, because if two genes have many similarities in their true phylogenies, more accurate methods may well increase tree congruence as random error is filtered out, even though the trees will not reach 100% agreement.)</w:t>
      </w:r>
    </w:p>
    <w:p w14:paraId="0BDD2C39" w14:textId="6706FE3D" w:rsidR="00C452A3" w:rsidRDefault="004461CF" w:rsidP="00FC6300">
      <w:pPr>
        <w:rPr>
          <w:lang w:val="en-US"/>
        </w:rPr>
      </w:pPr>
      <w:r>
        <w:rPr>
          <w:lang w:val="en-US"/>
        </w:rPr>
        <w:t xml:space="preserve">We devised two ways to test for improved phylogenetic </w:t>
      </w:r>
      <w:r w:rsidR="00876413">
        <w:rPr>
          <w:lang w:val="en-US"/>
        </w:rPr>
        <w:t>congruence</w:t>
      </w:r>
      <w:r>
        <w:rPr>
          <w:lang w:val="en-US"/>
        </w:rPr>
        <w:t xml:space="preserve">. First, Kannan et al. published a phylogeny based on concatenating the AA sequences of all </w:t>
      </w:r>
      <w:r w:rsidR="00B908B3">
        <w:rPr>
          <w:lang w:val="en-US"/>
        </w:rPr>
        <w:t xml:space="preserve">56 </w:t>
      </w:r>
      <w:r w:rsidR="001A0979">
        <w:rPr>
          <w:lang w:val="en-US"/>
        </w:rPr>
        <w:t xml:space="preserve">mitochondrial and nuclear-encoded </w:t>
      </w:r>
      <w:r>
        <w:rPr>
          <w:lang w:val="en-US"/>
        </w:rPr>
        <w:t>orthologs</w:t>
      </w:r>
      <w:r w:rsidR="001A0979">
        <w:rPr>
          <w:lang w:val="en-US"/>
        </w:rPr>
        <w:t xml:space="preserve"> (Figure S6 of Kannan et al. 2014)</w:t>
      </w:r>
      <w:r>
        <w:rPr>
          <w:lang w:val="en-US"/>
        </w:rPr>
        <w:t xml:space="preserve">. </w:t>
      </w:r>
      <w:r w:rsidR="00B908B3">
        <w:rPr>
          <w:lang w:val="en-US"/>
        </w:rPr>
        <w:t xml:space="preserve">Most of this tree has 100% bootstrap support and recovers well-accepted groups, although the authors note </w:t>
      </w:r>
      <w:r w:rsidR="001A0979">
        <w:rPr>
          <w:lang w:val="en-US"/>
        </w:rPr>
        <w:t xml:space="preserve">some departures from scientific consensus, e.g. </w:t>
      </w:r>
      <w:r w:rsidR="001A0979" w:rsidRPr="001A0979">
        <w:rPr>
          <w:i/>
          <w:iCs/>
          <w:lang w:val="en-US"/>
        </w:rPr>
        <w:t>Chlamydomonas</w:t>
      </w:r>
      <w:r w:rsidR="001A0979">
        <w:rPr>
          <w:lang w:val="en-US"/>
        </w:rPr>
        <w:t xml:space="preserve"> fails to group with other green algae and plants. They attribute these differences to </w:t>
      </w:r>
      <w:r w:rsidR="009444A7">
        <w:rPr>
          <w:lang w:val="en-US"/>
        </w:rPr>
        <w:t xml:space="preserve">substantial rate heterogeneity in mitochondrial genomes in many of the lineages. </w:t>
      </w:r>
      <w:r w:rsidR="002B2059">
        <w:rPr>
          <w:lang w:val="en-US"/>
        </w:rPr>
        <w:t xml:space="preserve">Despite issues, </w:t>
      </w:r>
      <w:r w:rsidR="002B2059">
        <w:rPr>
          <w:lang w:val="en-US"/>
        </w:rPr>
        <w:lastRenderedPageBreak/>
        <w:t>the all-proteins phylogeny is likely to be closer to the true tree than any individual single-protein tree</w:t>
      </w:r>
      <w:r w:rsidR="00876413">
        <w:rPr>
          <w:lang w:val="en-US"/>
        </w:rPr>
        <w:t>. Therefore, we estimated phylogenies for each protein using the AA, 3Di, and AA+3Di methods described above for ferritins (details in Supplemental Methods). Each ML tree was then compared to the all-proteins tree using a variety of tree-to-tree distance metrics. If the AA+3Di method is more accurate, then single-protein trees inferred with this approach should have a lower average tree distance to the all-proteins tree than AA-only or 3Di-only single-protein trees for at least some tree distance metrics.</w:t>
      </w:r>
    </w:p>
    <w:p w14:paraId="1F4D1BB1" w14:textId="77777777" w:rsidR="00900B5E" w:rsidRDefault="00876413" w:rsidP="00FC6300">
      <w:pPr>
        <w:rPr>
          <w:lang w:val="en-US"/>
        </w:rPr>
      </w:pPr>
      <w:r>
        <w:rPr>
          <w:lang w:val="en-US"/>
        </w:rPr>
        <w:t xml:space="preserve">Our second method avoided the usage of a reference tree entirely. We calculated tree-to-tree distances between every pair of single-protein AA+3Di trees. This procedure was repeated for </w:t>
      </w:r>
      <w:r>
        <w:rPr>
          <w:lang w:val="en-US"/>
        </w:rPr>
        <w:t>every pair of single-protein AA</w:t>
      </w:r>
      <w:r>
        <w:rPr>
          <w:lang w:val="en-US"/>
        </w:rPr>
        <w:t xml:space="preserve"> trees, and </w:t>
      </w:r>
      <w:r>
        <w:rPr>
          <w:lang w:val="en-US"/>
        </w:rPr>
        <w:t xml:space="preserve">every pair of single-protein </w:t>
      </w:r>
      <w:r>
        <w:rPr>
          <w:lang w:val="en-US"/>
        </w:rPr>
        <w:t xml:space="preserve">3Di trees. </w:t>
      </w:r>
      <w:r w:rsidR="00A6540E">
        <w:rPr>
          <w:lang w:val="en-US"/>
        </w:rPr>
        <w:t xml:space="preserve">Again, if AA+3Di inference infers the </w:t>
      </w:r>
      <w:r w:rsidR="007474A3">
        <w:rPr>
          <w:lang w:val="en-US"/>
        </w:rPr>
        <w:t xml:space="preserve">true </w:t>
      </w:r>
      <w:r w:rsidR="00A6540E">
        <w:rPr>
          <w:lang w:val="en-US"/>
        </w:rPr>
        <w:t>phylogeny more accurately, then the tree-to-tree distances should be smaller on average</w:t>
      </w:r>
      <w:r w:rsidR="007474A3">
        <w:rPr>
          <w:lang w:val="en-US"/>
        </w:rPr>
        <w:t>.</w:t>
      </w:r>
    </w:p>
    <w:p w14:paraId="6EE64E14" w14:textId="726E451F" w:rsidR="00876413" w:rsidRDefault="00560A21" w:rsidP="00FC6300">
      <w:pPr>
        <w:rPr>
          <w:lang w:val="en-US"/>
        </w:rPr>
      </w:pPr>
      <w:r>
        <w:rPr>
          <w:lang w:val="en-US"/>
        </w:rPr>
        <w:t>We give the details of these methods below</w:t>
      </w:r>
      <w:r w:rsidR="00D8505E">
        <w:rPr>
          <w:lang w:val="en-US"/>
        </w:rPr>
        <w:t>.</w:t>
      </w:r>
    </w:p>
    <w:p w14:paraId="3FBF0938" w14:textId="77777777" w:rsidR="00456D44" w:rsidRDefault="00456D44" w:rsidP="00456D44">
      <w:pPr>
        <w:rPr>
          <w:lang w:val="en-US"/>
        </w:rPr>
      </w:pPr>
    </w:p>
    <w:p w14:paraId="48C9B77D" w14:textId="0530C104" w:rsidR="00456D44" w:rsidRDefault="002F1F47">
      <w:pPr>
        <w:rPr>
          <w:lang w:val="en-US"/>
        </w:rPr>
      </w:pPr>
      <w:r>
        <w:rPr>
          <w:lang w:val="en-US"/>
        </w:rPr>
        <w:t>Supplemental Methods</w:t>
      </w:r>
    </w:p>
    <w:p w14:paraId="781D4C1F" w14:textId="77777777" w:rsidR="002F1F47" w:rsidRDefault="002F1F47">
      <w:pPr>
        <w:rPr>
          <w:lang w:val="en-US"/>
        </w:rPr>
      </w:pPr>
    </w:p>
    <w:p w14:paraId="33D19C04" w14:textId="02C48B22" w:rsidR="002F1F47" w:rsidRDefault="002F1F47">
      <w:pPr>
        <w:rPr>
          <w:lang w:val="en-US"/>
        </w:rPr>
      </w:pPr>
      <w:r>
        <w:rPr>
          <w:lang w:val="en-US"/>
        </w:rPr>
        <w:t>Supplemental Results</w:t>
      </w:r>
    </w:p>
    <w:p w14:paraId="0E8AB1A7" w14:textId="77777777" w:rsidR="002F1F47" w:rsidRDefault="002F1F47">
      <w:pPr>
        <w:rPr>
          <w:lang w:val="en-US"/>
        </w:rPr>
      </w:pPr>
    </w:p>
    <w:p w14:paraId="71CC52E7" w14:textId="77777777" w:rsidR="002F1F47" w:rsidRPr="00CE4EC7" w:rsidRDefault="002F1F47">
      <w:pPr>
        <w:rPr>
          <w:lang w:val="en-US"/>
        </w:rPr>
      </w:pPr>
    </w:p>
    <w:sectPr w:rsidR="002F1F47" w:rsidRPr="00CE4E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EC7"/>
    <w:rsid w:val="00077AFF"/>
    <w:rsid w:val="000A031C"/>
    <w:rsid w:val="000B4BB1"/>
    <w:rsid w:val="000E2C11"/>
    <w:rsid w:val="000F25E0"/>
    <w:rsid w:val="00126625"/>
    <w:rsid w:val="001A0979"/>
    <w:rsid w:val="001B0A30"/>
    <w:rsid w:val="001B5A4A"/>
    <w:rsid w:val="00225DDF"/>
    <w:rsid w:val="002502E7"/>
    <w:rsid w:val="00254F98"/>
    <w:rsid w:val="00272A1E"/>
    <w:rsid w:val="00296D85"/>
    <w:rsid w:val="002A0D2B"/>
    <w:rsid w:val="002B2059"/>
    <w:rsid w:val="002F1F47"/>
    <w:rsid w:val="00390E00"/>
    <w:rsid w:val="003B5E75"/>
    <w:rsid w:val="003D0CAE"/>
    <w:rsid w:val="0040639E"/>
    <w:rsid w:val="00416E6E"/>
    <w:rsid w:val="0042712B"/>
    <w:rsid w:val="004461CF"/>
    <w:rsid w:val="00456D44"/>
    <w:rsid w:val="00460E5F"/>
    <w:rsid w:val="00487B13"/>
    <w:rsid w:val="00491359"/>
    <w:rsid w:val="004A516B"/>
    <w:rsid w:val="004B3C75"/>
    <w:rsid w:val="004C43E8"/>
    <w:rsid w:val="004F0EDA"/>
    <w:rsid w:val="0050201A"/>
    <w:rsid w:val="00560A21"/>
    <w:rsid w:val="0056441C"/>
    <w:rsid w:val="005C4349"/>
    <w:rsid w:val="00693C54"/>
    <w:rsid w:val="006A572F"/>
    <w:rsid w:val="007474A3"/>
    <w:rsid w:val="007801CB"/>
    <w:rsid w:val="00783093"/>
    <w:rsid w:val="007A3D2C"/>
    <w:rsid w:val="007A4A03"/>
    <w:rsid w:val="007A6E14"/>
    <w:rsid w:val="007D2444"/>
    <w:rsid w:val="007F2256"/>
    <w:rsid w:val="00817565"/>
    <w:rsid w:val="00876413"/>
    <w:rsid w:val="008E1E9E"/>
    <w:rsid w:val="009005B2"/>
    <w:rsid w:val="00900B5E"/>
    <w:rsid w:val="009164B8"/>
    <w:rsid w:val="00922D03"/>
    <w:rsid w:val="009341A9"/>
    <w:rsid w:val="009444A7"/>
    <w:rsid w:val="009E38C4"/>
    <w:rsid w:val="00A32C1C"/>
    <w:rsid w:val="00A5255D"/>
    <w:rsid w:val="00A63E46"/>
    <w:rsid w:val="00A6540E"/>
    <w:rsid w:val="00A814F8"/>
    <w:rsid w:val="00A96F10"/>
    <w:rsid w:val="00AA2E4E"/>
    <w:rsid w:val="00AD3204"/>
    <w:rsid w:val="00B1669A"/>
    <w:rsid w:val="00B33365"/>
    <w:rsid w:val="00B908B3"/>
    <w:rsid w:val="00BE7770"/>
    <w:rsid w:val="00C03B29"/>
    <w:rsid w:val="00C42BE3"/>
    <w:rsid w:val="00C452A3"/>
    <w:rsid w:val="00C457D8"/>
    <w:rsid w:val="00C50466"/>
    <w:rsid w:val="00C819CC"/>
    <w:rsid w:val="00C82712"/>
    <w:rsid w:val="00C87890"/>
    <w:rsid w:val="00C97A1A"/>
    <w:rsid w:val="00CA60C7"/>
    <w:rsid w:val="00CB2E44"/>
    <w:rsid w:val="00CB4E64"/>
    <w:rsid w:val="00CE4EC7"/>
    <w:rsid w:val="00D309F8"/>
    <w:rsid w:val="00D76174"/>
    <w:rsid w:val="00D8505E"/>
    <w:rsid w:val="00DF25F7"/>
    <w:rsid w:val="00DF30E0"/>
    <w:rsid w:val="00E03476"/>
    <w:rsid w:val="00E178F9"/>
    <w:rsid w:val="00E67477"/>
    <w:rsid w:val="00E87513"/>
    <w:rsid w:val="00EF4339"/>
    <w:rsid w:val="00F561AF"/>
    <w:rsid w:val="00F85BA8"/>
    <w:rsid w:val="00FC06D4"/>
    <w:rsid w:val="00FC6300"/>
    <w:rsid w:val="00FE027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35CC0C1D"/>
  <w15:chartTrackingRefBased/>
  <w15:docId w15:val="{0AFBFAEC-8CB3-784B-B93A-07FA41304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EC7"/>
    <w:rPr>
      <w:rFonts w:eastAsiaTheme="majorEastAsia" w:cstheme="majorBidi"/>
      <w:color w:val="272727" w:themeColor="text1" w:themeTint="D8"/>
    </w:rPr>
  </w:style>
  <w:style w:type="paragraph" w:styleId="Title">
    <w:name w:val="Title"/>
    <w:basedOn w:val="Normal"/>
    <w:next w:val="Normal"/>
    <w:link w:val="TitleChar"/>
    <w:uiPriority w:val="10"/>
    <w:qFormat/>
    <w:rsid w:val="00CE4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EC7"/>
    <w:pPr>
      <w:spacing w:before="160"/>
      <w:jc w:val="center"/>
    </w:pPr>
    <w:rPr>
      <w:i/>
      <w:iCs/>
      <w:color w:val="404040" w:themeColor="text1" w:themeTint="BF"/>
    </w:rPr>
  </w:style>
  <w:style w:type="character" w:customStyle="1" w:styleId="QuoteChar">
    <w:name w:val="Quote Char"/>
    <w:basedOn w:val="DefaultParagraphFont"/>
    <w:link w:val="Quote"/>
    <w:uiPriority w:val="29"/>
    <w:rsid w:val="00CE4EC7"/>
    <w:rPr>
      <w:i/>
      <w:iCs/>
      <w:color w:val="404040" w:themeColor="text1" w:themeTint="BF"/>
    </w:rPr>
  </w:style>
  <w:style w:type="paragraph" w:styleId="ListParagraph">
    <w:name w:val="List Paragraph"/>
    <w:basedOn w:val="Normal"/>
    <w:uiPriority w:val="34"/>
    <w:qFormat/>
    <w:rsid w:val="00CE4EC7"/>
    <w:pPr>
      <w:ind w:left="720"/>
      <w:contextualSpacing/>
    </w:pPr>
  </w:style>
  <w:style w:type="character" w:styleId="IntenseEmphasis">
    <w:name w:val="Intense Emphasis"/>
    <w:basedOn w:val="DefaultParagraphFont"/>
    <w:uiPriority w:val="21"/>
    <w:qFormat/>
    <w:rsid w:val="00CE4EC7"/>
    <w:rPr>
      <w:i/>
      <w:iCs/>
      <w:color w:val="0F4761" w:themeColor="accent1" w:themeShade="BF"/>
    </w:rPr>
  </w:style>
  <w:style w:type="paragraph" w:styleId="IntenseQuote">
    <w:name w:val="Intense Quote"/>
    <w:basedOn w:val="Normal"/>
    <w:next w:val="Normal"/>
    <w:link w:val="IntenseQuoteChar"/>
    <w:uiPriority w:val="30"/>
    <w:qFormat/>
    <w:rsid w:val="00CE4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EC7"/>
    <w:rPr>
      <w:i/>
      <w:iCs/>
      <w:color w:val="0F4761" w:themeColor="accent1" w:themeShade="BF"/>
    </w:rPr>
  </w:style>
  <w:style w:type="character" w:styleId="IntenseReference">
    <w:name w:val="Intense Reference"/>
    <w:basedOn w:val="DefaultParagraphFont"/>
    <w:uiPriority w:val="32"/>
    <w:qFormat/>
    <w:rsid w:val="00CE4E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3</Pages>
  <Words>1049</Words>
  <Characters>6263</Characters>
  <Application>Microsoft Office Word</Application>
  <DocSecurity>0</DocSecurity>
  <Lines>90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Matzke</dc:creator>
  <cp:keywords/>
  <dc:description/>
  <cp:lastModifiedBy>Nicholas Matzke</cp:lastModifiedBy>
  <cp:revision>32</cp:revision>
  <dcterms:created xsi:type="dcterms:W3CDTF">2026-03-26T05:52:00Z</dcterms:created>
  <dcterms:modified xsi:type="dcterms:W3CDTF">2026-03-26T10:13:00Z</dcterms:modified>
</cp:coreProperties>
</file>