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CE" w:rsidRDefault="006F39CE" w:rsidP="006F39CE">
      <w:pPr>
        <w:rPr>
          <w:sz w:val="20"/>
          <w:szCs w:val="20"/>
          <w:lang w:val="en-GB"/>
        </w:rPr>
      </w:pPr>
      <w:proofErr w:type="gramStart"/>
      <w:r>
        <w:rPr>
          <w:b/>
          <w:sz w:val="20"/>
          <w:szCs w:val="20"/>
          <w:lang w:val="en-GB"/>
        </w:rPr>
        <w:t>FIGURE 9.</w:t>
      </w:r>
      <w:proofErr w:type="gramEnd"/>
      <w:r>
        <w:rPr>
          <w:sz w:val="20"/>
          <w:szCs w:val="20"/>
          <w:lang w:val="en-GB"/>
        </w:rPr>
        <w:t xml:space="preserve"> Preliminary maximum parsimony (MP) </w:t>
      </w:r>
      <w:proofErr w:type="spellStart"/>
      <w:r>
        <w:rPr>
          <w:sz w:val="20"/>
          <w:szCs w:val="20"/>
          <w:lang w:val="en-GB"/>
        </w:rPr>
        <w:t>phylogram</w:t>
      </w:r>
      <w:proofErr w:type="spellEnd"/>
      <w:r>
        <w:rPr>
          <w:sz w:val="20"/>
          <w:szCs w:val="20"/>
          <w:lang w:val="en-GB"/>
        </w:rPr>
        <w:t xml:space="preserve"> randomly chosen with 447 terminals modified from </w:t>
      </w:r>
      <w:proofErr w:type="spellStart"/>
      <w:r>
        <w:rPr>
          <w:sz w:val="20"/>
          <w:szCs w:val="20"/>
          <w:lang w:val="en-GB"/>
        </w:rPr>
        <w:t>Barfuss</w:t>
      </w:r>
      <w:proofErr w:type="spellEnd"/>
      <w:r>
        <w:rPr>
          <w:sz w:val="20"/>
          <w:szCs w:val="20"/>
          <w:lang w:val="en-GB"/>
        </w:rPr>
        <w:t xml:space="preserve"> (2012) based on the </w:t>
      </w:r>
      <w:proofErr w:type="spellStart"/>
      <w:r>
        <w:rPr>
          <w:sz w:val="20"/>
          <w:szCs w:val="20"/>
          <w:lang w:val="en-GB"/>
        </w:rPr>
        <w:t>nDNA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i/>
          <w:sz w:val="20"/>
          <w:szCs w:val="20"/>
          <w:lang w:val="en-GB"/>
        </w:rPr>
        <w:t>PHYC</w:t>
      </w:r>
      <w:r>
        <w:rPr>
          <w:sz w:val="20"/>
          <w:szCs w:val="20"/>
          <w:lang w:val="en-GB"/>
        </w:rPr>
        <w:t xml:space="preserve"> (</w:t>
      </w:r>
      <w:proofErr w:type="spellStart"/>
      <w:r>
        <w:rPr>
          <w:i/>
          <w:sz w:val="20"/>
          <w:szCs w:val="20"/>
          <w:lang w:val="en-GB"/>
        </w:rPr>
        <w:t>Phytochrome</w:t>
      </w:r>
      <w:proofErr w:type="spellEnd"/>
      <w:r>
        <w:rPr>
          <w:i/>
          <w:sz w:val="20"/>
          <w:szCs w:val="20"/>
          <w:lang w:val="en-GB"/>
        </w:rPr>
        <w:t xml:space="preserve"> C</w:t>
      </w:r>
      <w:r>
        <w:rPr>
          <w:sz w:val="20"/>
          <w:szCs w:val="20"/>
          <w:lang w:val="en-GB"/>
        </w:rPr>
        <w:t xml:space="preserve">) and </w:t>
      </w:r>
      <w:r>
        <w:rPr>
          <w:i/>
          <w:sz w:val="20"/>
          <w:szCs w:val="20"/>
          <w:lang w:val="en-GB"/>
        </w:rPr>
        <w:t>PRK</w:t>
      </w:r>
      <w:r>
        <w:rPr>
          <w:sz w:val="20"/>
          <w:szCs w:val="20"/>
          <w:lang w:val="en-GB"/>
        </w:rPr>
        <w:t xml:space="preserve"> (</w:t>
      </w:r>
      <w:proofErr w:type="spellStart"/>
      <w:r>
        <w:rPr>
          <w:i/>
          <w:sz w:val="20"/>
          <w:szCs w:val="20"/>
          <w:lang w:val="en-GB"/>
        </w:rPr>
        <w:t>Phosphoribulokinase</w:t>
      </w:r>
      <w:proofErr w:type="spellEnd"/>
      <w:r>
        <w:rPr>
          <w:sz w:val="20"/>
          <w:szCs w:val="20"/>
          <w:lang w:val="en-GB"/>
        </w:rPr>
        <w:t xml:space="preserve">) (complete for all taxa) and </w:t>
      </w:r>
      <w:proofErr w:type="spellStart"/>
      <w:r>
        <w:rPr>
          <w:sz w:val="20"/>
          <w:szCs w:val="20"/>
          <w:lang w:val="en-GB"/>
        </w:rPr>
        <w:t>ptDNA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i/>
          <w:sz w:val="20"/>
          <w:szCs w:val="20"/>
          <w:lang w:val="en-GB"/>
        </w:rPr>
        <w:t>trnK</w:t>
      </w:r>
      <w:r>
        <w:rPr>
          <w:sz w:val="20"/>
          <w:szCs w:val="20"/>
          <w:lang w:val="en-GB"/>
        </w:rPr>
        <w:t>-</w:t>
      </w:r>
      <w:r>
        <w:rPr>
          <w:i/>
          <w:sz w:val="20"/>
          <w:szCs w:val="20"/>
          <w:lang w:val="en-GB"/>
        </w:rPr>
        <w:t>matK</w:t>
      </w:r>
      <w:r>
        <w:rPr>
          <w:sz w:val="20"/>
          <w:szCs w:val="20"/>
          <w:lang w:val="en-GB"/>
        </w:rPr>
        <w:t>-</w:t>
      </w:r>
      <w:r>
        <w:rPr>
          <w:i/>
          <w:sz w:val="20"/>
          <w:szCs w:val="20"/>
          <w:lang w:val="en-GB"/>
        </w:rPr>
        <w:t>trnK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atpB</w:t>
      </w:r>
      <w:r>
        <w:rPr>
          <w:sz w:val="20"/>
          <w:szCs w:val="20"/>
          <w:lang w:val="en-GB"/>
        </w:rPr>
        <w:t>-</w:t>
      </w:r>
      <w:r>
        <w:rPr>
          <w:i/>
          <w:sz w:val="20"/>
          <w:szCs w:val="20"/>
          <w:lang w:val="en-GB"/>
        </w:rPr>
        <w:t>rbcL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rbcL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trnL</w:t>
      </w:r>
      <w:proofErr w:type="spellEnd"/>
      <w:r>
        <w:rPr>
          <w:sz w:val="20"/>
          <w:szCs w:val="20"/>
          <w:lang w:val="en-GB"/>
        </w:rPr>
        <w:t xml:space="preserve"> intron and </w:t>
      </w:r>
      <w:proofErr w:type="spellStart"/>
      <w:r>
        <w:rPr>
          <w:i/>
          <w:sz w:val="20"/>
          <w:szCs w:val="20"/>
          <w:lang w:val="en-GB"/>
        </w:rPr>
        <w:t>trnL</w:t>
      </w:r>
      <w:r>
        <w:rPr>
          <w:sz w:val="20"/>
          <w:szCs w:val="20"/>
          <w:lang w:val="en-GB"/>
        </w:rPr>
        <w:t>-</w:t>
      </w:r>
      <w:r>
        <w:rPr>
          <w:i/>
          <w:sz w:val="20"/>
          <w:szCs w:val="20"/>
          <w:lang w:val="en-GB"/>
        </w:rPr>
        <w:t>trnF</w:t>
      </w:r>
      <w:proofErr w:type="spellEnd"/>
      <w:r>
        <w:rPr>
          <w:sz w:val="20"/>
          <w:szCs w:val="20"/>
          <w:lang w:val="en-GB"/>
        </w:rPr>
        <w:t xml:space="preserve">, and </w:t>
      </w:r>
      <w:r>
        <w:rPr>
          <w:i/>
          <w:sz w:val="20"/>
          <w:szCs w:val="20"/>
          <w:lang w:val="en-GB"/>
        </w:rPr>
        <w:t>rps16</w:t>
      </w:r>
      <w:r>
        <w:rPr>
          <w:sz w:val="20"/>
          <w:szCs w:val="20"/>
          <w:lang w:val="en-GB"/>
        </w:rPr>
        <w:t xml:space="preserve"> intron sequence data (only for 97 taxa from </w:t>
      </w:r>
      <w:proofErr w:type="spellStart"/>
      <w:r>
        <w:rPr>
          <w:sz w:val="20"/>
          <w:szCs w:val="20"/>
          <w:lang w:val="en-GB"/>
        </w:rPr>
        <w:t>Barfuss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i/>
          <w:sz w:val="20"/>
          <w:szCs w:val="20"/>
          <w:lang w:val="en-GB"/>
        </w:rPr>
        <w:t>et al.</w:t>
      </w:r>
      <w:r>
        <w:rPr>
          <w:sz w:val="20"/>
          <w:szCs w:val="20"/>
          <w:lang w:val="en-GB"/>
        </w:rPr>
        <w:t xml:space="preserve"> 2005a). Numbers above branches are bootstrap support values of MP bootstrapping and Bayesian Inference (BI) posterior probabilities (PBS/BPP), missing values (-/-) indicate values less than 50% PBS or 0.50 BPP, respectively; numbers below branches are branch lengths of variable DNA characters. Technical details can be found in </w:t>
      </w:r>
      <w:proofErr w:type="spellStart"/>
      <w:r>
        <w:rPr>
          <w:sz w:val="20"/>
          <w:szCs w:val="20"/>
          <w:lang w:val="en-GB"/>
        </w:rPr>
        <w:t>Barfuss</w:t>
      </w:r>
      <w:proofErr w:type="spellEnd"/>
      <w:r>
        <w:rPr>
          <w:sz w:val="20"/>
          <w:szCs w:val="20"/>
          <w:lang w:val="en-GB"/>
        </w:rPr>
        <w:t xml:space="preserve"> (2012). Taxa are labelled with their newly proposed names according to the revised classification. An asterisk before species names indicate terminals, for which also </w:t>
      </w:r>
      <w:proofErr w:type="spellStart"/>
      <w:r>
        <w:rPr>
          <w:sz w:val="20"/>
          <w:szCs w:val="20"/>
          <w:lang w:val="en-GB"/>
        </w:rPr>
        <w:t>ptDNA</w:t>
      </w:r>
      <w:proofErr w:type="spellEnd"/>
      <w:r>
        <w:rPr>
          <w:sz w:val="20"/>
          <w:szCs w:val="20"/>
          <w:lang w:val="en-GB"/>
        </w:rPr>
        <w:t xml:space="preserve"> sequence data was available. For other accessions only </w:t>
      </w:r>
      <w:r>
        <w:rPr>
          <w:i/>
          <w:sz w:val="20"/>
          <w:szCs w:val="20"/>
          <w:lang w:val="en-GB"/>
        </w:rPr>
        <w:t>PHYC</w:t>
      </w:r>
      <w:r>
        <w:rPr>
          <w:sz w:val="20"/>
          <w:szCs w:val="20"/>
          <w:lang w:val="en-GB"/>
        </w:rPr>
        <w:t xml:space="preserve"> and </w:t>
      </w:r>
      <w:r>
        <w:rPr>
          <w:i/>
          <w:sz w:val="20"/>
          <w:szCs w:val="20"/>
          <w:lang w:val="en-GB"/>
        </w:rPr>
        <w:t>PRK</w:t>
      </w:r>
      <w:r>
        <w:rPr>
          <w:sz w:val="20"/>
          <w:szCs w:val="20"/>
          <w:lang w:val="en-GB"/>
        </w:rPr>
        <w:t xml:space="preserve"> was available, with missing data coded as ‘?’ for the </w:t>
      </w:r>
      <w:proofErr w:type="spellStart"/>
      <w:r>
        <w:rPr>
          <w:sz w:val="20"/>
          <w:szCs w:val="20"/>
          <w:lang w:val="en-GB"/>
        </w:rPr>
        <w:t>ptDNA</w:t>
      </w:r>
      <w:proofErr w:type="spellEnd"/>
      <w:r>
        <w:rPr>
          <w:sz w:val="20"/>
          <w:szCs w:val="20"/>
          <w:lang w:val="en-GB"/>
        </w:rPr>
        <w:t xml:space="preserve"> loci. Two asterisk before species names indicate terminals where </w:t>
      </w:r>
      <w:proofErr w:type="spellStart"/>
      <w:r>
        <w:rPr>
          <w:sz w:val="20"/>
          <w:szCs w:val="20"/>
          <w:lang w:val="en-GB"/>
        </w:rPr>
        <w:t>ptDNA</w:t>
      </w:r>
      <w:proofErr w:type="spellEnd"/>
      <w:r>
        <w:rPr>
          <w:sz w:val="20"/>
          <w:szCs w:val="20"/>
          <w:lang w:val="en-GB"/>
        </w:rPr>
        <w:t xml:space="preserve"> and </w:t>
      </w:r>
      <w:proofErr w:type="spellStart"/>
      <w:r>
        <w:rPr>
          <w:sz w:val="20"/>
          <w:szCs w:val="20"/>
          <w:lang w:val="en-GB"/>
        </w:rPr>
        <w:t>nDNA</w:t>
      </w:r>
      <w:proofErr w:type="spellEnd"/>
      <w:r>
        <w:rPr>
          <w:sz w:val="20"/>
          <w:szCs w:val="20"/>
          <w:lang w:val="en-GB"/>
        </w:rPr>
        <w:t xml:space="preserve"> sequence data came from different accessions of the same species.</w:t>
      </w:r>
    </w:p>
    <w:p w:rsidR="006F39CE" w:rsidRDefault="006F39CE" w:rsidP="006F39CE">
      <w:pPr>
        <w:rPr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>Note:</w:t>
      </w:r>
      <w:r>
        <w:rPr>
          <w:sz w:val="20"/>
          <w:szCs w:val="20"/>
          <w:lang w:val="en-GB"/>
        </w:rPr>
        <w:t xml:space="preserve"> Species relationships should be taken with caution as only one of the many possible phylogenetic </w:t>
      </w:r>
      <w:proofErr w:type="gramStart"/>
      <w:r>
        <w:rPr>
          <w:sz w:val="20"/>
          <w:szCs w:val="20"/>
          <w:lang w:val="en-GB"/>
        </w:rPr>
        <w:t>hypothesis</w:t>
      </w:r>
      <w:proofErr w:type="gramEnd"/>
      <w:r>
        <w:rPr>
          <w:sz w:val="20"/>
          <w:szCs w:val="20"/>
          <w:lang w:val="en-GB"/>
        </w:rPr>
        <w:t xml:space="preserve"> is shown. Branches are often unsupported due to missing </w:t>
      </w:r>
      <w:proofErr w:type="spellStart"/>
      <w:r>
        <w:rPr>
          <w:sz w:val="20"/>
          <w:szCs w:val="20"/>
          <w:lang w:val="en-GB"/>
        </w:rPr>
        <w:t>ptDNA</w:t>
      </w:r>
      <w:proofErr w:type="spellEnd"/>
      <w:r>
        <w:rPr>
          <w:sz w:val="20"/>
          <w:szCs w:val="20"/>
          <w:lang w:val="en-GB"/>
        </w:rPr>
        <w:t xml:space="preserve"> sequence data and high levels of homoplasy in </w:t>
      </w:r>
      <w:proofErr w:type="spellStart"/>
      <w:r>
        <w:rPr>
          <w:sz w:val="20"/>
          <w:szCs w:val="20"/>
          <w:lang w:val="en-GB"/>
        </w:rPr>
        <w:t>nDNA</w:t>
      </w:r>
      <w:proofErr w:type="spellEnd"/>
      <w:r>
        <w:rPr>
          <w:sz w:val="20"/>
          <w:szCs w:val="20"/>
          <w:lang w:val="en-GB"/>
        </w:rPr>
        <w:t xml:space="preserve"> sequence data. Several species are unplaced (</w:t>
      </w:r>
      <w:proofErr w:type="spellStart"/>
      <w:r>
        <w:rPr>
          <w:i/>
          <w:sz w:val="20"/>
          <w:szCs w:val="20"/>
          <w:lang w:val="en-GB"/>
        </w:rPr>
        <w:t>incertae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i/>
          <w:sz w:val="20"/>
          <w:szCs w:val="20"/>
          <w:lang w:val="en-GB"/>
        </w:rPr>
        <w:t>sedis</w:t>
      </w:r>
      <w:proofErr w:type="spellEnd"/>
      <w:r>
        <w:rPr>
          <w:sz w:val="20"/>
          <w:szCs w:val="20"/>
          <w:lang w:val="en-GB"/>
        </w:rPr>
        <w:t xml:space="preserve">). However, circumscriptions of higher taxonomic groups are mostly identical to the 210 taxa set, but the taxon sampling is more inclusive. This expanded sequence data set will be published in a separate publication with </w:t>
      </w:r>
      <w:proofErr w:type="spellStart"/>
      <w:r>
        <w:rPr>
          <w:sz w:val="20"/>
          <w:szCs w:val="20"/>
          <w:lang w:val="en-GB"/>
        </w:rPr>
        <w:t>GenBank</w:t>
      </w:r>
      <w:proofErr w:type="spellEnd"/>
      <w:r>
        <w:rPr>
          <w:sz w:val="20"/>
          <w:szCs w:val="20"/>
          <w:lang w:val="en-GB"/>
        </w:rPr>
        <w:t xml:space="preserve"> accession numbers and voucher details.</w:t>
      </w:r>
    </w:p>
    <w:p w:rsidR="0077257E" w:rsidRPr="006F39CE" w:rsidRDefault="0077257E">
      <w:pPr>
        <w:rPr>
          <w:lang w:val="en-GB"/>
        </w:rPr>
      </w:pPr>
      <w:bookmarkStart w:id="0" w:name="_GoBack"/>
      <w:bookmarkEnd w:id="0"/>
    </w:p>
    <w:sectPr w:rsidR="0077257E" w:rsidRPr="006F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CE"/>
    <w:rsid w:val="006F39CE"/>
    <w:rsid w:val="007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Magnoliapress</dc:creator>
  <cp:lastModifiedBy>Magnoliapress</cp:lastModifiedBy>
  <cp:revision>1</cp:revision>
  <dcterms:created xsi:type="dcterms:W3CDTF">2016-10-02T22:57:00Z</dcterms:created>
  <dcterms:modified xsi:type="dcterms:W3CDTF">2016-10-02T22:58:00Z</dcterms:modified>
</cp:coreProperties>
</file>