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اَعُوْذُ بِرَبِّ الْفَلَقِ ۟ۙ مِنْ شَرِّ مَا خَلَقَ ۟ۙ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شَرِّ غَاسِقٍ اِذَا وَقَبَ ۟ۙ وَمِنْ شَرِّ النَّفّٰثٰتِ فِی الْعُقَدِ ۟ۙ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وَمِنْ شَرِّ حَاسِدٍ اِذَا حَسَدَ ۟۠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اَعُوْذُ بِرَبِّ النَّاسِ ۟ۙ مَلِكِ النَّاسِ ۟ۙ اِلٰهِ النَّاسِ ۟ۙ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شَرِّ الْوَسْوَاسِ ۙ۬ الْخَنَّاسِ ۟ الَّذِیْ یُوَسْوِسُ فِیْ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صُدُوْرِ النَّاسِ ۟ۙ مِنَ الْجِنَّةِ وَالنَّاسِ ۟۠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