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pPr>
      <w:r>
        <w:rPr>
          <w:rFonts w:ascii="Times New Roman" w:hAnsi="Times New Roman" w:eastAsia="Times New Roman"/>
          <w:sz w:val="24"/>
        </w:rPr>
        <w:t>Noah McNamee</w:t>
      </w:r>
    </w:p>
    <w:p>
      <w:pPr>
        <w:spacing w:before="0" w:after="0" w:line="480" w:lineRule="auto"/>
      </w:pPr>
      <w:r>
        <w:rPr>
          <w:rFonts w:ascii="Times New Roman" w:hAnsi="Times New Roman" w:eastAsia="Times New Roman"/>
          <w:sz w:val="24"/>
        </w:rPr>
        <w:t>Professor Jeremy Wade</w:t>
      </w:r>
    </w:p>
    <w:p>
      <w:pPr>
        <w:spacing w:before="0" w:after="0" w:line="480" w:lineRule="auto"/>
      </w:pPr>
      <w:r>
        <w:rPr>
          <w:rFonts w:ascii="Times New Roman" w:hAnsi="Times New Roman" w:eastAsia="Times New Roman"/>
          <w:sz w:val="24"/>
        </w:rPr>
        <w:t>Writing 101</w:t>
      </w:r>
    </w:p>
    <w:p>
      <w:pPr>
        <w:spacing w:before="0" w:after="0" w:line="480" w:lineRule="auto"/>
      </w:pPr>
      <w:r>
        <w:rPr>
          <w:rFonts w:ascii="Times New Roman" w:hAnsi="Times New Roman" w:eastAsia="Times New Roman"/>
          <w:sz w:val="24"/>
        </w:rPr>
        <w:t>29 April 2026</w:t>
      </w:r>
    </w:p>
    <w:p>
      <w:pPr>
        <w:spacing w:before="0" w:after="0" w:line="480" w:lineRule="auto"/>
        <w:jc w:val="center"/>
      </w:pPr>
      <w:r>
        <w:rPr>
          <w:rFonts w:ascii="Times New Roman" w:hAnsi="Times New Roman" w:eastAsia="Times New Roman"/>
          <w:sz w:val="24"/>
        </w:rPr>
        <w:t>Narrative</w:t>
      </w:r>
    </w:p>
    <w:p>
      <w:pPr>
        <w:spacing w:before="0" w:after="0" w:line="480" w:lineRule="auto"/>
        <w:ind w:firstLine="720"/>
      </w:pPr>
      <w:r>
        <w:t>My multimodal project, The Platform Machine, is designed for everyday music streamers who already live with algorithmic playlists but may not have the vocabulary for platform economics. I imagine first-year college students, high school juniors and seniors, and young adults who use Spotify, TikTok, YouTube, or mood-based playlists every week. They know recommendations shape what they hear, but they may not know how artificial intelligence, catalog growth, and algorithmic gatekeeping can redistribute value. The project therefore works as a standalone virtual system that can be tested quickly without outside background knowledge.</w:t>
      </w:r>
    </w:p>
    <w:p>
      <w:pPr>
        <w:spacing w:before="0" w:after="0" w:line="480" w:lineRule="auto"/>
        <w:ind w:firstLine="720"/>
      </w:pPr>
      <w:r>
        <w:t>The central claim is that AI-generated music can strengthen digital platforms by lowering production costs, increasing the supply of tracks, and making algorithmic visibility even more important. The project shows that claim through a causal chain: lower production cost leads to catalog flood, catalog flood makes recommendation a bottleneck, and the bottleneck affects who captures value. This structure keeps the focus on platform power rather than on whether AI music is good, bad, fake, or real.</w:t>
      </w:r>
    </w:p>
    <w:p>
      <w:pPr>
        <w:spacing w:before="0" w:after="0" w:line="480" w:lineRule="auto"/>
        <w:ind w:firstLine="720"/>
      </w:pPr>
      <w:r>
        <w:t>The interactive form makes the system visible. Users click through a chevron flow, adjust an AI production-pressure scenario, compare value-capture models, and see how fixed listener attention becomes more strained as track supply expands. I removed the earlier ambient sound feature because it did not explain the argument clearly enough. Instead, the final version uses text, visual modeling, spatial sequence, and direct manipulation to make the economic logic easier to follow.</w:t>
      </w:r>
    </w:p>
    <w:p>
      <w:pPr>
        <w:spacing w:before="0" w:after="0" w:line="480" w:lineRule="auto"/>
        <w:ind w:firstLine="720"/>
      </w:pPr>
      <w:r>
        <w:t>The project avoids exact-looking statistics that would imply false precision. Its labels use conceptual indicators such as low, moderate, high, falling, growing, thinning, and scarce. Those labels make the model more honest: it is not pretending to measure the entire music industry. It is showing directional pressure inside a system where production can scale faster than attention.</w:t>
      </w:r>
    </w:p>
    <w:p>
      <w:pPr>
        <w:spacing w:before="0" w:after="0" w:line="480" w:lineRule="auto"/>
        <w:ind w:firstLine="720"/>
      </w:pPr>
      <w:r>
        <w:t>The main visual materials are self-created and code-native. The chevron flow presents the high-level sequence. The scenario section places an expanding track-supply field beside a fixed listener-attention pool so users can see why more tracks can reduce attention per track. The value section compares the current streaming model with an AI-saturated model and labels the comparison as illustrative rather than numerical industry data.</w:t>
      </w:r>
    </w:p>
    <w:p>
      <w:pPr>
        <w:spacing w:before="0" w:after="0" w:line="480" w:lineRule="auto"/>
        <w:ind w:firstLine="720"/>
      </w:pPr>
      <w:r>
        <w:t>The rhetorical appeals are built into the interaction. The logos appeal comes from the cause-and-effect sequence: cheaper production increases supply, supply makes ranking more important, and ranking influences value capture. The pathos appeal comes from seeing attention become scarce as supply grows. The ethos appeal comes from transparent source material and from removing unsupported numbers that made the first version feel arbitrary.</w:t>
      </w:r>
    </w:p>
    <w:p>
      <w:pPr>
        <w:spacing w:before="0" w:after="0" w:line="480" w:lineRule="auto"/>
        <w:ind w:firstLine="720"/>
      </w:pPr>
      <w:r>
        <w:t>Overall, The Platform Machine asks users to look behind the listening experience and notice where power accumulates. AI-generated music matters here because it can change the scale of supply. Once supply becomes abundant, platforms gain power from controlling visibility, collecting behavior data, and deciding which tracks reach listeners first. The result is a standalone explanation of why cheaper production may increase platform power more than artist power.</w:t>
      </w:r>
    </w:p>
    <w:p>
      <w:r>
        <w:rPr>
          <w:rFonts w:ascii="Times New Roman" w:hAnsi="Times New Roman" w:eastAsia="Times New Roman"/>
          <w:sz w:val="24"/>
        </w:rPr>
        <w:br w:type="page"/>
      </w:r>
    </w:p>
    <w:p>
      <w:pPr>
        <w:spacing w:before="0" w:after="0" w:line="480" w:lineRule="auto"/>
        <w:jc w:val="center"/>
      </w:pPr>
      <w:r>
        <w:rPr>
          <w:rFonts w:ascii="Times New Roman" w:hAnsi="Times New Roman" w:eastAsia="Times New Roman"/>
          <w:sz w:val="24"/>
        </w:rPr>
        <w:t>Works Sampled</w:t>
      </w:r>
    </w:p>
    <w:p>
      <w:pPr>
        <w:spacing w:before="0" w:after="0" w:line="480" w:lineRule="auto"/>
        <w:ind w:left="720" w:hanging="720"/>
      </w:pPr>
      <w:r>
        <w:rPr>
          <w:rFonts w:ascii="Times New Roman" w:hAnsi="Times New Roman" w:eastAsia="Times New Roman"/>
          <w:sz w:val="24"/>
        </w:rPr>
        <w:t>Christian, Bryce M. Interactive Pathways: Designing Accessible Museum Experiences. Senior thesis, University of South Carolina, 2025. Scholar Commons, https://scholarcommons.sc.edu/senior_theses/800/.</w:t>
      </w:r>
    </w:p>
    <w:p>
      <w:pPr>
        <w:spacing w:before="0" w:after="0" w:line="480" w:lineRule="auto"/>
        <w:ind w:left="720" w:hanging="720"/>
      </w:pPr>
      <w:r>
        <w:rPr>
          <w:rFonts w:ascii="Times New Roman" w:hAnsi="Times New Roman" w:eastAsia="Times New Roman"/>
          <w:sz w:val="24"/>
        </w:rPr>
        <w:t>Huang, Jiaying, and Wenhua Li. "Research on Innovative Strategies of Museum Display Design to Improve User Experience." Human-Computer Interaction. HCII 2024, edited by Masaaki Kurosu and Ayako Hashizume, vol. 14688, Springer, 2024, pp. 343-358. SpringerLink, https://doi.org/10.1007/978-3-031-60449-2_23.</w:t>
      </w:r>
    </w:p>
    <w:p>
      <w:pPr>
        <w:spacing w:before="0" w:after="0" w:line="480" w:lineRule="auto"/>
        <w:ind w:left="720" w:hanging="720"/>
      </w:pPr>
      <w:r>
        <w:rPr>
          <w:rFonts w:ascii="Times New Roman" w:hAnsi="Times New Roman" w:eastAsia="Times New Roman"/>
          <w:sz w:val="24"/>
        </w:rPr>
        <w:t>Lucide Contributors. Lucide React. Lucide, https://lucide.dev. Accessed 29 Apr. 2026.</w:t>
      </w:r>
    </w:p>
    <w:p>
      <w:pPr>
        <w:spacing w:before="0" w:after="0" w:line="480" w:lineRule="auto"/>
        <w:ind w:left="720" w:hanging="720"/>
      </w:pPr>
      <w:r>
        <w:rPr>
          <w:rFonts w:ascii="Times New Roman" w:hAnsi="Times New Roman" w:eastAsia="Times New Roman"/>
          <w:sz w:val="24"/>
        </w:rPr>
        <w:t>McNamee, Noah. Dossier for the Multimodal Remix. Writing 101, 23 Apr. 2026. Unpublished coursework.</w:t>
      </w:r>
    </w:p>
    <w:p>
      <w:pPr>
        <w:spacing w:before="0" w:after="0" w:line="480" w:lineRule="auto"/>
        <w:ind w:left="720" w:hanging="720"/>
      </w:pPr>
      <w:r>
        <w:rPr>
          <w:rFonts w:ascii="Times New Roman" w:hAnsi="Times New Roman" w:eastAsia="Times New Roman"/>
          <w:sz w:val="24"/>
        </w:rPr>
        <w:t>McNamee, Noah. "Artificial Intelligence and the Redistribution of Value in the Digital Music Economy." Writing 101, 2026. Unpublished manuscript.</w:t>
      </w:r>
    </w:p>
    <w:p>
      <w:pPr>
        <w:spacing w:before="0" w:after="0" w:line="480" w:lineRule="auto"/>
        <w:ind w:left="720" w:hanging="720"/>
      </w:pPr>
      <w:r>
        <w:rPr>
          <w:rFonts w:ascii="Times New Roman" w:hAnsi="Times New Roman" w:eastAsia="Times New Roman"/>
          <w:sz w:val="24"/>
        </w:rPr>
        <w:t>McNamee, Noah. The Platform Machine. Multimodal Remix, 2026. GitHub, https://github.com/nmcnamee24/multimodal.</w:t>
      </w:r>
    </w:p>
    <w:p>
      <w:pPr>
        <w:spacing w:before="0" w:after="0" w:line="480" w:lineRule="auto"/>
        <w:ind w:left="720" w:hanging="720"/>
      </w:pPr>
      <w:r>
        <w:rPr>
          <w:rFonts w:ascii="Times New Roman" w:hAnsi="Times New Roman" w:eastAsia="Times New Roman"/>
          <w:sz w:val="24"/>
        </w:rPr>
        <w:t>Meng, Lei, et al. "Research on a User-Centered Evaluation Model for Audience Experience and Display Narrative of Digital Museums." Electronics, vol. 11, no. 9, 2022, article 1445. MDPI, https://doi.org/10.3390/electronics11091445.</w:t>
      </w:r>
    </w:p>
    <w:p>
      <w:pPr>
        <w:spacing w:before="0" w:after="0" w:line="480" w:lineRule="auto"/>
        <w:ind w:left="720" w:hanging="720"/>
      </w:pPr>
      <w:r>
        <w:rPr>
          <w:rFonts w:ascii="Times New Roman" w:hAnsi="Times New Roman" w:eastAsia="Times New Roman"/>
          <w:sz w:val="24"/>
        </w:rPr>
        <w:t>Wang, Zezhong, et al. "Comparing Effectiveness and Engagement of Data Comics and Infographics." Proceedings of the 2019 CHI Conference on Human Factors in Computing Systems, Association for Computing Machinery, 2019, pp. 1-12. ACM Digital Library, https://doi.org/10.1145/3290605.3300483.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