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Arial" w:cs="Arial" w:eastAsia="Arial" w:hAnsi="Arial"/>
          <w:sz w:val="28"/>
          <w:szCs w:val="28"/>
        </w:rPr>
      </w:pPr>
      <w:r w:rsidDel="00000000" w:rsidR="00000000" w:rsidRPr="00000000">
        <w:rPr>
          <w:rFonts w:ascii="Arial" w:cs="Arial" w:eastAsia="Arial" w:hAnsi="Arial"/>
          <w:sz w:val="28"/>
          <w:szCs w:val="28"/>
          <w:rtl w:val="0"/>
        </w:rPr>
        <w:t xml:space="preserve">Supplementary information: </w:t>
      </w:r>
    </w:p>
    <w:p w:rsidR="00000000" w:rsidDel="00000000" w:rsidP="00000000" w:rsidRDefault="00000000" w:rsidRPr="00000000" w14:paraId="00000002">
      <w:pPr>
        <w:pStyle w:val="Title"/>
        <w:rPr>
          <w:rFonts w:ascii="Arial" w:cs="Arial" w:eastAsia="Arial" w:hAnsi="Arial"/>
          <w:sz w:val="28"/>
          <w:szCs w:val="28"/>
        </w:rPr>
      </w:pPr>
      <w:r w:rsidDel="00000000" w:rsidR="00000000" w:rsidRPr="00000000">
        <w:rPr>
          <w:rFonts w:ascii="Arial" w:cs="Arial" w:eastAsia="Arial" w:hAnsi="Arial"/>
          <w:sz w:val="28"/>
          <w:szCs w:val="28"/>
          <w:rtl w:val="0"/>
        </w:rPr>
        <w:t xml:space="preserve">Seasonal dynamics of ectomycorrhizal fungi are driven by shorter distance exploration types and deciduous host tree leaf habit associations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tructure below mirrors that of the original paper, as suggested by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greenbaum2017?</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Statistical GAM output tables are organized and presented using the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‘flextable’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 package.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1"/>
        </w:rPr>
      </w:pPr>
      <w:r w:rsidDel="00000000" w:rsidR="00000000" w:rsidRPr="00000000">
        <w:rPr>
          <w:rtl w:val="0"/>
        </w:rPr>
      </w:r>
    </w:p>
    <w:bookmarkStart w:colFirst="0" w:colLast="0" w:name="bookmark=id.8sgpj5khy5nq" w:id="0"/>
    <w:bookmarkEnd w:id="0"/>
    <w:p w:rsidR="00000000" w:rsidDel="00000000" w:rsidP="00000000" w:rsidRDefault="00000000" w:rsidRPr="00000000" w14:paraId="00000009">
      <w:pPr>
        <w:pStyle w:val="Heading2"/>
        <w:rPr/>
      </w:pPr>
      <w:r w:rsidDel="00000000" w:rsidR="00000000" w:rsidRPr="00000000">
        <w:rPr>
          <w:rtl w:val="0"/>
        </w:rPr>
        <w:t xml:space="preserve">Abundance</w:t>
      </w:r>
    </w:p>
    <w:p w:rsidR="00000000" w:rsidDel="00000000" w:rsidP="00000000" w:rsidRDefault="00000000" w:rsidRPr="00000000" w14:paraId="0000000A">
      <w:pPr>
        <w:pStyle w:val="Heading3"/>
        <w:spacing w:after="180" w:before="180" w:lineRule="auto"/>
        <w:rPr>
          <w:rFonts w:ascii="Arial" w:cs="Arial" w:eastAsia="Arial" w:hAnsi="Arial"/>
          <w:color w:val="000000"/>
          <w:sz w:val="20"/>
          <w:szCs w:val="20"/>
          <w:vertAlign w:val="baseline"/>
        </w:rPr>
      </w:pPr>
      <w:bookmarkStart w:colFirst="0" w:colLast="0" w:name="_heading=h.zv4ghpatq3v" w:id="1"/>
      <w:bookmarkEnd w:id="1"/>
      <w:r w:rsidDel="00000000" w:rsidR="00000000" w:rsidRPr="00000000">
        <w:rPr>
          <w:rFonts w:ascii="Arial" w:cs="Arial" w:eastAsia="Arial" w:hAnsi="Arial"/>
          <w:b w:val="1"/>
          <w:color w:val="000000"/>
          <w:sz w:val="20"/>
          <w:szCs w:val="20"/>
          <w:vertAlign w:val="baseline"/>
          <w:rtl w:val="0"/>
        </w:rPr>
        <w:t xml:space="preserve">Table S1</w:t>
      </w:r>
      <w:r w:rsidDel="00000000" w:rsidR="00000000" w:rsidRPr="00000000">
        <w:rPr>
          <w:rFonts w:ascii="Arial" w:cs="Arial" w:eastAsia="Arial" w:hAnsi="Arial"/>
          <w:color w:val="000000"/>
          <w:sz w:val="20"/>
          <w:szCs w:val="20"/>
          <w:vertAlign w:val="baseline"/>
          <w:rtl w:val="0"/>
        </w:rPr>
        <w:t xml:space="preserve">. Output showing generalized additive models (GAM) of quantitative soil fungal 18S rDNA amplification, subset by the total proportion of sequenced DNA reads matching to ectomycorrhizal fungal lifestyles in the FungalTraits database (</w:t>
      </w:r>
      <w:r w:rsidDel="00000000" w:rsidR="00000000" w:rsidRPr="00000000">
        <w:rPr>
          <w:rFonts w:ascii="Arial" w:cs="Arial" w:eastAsia="Arial" w:hAnsi="Arial"/>
          <w:b w:val="1"/>
          <w:color w:val="000000"/>
          <w:sz w:val="20"/>
          <w:szCs w:val="20"/>
          <w:vertAlign w:val="baseline"/>
          <w:rtl w:val="0"/>
        </w:rPr>
        <w:t xml:space="preserve">polme2020?</w:t>
      </w:r>
      <w:r w:rsidDel="00000000" w:rsidR="00000000" w:rsidRPr="00000000">
        <w:rPr>
          <w:rFonts w:ascii="Arial" w:cs="Arial" w:eastAsia="Arial" w:hAnsi="Arial"/>
          <w:color w:val="000000"/>
          <w:sz w:val="20"/>
          <w:szCs w:val="20"/>
          <w:vertAlign w:val="baseline"/>
          <w:rtl w:val="0"/>
        </w:rPr>
        <w:t xml:space="preserve">).</w:t>
      </w:r>
    </w:p>
    <w:tbl>
      <w:tblPr>
        <w:tblStyle w:val="Table1"/>
        <w:tblW w:w="11906.999999999998" w:type="dxa"/>
        <w:jc w:val="center"/>
        <w:tblLayout w:type="fixed"/>
        <w:tblLook w:val="0000"/>
      </w:tblPr>
      <w:tblGrid>
        <w:gridCol w:w="2774"/>
        <w:gridCol w:w="4034"/>
        <w:gridCol w:w="1160"/>
        <w:gridCol w:w="1184"/>
        <w:gridCol w:w="1099"/>
        <w:gridCol w:w="1080"/>
        <w:gridCol w:w="576"/>
        <w:tblGridChange w:id="0">
          <w:tblGrid>
            <w:gridCol w:w="2774"/>
            <w:gridCol w:w="4034"/>
            <w:gridCol w:w="1160"/>
            <w:gridCol w:w="1184"/>
            <w:gridCol w:w="1099"/>
            <w:gridCol w:w="1080"/>
            <w:gridCol w:w="576"/>
          </w:tblGrid>
        </w:tblGridChange>
      </w:tblGrid>
      <w:tr>
        <w:trPr>
          <w:cantSplit w:val="0"/>
          <w:trHeight w:val="512" w:hRule="atLeast"/>
          <w:tblHeader w:val="1"/>
        </w:trPr>
        <w:tc>
          <w:tcPr>
            <w:gridSpan w:val="7"/>
            <w:tcBorders>
              <w:top w:color="000000" w:space="0" w:sz="0" w:val="nil"/>
              <w:left w:color="000000" w:space="0" w:sz="0" w:val="nil"/>
              <w:bottom w:color="666666"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qPCR result, </w:t>
              <w:br w:type="textWrapping"/>
              <w:t xml:space="preserve"> GAM with tweedie tw(theta = 1.9) distribution family</w:t>
            </w:r>
          </w:p>
        </w:tc>
      </w:tr>
      <w:tr>
        <w:trPr>
          <w:cantSplit w:val="0"/>
          <w:trHeight w:val="512" w:hRule="atLeast"/>
          <w:tblHeader w:val="1"/>
        </w:trPr>
        <w:tc>
          <w:tcPr>
            <w:tcBorders>
              <w:top w:color="666666" w:space="0" w:sz="6" w:val="single"/>
              <w:left w:color="000000" w:space="0" w:sz="0" w:val="nil"/>
              <w:bottom w:color="666666"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Component</w:t>
            </w:r>
          </w:p>
        </w:tc>
        <w:tc>
          <w:tcPr>
            <w:tcBorders>
              <w:top w:color="666666" w:space="0" w:sz="6" w:val="single"/>
              <w:left w:color="000000" w:space="0" w:sz="0" w:val="nil"/>
              <w:bottom w:color="666666"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Term</w:t>
            </w:r>
          </w:p>
        </w:tc>
        <w:tc>
          <w:tcPr>
            <w:tcBorders>
              <w:top w:color="666666" w:space="0" w:sz="6" w:val="single"/>
              <w:left w:color="000000" w:space="0" w:sz="0" w:val="nil"/>
              <w:bottom w:color="666666"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Estimate</w:t>
            </w:r>
          </w:p>
        </w:tc>
        <w:tc>
          <w:tcPr>
            <w:tcBorders>
              <w:top w:color="666666" w:space="0" w:sz="6" w:val="single"/>
              <w:left w:color="000000" w:space="0" w:sz="0" w:val="nil"/>
              <w:bottom w:color="666666"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Std Error</w:t>
            </w:r>
          </w:p>
        </w:tc>
        <w:tc>
          <w:tcPr>
            <w:tcBorders>
              <w:top w:color="666666" w:space="0" w:sz="6" w:val="single"/>
              <w:left w:color="000000" w:space="0" w:sz="0" w:val="nil"/>
              <w:bottom w:color="666666"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t-value</w:t>
            </w:r>
          </w:p>
        </w:tc>
        <w:tc>
          <w:tcPr>
            <w:tcBorders>
              <w:top w:color="666666" w:space="0" w:sz="6" w:val="single"/>
              <w:left w:color="000000" w:space="0" w:sz="0" w:val="nil"/>
              <w:bottom w:color="666666"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p-value</w:t>
            </w:r>
          </w:p>
        </w:tc>
        <w:tc>
          <w:tcPr>
            <w:tcBorders>
              <w:top w:color="666666" w:space="0" w:sz="6" w:val="single"/>
              <w:left w:color="000000" w:space="0" w:sz="0" w:val="nil"/>
              <w:bottom w:color="666666"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r>
      <w:tr>
        <w:trPr>
          <w:cantSplit w:val="0"/>
          <w:trHeight w:val="510" w:hRule="atLeast"/>
          <w:tblHeader w:val="0"/>
        </w:trPr>
        <w:tc>
          <w:tcPr>
            <w:vMerge w:val="restart"/>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A. parametric coefficients</w:t>
            </w:r>
          </w:p>
        </w:tc>
        <w:tc>
          <w:tcPr>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(Intercept)</w:t>
            </w:r>
          </w:p>
        </w:tc>
        <w:tc>
          <w:tcPr>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10.019</w:t>
            </w:r>
          </w:p>
        </w:tc>
        <w:tc>
          <w:tcPr>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0.054</w:t>
            </w:r>
          </w:p>
        </w:tc>
        <w:tc>
          <w:tcPr>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187.144</w:t>
            </w:r>
          </w:p>
        </w:tc>
        <w:tc>
          <w:tcPr>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&lt; 0.001</w:t>
            </w:r>
          </w:p>
        </w:tc>
        <w:tc>
          <w:tcPr>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w:t>
            </w:r>
          </w:p>
        </w:tc>
      </w:tr>
      <w:tr>
        <w:trPr>
          <w:cantSplit w:val="0"/>
          <w:trHeight w:val="513" w:hRule="atLeast"/>
          <w:tblHeader w:val="0"/>
        </w:trPr>
        <w:tc>
          <w:tcPr>
            <w:vMerge w:val="continue"/>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LeafHabitEvergreen</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2.272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0.132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17.154</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w:t>
            </w:r>
          </w:p>
        </w:tc>
      </w:tr>
      <w:tr>
        <w:trPr>
          <w:cantSplit w:val="0"/>
          <w:trHeight w:val="512" w:hRule="atLeast"/>
          <w:tblHeader w:val="0"/>
        </w:trPr>
        <w:tc>
          <w:tcPr>
            <w:vMerge w:val="continue"/>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PLOT_G.sppQ. alba</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2.755</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0.132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20.855</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w:t>
            </w:r>
          </w:p>
        </w:tc>
      </w:tr>
      <w:tr>
        <w:trPr>
          <w:cantSplit w:val="0"/>
          <w:trHeight w:val="512" w:hRule="atLeast"/>
          <w:tblHeader w:val="0"/>
        </w:trPr>
        <w:tc>
          <w:tcPr>
            <w:vMerge w:val="continue"/>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PLOT_G.sppP. strobus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-0.019</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0.218</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-0.085</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0.932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   </w:t>
            </w:r>
          </w:p>
        </w:tc>
      </w:tr>
      <w:tr>
        <w:trPr>
          <w:cantSplit w:val="0"/>
          <w:trHeight w:val="512" w:hRule="atLeast"/>
          <w:tblHeader w:val="0"/>
        </w:trPr>
        <w:tc>
          <w:tcPr>
            <w:vMerge w:val="continue"/>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PLOT_G.sppC. ovata</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2.954</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0.131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22.535</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w:t>
            </w:r>
          </w:p>
        </w:tc>
      </w:tr>
      <w:tr>
        <w:trPr>
          <w:cantSplit w:val="0"/>
          <w:trHeight w:val="512" w:hRule="atLeast"/>
          <w:tblHeader w:val="0"/>
        </w:trPr>
        <w:tc>
          <w:tcPr>
            <w:vMerge w:val="continue"/>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PLOT_G.sppQ. bicolor</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2.038</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0.133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15.381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w:t>
            </w:r>
          </w:p>
        </w:tc>
      </w:tr>
      <w:tr>
        <w:trPr>
          <w:cantSplit w:val="0"/>
          <w:trHeight w:val="512"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Component</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Term</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edf</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Ref. df</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F-value</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18"/>
                <w:szCs w:val="18"/>
                <w:u w:val="none"/>
              </w:rPr>
            </w:pPr>
            <w:r w:rsidDel="00000000" w:rsidR="00000000" w:rsidRPr="00000000">
              <w:rPr>
                <w:rtl w:val="0"/>
              </w:rPr>
            </w:r>
          </w:p>
        </w:tc>
      </w:tr>
      <w:tr>
        <w:trPr>
          <w:cantSplit w:val="0"/>
          <w:trHeight w:val="509" w:hRule="atLeast"/>
          <w:tblHeader w:val="0"/>
        </w:trPr>
        <w:tc>
          <w:tcPr>
            <w:vMerge w:val="restart"/>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B. smooth terms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s(WEEK)</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1.001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1.002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2.703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0.108</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   </w:t>
            </w:r>
          </w:p>
        </w:tc>
      </w:tr>
      <w:tr>
        <w:trPr>
          <w:cantSplit w:val="0"/>
          <w:trHeight w:val="509" w:hRule="atLeast"/>
          <w:tblHeader w:val="0"/>
        </w:trPr>
        <w:tc>
          <w:tcPr>
            <w:vMerge w:val="continue"/>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s(WEEK):LeafHabitDeciduous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6.000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595.249</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0.048</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  *</w:t>
            </w:r>
          </w:p>
        </w:tc>
      </w:tr>
      <w:tr>
        <w:trPr>
          <w:cantSplit w:val="0"/>
          <w:trHeight w:val="513" w:hRule="atLeast"/>
          <w:tblHeader w:val="0"/>
        </w:trPr>
        <w:tc>
          <w:tcPr>
            <w:vMerge w:val="continue"/>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s(WEEK):LeafHabitEvergreen</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2.567</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6.000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0.391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0.008</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 **</w:t>
            </w:r>
          </w:p>
        </w:tc>
      </w:tr>
      <w:tr>
        <w:trPr>
          <w:cantSplit w:val="0"/>
          <w:trHeight w:val="511" w:hRule="atLeast"/>
          <w:tblHeader w:val="0"/>
        </w:trPr>
        <w:tc>
          <w:tcPr>
            <w:vMerge w:val="continue"/>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s(SUBPLOT)</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3.860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6.000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32.335</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w:t>
            </w:r>
          </w:p>
        </w:tc>
      </w:tr>
      <w:tr>
        <w:trPr>
          <w:cantSplit w:val="0"/>
          <w:trHeight w:val="513" w:hRule="atLeast"/>
          <w:tblHeader w:val="0"/>
        </w:trPr>
        <w:tc>
          <w:tcPr>
            <w:vMerge w:val="continue"/>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t2(Moisture1_7d_avg,Temp1_7d_avg)</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3.001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3.001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1.182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0.318</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18"/>
                <w:szCs w:val="18"/>
                <w:u w:val="none"/>
              </w:rPr>
            </w:pPr>
            <w:r w:rsidDel="00000000" w:rsidR="00000000" w:rsidRPr="00000000">
              <w:rPr>
                <w:rFonts w:ascii="Helvetica Neue" w:cs="Helvetica Neue" w:eastAsia="Helvetica Neue" w:hAnsi="Helvetica Neue"/>
                <w:b w:val="0"/>
                <w:i w:val="0"/>
                <w:color w:val="666666"/>
                <w:sz w:val="18"/>
                <w:szCs w:val="18"/>
                <w:u w:val="none"/>
                <w:rtl w:val="0"/>
              </w:rPr>
              <w:t xml:space="preserve">   </w:t>
            </w:r>
          </w:p>
        </w:tc>
      </w:tr>
      <w:tr>
        <w:trPr>
          <w:cantSplit w:val="0"/>
          <w:trHeight w:val="360" w:hRule="atLeast"/>
          <w:tblHeader w:val="0"/>
        </w:trPr>
        <w:tc>
          <w:tcPr>
            <w:gridSpan w:val="7"/>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Signif. codes: 0 &lt;= '***' &lt; 0.001 &lt; '**' &lt; 0.01 &lt; '*' &lt; 0.05</w:t>
            </w:r>
          </w:p>
        </w:tc>
      </w:tr>
      <w:tr>
        <w:trPr>
          <w:cantSplit w:val="0"/>
          <w:trHeight w:val="360" w:hRule="atLeast"/>
          <w:tblHeader w:val="0"/>
        </w:trPr>
        <w:tc>
          <w:tcPr>
            <w:gridSpan w:val="7"/>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r>
      <w:tr>
        <w:trPr>
          <w:cantSplit w:val="0"/>
          <w:trHeight w:val="360" w:hRule="atLeast"/>
          <w:tblHeader w:val="0"/>
        </w:trPr>
        <w:tc>
          <w:tcPr>
            <w:gridSpan w:val="7"/>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Adjusted R-squared: 0.0709, Deviance explained 0.156</w:t>
            </w:r>
          </w:p>
        </w:tc>
      </w:tr>
      <w:tr>
        <w:trPr>
          <w:cantSplit w:val="0"/>
          <w:trHeight w:val="360" w:hRule="atLeast"/>
          <w:tblHeader w:val="0"/>
        </w:trPr>
        <w:tc>
          <w:tcPr>
            <w:gridSpan w:val="7"/>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-REML : 4090.683, Scale est: 1.437, N: 269</w:t>
            </w:r>
          </w:p>
        </w:tc>
      </w:tr>
    </w:tbl>
    <w:p w:rsidR="00000000" w:rsidDel="00000000" w:rsidP="00000000" w:rsidRDefault="00000000" w:rsidRPr="00000000" w14:paraId="00000089">
      <w:pPr>
        <w:pStyle w:val="Heading2"/>
        <w:rPr/>
      </w:pPr>
      <w:r w:rsidDel="00000000" w:rsidR="00000000" w:rsidRPr="00000000">
        <w:br w:type="page"/>
      </w:r>
      <w:r w:rsidDel="00000000" w:rsidR="00000000" w:rsidRPr="00000000">
        <w:rPr>
          <w:rtl w:val="0"/>
        </w:rPr>
      </w:r>
    </w:p>
    <w:bookmarkStart w:colFirst="0" w:colLast="0" w:name="bookmark=id.svlxwxjrrh1a" w:id="2"/>
    <w:bookmarkEnd w:id="2"/>
    <w:p w:rsidR="00000000" w:rsidDel="00000000" w:rsidP="00000000" w:rsidRDefault="00000000" w:rsidRPr="00000000" w14:paraId="0000008A">
      <w:pPr>
        <w:pStyle w:val="Heading2"/>
        <w:rPr/>
      </w:pPr>
      <w:r w:rsidDel="00000000" w:rsidR="00000000" w:rsidRPr="00000000">
        <w:rPr>
          <w:rtl w:val="0"/>
        </w:rPr>
        <w:t xml:space="preserve">Diversity</w:t>
      </w:r>
    </w:p>
    <w:bookmarkStart w:colFirst="0" w:colLast="0" w:name="bookmark=id.te7n2h1mvgvo" w:id="3"/>
    <w:bookmarkEnd w:id="3"/>
    <w:p w:rsidR="00000000" w:rsidDel="00000000" w:rsidP="00000000" w:rsidRDefault="00000000" w:rsidRPr="00000000" w14:paraId="0000008B">
      <w:pPr>
        <w:pStyle w:val="Heading3"/>
        <w:rPr/>
      </w:pPr>
      <w:r w:rsidDel="00000000" w:rsidR="00000000" w:rsidRPr="00000000">
        <w:rPr>
          <w:i w:val="1"/>
          <w:rtl w:val="0"/>
        </w:rPr>
        <w:t xml:space="preserve">Richness</w:t>
      </w:r>
      <w:r w:rsidDel="00000000" w:rsidR="00000000" w:rsidRPr="00000000">
        <w:rPr>
          <w:rtl w:val="0"/>
        </w:rPr>
      </w:r>
    </w:p>
    <w:p w:rsidR="00000000" w:rsidDel="00000000" w:rsidP="00000000" w:rsidRDefault="00000000" w:rsidRPr="00000000" w14:paraId="0000008C">
      <w:pPr>
        <w:pStyle w:val="Heading4"/>
        <w:spacing w:after="180" w:before="180" w:lineRule="auto"/>
        <w:rPr>
          <w:rFonts w:ascii="Arial" w:cs="Arial" w:eastAsia="Arial" w:hAnsi="Arial"/>
          <w:i w:val="0"/>
          <w:color w:val="000000"/>
          <w:sz w:val="20"/>
          <w:szCs w:val="20"/>
          <w:vertAlign w:val="baseline"/>
        </w:rPr>
      </w:pPr>
      <w:bookmarkStart w:colFirst="0" w:colLast="0" w:name="_heading=h.a86re0ev9fzp" w:id="4"/>
      <w:bookmarkEnd w:id="4"/>
      <w:r w:rsidDel="00000000" w:rsidR="00000000" w:rsidRPr="00000000">
        <w:rPr>
          <w:rFonts w:ascii="Arial" w:cs="Arial" w:eastAsia="Arial" w:hAnsi="Arial"/>
          <w:b w:val="1"/>
          <w:i w:val="0"/>
          <w:color w:val="000000"/>
          <w:sz w:val="20"/>
          <w:szCs w:val="20"/>
          <w:vertAlign w:val="baseline"/>
          <w:rtl w:val="0"/>
        </w:rPr>
        <w:t xml:space="preserve">Table S2</w:t>
      </w:r>
      <w:r w:rsidDel="00000000" w:rsidR="00000000" w:rsidRPr="00000000">
        <w:rPr>
          <w:rFonts w:ascii="Arial" w:cs="Arial" w:eastAsia="Arial" w:hAnsi="Arial"/>
          <w:i w:val="0"/>
          <w:color w:val="000000"/>
          <w:sz w:val="20"/>
          <w:szCs w:val="20"/>
          <w:vertAlign w:val="baseline"/>
          <w:rtl w:val="0"/>
        </w:rPr>
        <w:t xml:space="preserve">. Output showing the generalized additive model (GAM) of ectomycorrhizal species (ASV) richness, using week of year and host tree species leaf habit as main predictors.</w:t>
      </w:r>
    </w:p>
    <w:tbl>
      <w:tblPr>
        <w:tblStyle w:val="Table2"/>
        <w:tblW w:w="12091.0" w:type="dxa"/>
        <w:jc w:val="center"/>
        <w:tblLayout w:type="fixed"/>
        <w:tblLook w:val="0000"/>
      </w:tblPr>
      <w:tblGrid>
        <w:gridCol w:w="2774"/>
        <w:gridCol w:w="4034"/>
        <w:gridCol w:w="1160"/>
        <w:gridCol w:w="1184"/>
        <w:gridCol w:w="1283"/>
        <w:gridCol w:w="1080"/>
        <w:gridCol w:w="576"/>
        <w:tblGridChange w:id="0">
          <w:tblGrid>
            <w:gridCol w:w="2774"/>
            <w:gridCol w:w="4034"/>
            <w:gridCol w:w="1160"/>
            <w:gridCol w:w="1184"/>
            <w:gridCol w:w="1283"/>
            <w:gridCol w:w="1080"/>
            <w:gridCol w:w="576"/>
          </w:tblGrid>
        </w:tblGridChange>
      </w:tblGrid>
      <w:tr>
        <w:trPr>
          <w:cantSplit w:val="0"/>
          <w:trHeight w:val="512" w:hRule="atLeast"/>
          <w:tblHeader w:val="1"/>
        </w:trPr>
        <w:tc>
          <w:tcPr>
            <w:gridSpan w:val="7"/>
            <w:tcBorders>
              <w:top w:color="000000" w:space="0" w:sz="0" w:val="nil"/>
              <w:left w:color="000000" w:space="0" w:sz="0" w:val="nil"/>
              <w:bottom w:color="666666"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2"/>
                <w:szCs w:val="22"/>
                <w:u w:val="none"/>
              </w:rPr>
            </w:pPr>
            <w:r w:rsidDel="00000000" w:rsidR="00000000" w:rsidRPr="00000000">
              <w:rPr>
                <w:rFonts w:ascii="Helvetica Neue" w:cs="Helvetica Neue" w:eastAsia="Helvetica Neue" w:hAnsi="Helvetica Neue"/>
                <w:b w:val="0"/>
                <w:i w:val="0"/>
                <w:color w:val="666666"/>
                <w:sz w:val="22"/>
                <w:szCs w:val="22"/>
                <w:u w:val="none"/>
                <w:rtl w:val="0"/>
              </w:rPr>
              <w:t xml:space="preserve">Diversity: Richness, </w:t>
              <w:br w:type="textWrapping"/>
              <w:t xml:space="preserve"> GAM with poisson distribution family</w:t>
            </w:r>
          </w:p>
        </w:tc>
      </w:tr>
      <w:tr>
        <w:trPr>
          <w:cantSplit w:val="0"/>
          <w:trHeight w:val="512" w:hRule="atLeast"/>
          <w:tblHeader w:val="1"/>
        </w:trPr>
        <w:tc>
          <w:tcPr>
            <w:tcBorders>
              <w:top w:color="666666" w:space="0" w:sz="6" w:val="single"/>
              <w:left w:color="000000" w:space="0" w:sz="0" w:val="nil"/>
              <w:bottom w:color="666666"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2"/>
                <w:szCs w:val="22"/>
                <w:u w:val="none"/>
              </w:rPr>
            </w:pPr>
            <w:r w:rsidDel="00000000" w:rsidR="00000000" w:rsidRPr="00000000">
              <w:rPr>
                <w:rFonts w:ascii="Helvetica Neue" w:cs="Helvetica Neue" w:eastAsia="Helvetica Neue" w:hAnsi="Helvetica Neue"/>
                <w:b w:val="0"/>
                <w:i w:val="0"/>
                <w:color w:val="666666"/>
                <w:sz w:val="22"/>
                <w:szCs w:val="22"/>
                <w:u w:val="none"/>
                <w:rtl w:val="0"/>
              </w:rPr>
              <w:t xml:space="preserve">Component</w:t>
            </w:r>
          </w:p>
        </w:tc>
        <w:tc>
          <w:tcPr>
            <w:tcBorders>
              <w:top w:color="666666" w:space="0" w:sz="6" w:val="single"/>
              <w:left w:color="000000" w:space="0" w:sz="0" w:val="nil"/>
              <w:bottom w:color="666666"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2"/>
                <w:szCs w:val="22"/>
                <w:u w:val="none"/>
              </w:rPr>
            </w:pPr>
            <w:r w:rsidDel="00000000" w:rsidR="00000000" w:rsidRPr="00000000">
              <w:rPr>
                <w:rFonts w:ascii="Helvetica Neue" w:cs="Helvetica Neue" w:eastAsia="Helvetica Neue" w:hAnsi="Helvetica Neue"/>
                <w:b w:val="0"/>
                <w:i w:val="0"/>
                <w:color w:val="666666"/>
                <w:sz w:val="22"/>
                <w:szCs w:val="22"/>
                <w:u w:val="none"/>
                <w:rtl w:val="0"/>
              </w:rPr>
              <w:t xml:space="preserve">Term</w:t>
            </w:r>
          </w:p>
        </w:tc>
        <w:tc>
          <w:tcPr>
            <w:tcBorders>
              <w:top w:color="666666" w:space="0" w:sz="6" w:val="single"/>
              <w:left w:color="000000" w:space="0" w:sz="0" w:val="nil"/>
              <w:bottom w:color="666666"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2"/>
                <w:szCs w:val="22"/>
                <w:u w:val="none"/>
              </w:rPr>
            </w:pPr>
            <w:r w:rsidDel="00000000" w:rsidR="00000000" w:rsidRPr="00000000">
              <w:rPr>
                <w:rFonts w:ascii="Helvetica Neue" w:cs="Helvetica Neue" w:eastAsia="Helvetica Neue" w:hAnsi="Helvetica Neue"/>
                <w:b w:val="0"/>
                <w:i w:val="0"/>
                <w:color w:val="666666"/>
                <w:sz w:val="22"/>
                <w:szCs w:val="22"/>
                <w:u w:val="none"/>
                <w:rtl w:val="0"/>
              </w:rPr>
              <w:t xml:space="preserve">Estimate</w:t>
            </w:r>
          </w:p>
        </w:tc>
        <w:tc>
          <w:tcPr>
            <w:tcBorders>
              <w:top w:color="666666" w:space="0" w:sz="6" w:val="single"/>
              <w:left w:color="000000" w:space="0" w:sz="0" w:val="nil"/>
              <w:bottom w:color="666666"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2"/>
                <w:szCs w:val="22"/>
                <w:u w:val="none"/>
              </w:rPr>
            </w:pPr>
            <w:r w:rsidDel="00000000" w:rsidR="00000000" w:rsidRPr="00000000">
              <w:rPr>
                <w:rFonts w:ascii="Helvetica Neue" w:cs="Helvetica Neue" w:eastAsia="Helvetica Neue" w:hAnsi="Helvetica Neue"/>
                <w:b w:val="0"/>
                <w:i w:val="0"/>
                <w:color w:val="666666"/>
                <w:sz w:val="22"/>
                <w:szCs w:val="22"/>
                <w:u w:val="none"/>
                <w:rtl w:val="0"/>
              </w:rPr>
              <w:t xml:space="preserve">Std Error</w:t>
            </w:r>
          </w:p>
        </w:tc>
        <w:tc>
          <w:tcPr>
            <w:tcBorders>
              <w:top w:color="666666" w:space="0" w:sz="6" w:val="single"/>
              <w:left w:color="000000" w:space="0" w:sz="0" w:val="nil"/>
              <w:bottom w:color="666666"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2"/>
                <w:szCs w:val="22"/>
                <w:u w:val="none"/>
              </w:rPr>
            </w:pPr>
            <w:r w:rsidDel="00000000" w:rsidR="00000000" w:rsidRPr="00000000">
              <w:rPr>
                <w:rFonts w:ascii="Helvetica Neue" w:cs="Helvetica Neue" w:eastAsia="Helvetica Neue" w:hAnsi="Helvetica Neue"/>
                <w:b w:val="0"/>
                <w:i w:val="0"/>
                <w:color w:val="666666"/>
                <w:sz w:val="22"/>
                <w:szCs w:val="22"/>
                <w:u w:val="none"/>
                <w:rtl w:val="0"/>
              </w:rPr>
              <w:t xml:space="preserve">t-value</w:t>
            </w:r>
          </w:p>
        </w:tc>
        <w:tc>
          <w:tcPr>
            <w:tcBorders>
              <w:top w:color="666666" w:space="0" w:sz="6" w:val="single"/>
              <w:left w:color="000000" w:space="0" w:sz="0" w:val="nil"/>
              <w:bottom w:color="666666"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2"/>
                <w:szCs w:val="22"/>
                <w:u w:val="none"/>
              </w:rPr>
            </w:pPr>
            <w:r w:rsidDel="00000000" w:rsidR="00000000" w:rsidRPr="00000000">
              <w:rPr>
                <w:rFonts w:ascii="Helvetica Neue" w:cs="Helvetica Neue" w:eastAsia="Helvetica Neue" w:hAnsi="Helvetica Neue"/>
                <w:b w:val="0"/>
                <w:i w:val="0"/>
                <w:color w:val="666666"/>
                <w:sz w:val="22"/>
                <w:szCs w:val="22"/>
                <w:u w:val="none"/>
                <w:rtl w:val="0"/>
              </w:rPr>
              <w:t xml:space="preserve">p-value</w:t>
            </w:r>
          </w:p>
        </w:tc>
        <w:tc>
          <w:tcPr>
            <w:tcBorders>
              <w:top w:color="666666" w:space="0" w:sz="6" w:val="single"/>
              <w:left w:color="000000" w:space="0" w:sz="0" w:val="nil"/>
              <w:bottom w:color="666666"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2"/>
                <w:szCs w:val="22"/>
                <w:u w:val="none"/>
              </w:rPr>
            </w:pPr>
            <w:r w:rsidDel="00000000" w:rsidR="00000000" w:rsidRPr="00000000">
              <w:rPr>
                <w:rtl w:val="0"/>
              </w:rPr>
            </w:r>
          </w:p>
        </w:tc>
      </w:tr>
      <w:tr>
        <w:trPr>
          <w:cantSplit w:val="0"/>
          <w:trHeight w:val="510" w:hRule="atLeast"/>
          <w:tblHeader w:val="0"/>
        </w:trPr>
        <w:tc>
          <w:tcPr>
            <w:vMerge w:val="restart"/>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A. parametric coefficients</w:t>
            </w:r>
          </w:p>
        </w:tc>
        <w:tc>
          <w:tcPr>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(Intercept)</w:t>
            </w:r>
          </w:p>
        </w:tc>
        <w:tc>
          <w:tcPr>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3.301</w:t>
            </w:r>
          </w:p>
        </w:tc>
        <w:tc>
          <w:tcPr>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0.017</w:t>
            </w:r>
          </w:p>
        </w:tc>
        <w:tc>
          <w:tcPr>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190.332</w:t>
            </w:r>
          </w:p>
        </w:tc>
        <w:tc>
          <w:tcPr>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512" w:hRule="atLeast"/>
          <w:tblHeader w:val="0"/>
        </w:trPr>
        <w:tc>
          <w:tcPr>
            <w:vMerge w:val="continue"/>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PLOT_G.sppQ. alba</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-0.169</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0.030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-5.714</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512" w:hRule="atLeast"/>
          <w:tblHeader w:val="0"/>
        </w:trPr>
        <w:tc>
          <w:tcPr>
            <w:vMerge w:val="continue"/>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PLOT_G.sppQ. bicolor</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-0.093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0.029</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-3.230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 **</w:t>
            </w:r>
          </w:p>
        </w:tc>
      </w:tr>
      <w:tr>
        <w:trPr>
          <w:cantSplit w:val="0"/>
          <w:trHeight w:val="512" w:hRule="atLeast"/>
          <w:tblHeader w:val="0"/>
        </w:trPr>
        <w:tc>
          <w:tcPr>
            <w:vMerge w:val="continue"/>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PLOT_G.sppP. abies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-0.091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0.020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-4.571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512" w:hRule="atLeast"/>
          <w:tblHeader w:val="0"/>
        </w:trPr>
        <w:tc>
          <w:tcPr>
            <w:vMerge w:val="continue"/>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PLOT_G.sppP. strobus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-0.230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0.020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-11.365</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513" w:hRule="atLeast"/>
          <w:tblHeader w:val="0"/>
        </w:trPr>
        <w:tc>
          <w:tcPr>
            <w:vMerge w:val="continue"/>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LeafHabitEvergreen</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-0.321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0.018</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-17.812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512"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Component</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Term</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edf</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Ref. df</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F-value</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r>
      <w:tr>
        <w:trPr>
          <w:cantSplit w:val="0"/>
          <w:trHeight w:val="509" w:hRule="atLeast"/>
          <w:tblHeader w:val="0"/>
        </w:trPr>
        <w:tc>
          <w:tcPr>
            <w:vMerge w:val="restart"/>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B. smooth terms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s(WEEK)</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1.000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1.000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1.702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0.188</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   </w:t>
            </w:r>
          </w:p>
        </w:tc>
      </w:tr>
      <w:tr>
        <w:trPr>
          <w:cantSplit w:val="0"/>
          <w:trHeight w:val="509" w:hRule="atLeast"/>
          <w:tblHeader w:val="0"/>
        </w:trPr>
        <w:tc>
          <w:tcPr>
            <w:vMerge w:val="continue"/>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s(WEEK):LeafHabitDeciduous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3.339</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6.000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2.478</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0.019</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  *</w:t>
            </w:r>
          </w:p>
        </w:tc>
      </w:tr>
      <w:tr>
        <w:trPr>
          <w:cantSplit w:val="0"/>
          <w:trHeight w:val="513" w:hRule="atLeast"/>
          <w:tblHeader w:val="0"/>
        </w:trPr>
        <w:tc>
          <w:tcPr>
            <w:vMerge w:val="continue"/>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s(WEEK):LeafHabitEvergreen</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6.000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3,967.267</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0.144</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   </w:t>
            </w:r>
          </w:p>
        </w:tc>
      </w:tr>
      <w:tr>
        <w:trPr>
          <w:cantSplit w:val="0"/>
          <w:trHeight w:val="513" w:hRule="atLeast"/>
          <w:tblHeader w:val="0"/>
        </w:trPr>
        <w:tc>
          <w:tcPr>
            <w:vMerge w:val="continue"/>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t2(Temp1_7d_avg,Moisture1_7d_avg)</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5.157</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5.661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14.489</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0.032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  *</w:t>
            </w:r>
          </w:p>
        </w:tc>
      </w:tr>
      <w:tr>
        <w:trPr>
          <w:cantSplit w:val="0"/>
          <w:trHeight w:val="511" w:hRule="atLeast"/>
          <w:tblHeader w:val="0"/>
        </w:trPr>
        <w:tc>
          <w:tcPr>
            <w:vMerge w:val="continue"/>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s(SUBPLOT)</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4.707</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6.000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259.137</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360" w:hRule="atLeast"/>
          <w:tblHeader w:val="0"/>
        </w:trPr>
        <w:tc>
          <w:tcPr>
            <w:gridSpan w:val="7"/>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2"/>
                <w:szCs w:val="22"/>
                <w:u w:val="none"/>
              </w:rPr>
            </w:pPr>
            <w:r w:rsidDel="00000000" w:rsidR="00000000" w:rsidRPr="00000000">
              <w:rPr>
                <w:rFonts w:ascii="Helvetica Neue" w:cs="Helvetica Neue" w:eastAsia="Helvetica Neue" w:hAnsi="Helvetica Neue"/>
                <w:b w:val="0"/>
                <w:i w:val="0"/>
                <w:color w:val="666666"/>
                <w:sz w:val="22"/>
                <w:szCs w:val="22"/>
                <w:u w:val="none"/>
                <w:rtl w:val="0"/>
              </w:rPr>
              <w:t xml:space="preserve">Signif. codes: 0 &lt;= '***' &lt; 0.001 &lt; '**' &lt; 0.01 &lt; '*' &lt; 0.05</w:t>
            </w:r>
          </w:p>
        </w:tc>
      </w:tr>
      <w:tr>
        <w:trPr>
          <w:cantSplit w:val="0"/>
          <w:trHeight w:val="360" w:hRule="atLeast"/>
          <w:tblHeader w:val="0"/>
        </w:trPr>
        <w:tc>
          <w:tcPr>
            <w:gridSpan w:val="7"/>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2"/>
                <w:szCs w:val="22"/>
                <w:u w:val="none"/>
              </w:rPr>
            </w:pPr>
            <w:r w:rsidDel="00000000" w:rsidR="00000000" w:rsidRPr="00000000">
              <w:rPr>
                <w:rtl w:val="0"/>
              </w:rPr>
            </w:r>
          </w:p>
        </w:tc>
      </w:tr>
      <w:tr>
        <w:trPr>
          <w:cantSplit w:val="0"/>
          <w:trHeight w:val="360" w:hRule="atLeast"/>
          <w:tblHeader w:val="0"/>
        </w:trPr>
        <w:tc>
          <w:tcPr>
            <w:gridSpan w:val="7"/>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2"/>
                <w:szCs w:val="22"/>
                <w:u w:val="none"/>
              </w:rPr>
            </w:pPr>
            <w:r w:rsidDel="00000000" w:rsidR="00000000" w:rsidRPr="00000000">
              <w:rPr>
                <w:rFonts w:ascii="Helvetica Neue" w:cs="Helvetica Neue" w:eastAsia="Helvetica Neue" w:hAnsi="Helvetica Neue"/>
                <w:b w:val="0"/>
                <w:i w:val="0"/>
                <w:color w:val="666666"/>
                <w:sz w:val="22"/>
                <w:szCs w:val="22"/>
                <w:u w:val="none"/>
                <w:rtl w:val="0"/>
              </w:rPr>
              <w:t xml:space="preserve">Adjusted R-squared: 0.401, Deviance explained 0.456</w:t>
            </w:r>
          </w:p>
        </w:tc>
      </w:tr>
      <w:tr>
        <w:trPr>
          <w:cantSplit w:val="0"/>
          <w:trHeight w:val="360" w:hRule="atLeast"/>
          <w:tblHeader w:val="0"/>
        </w:trPr>
        <w:tc>
          <w:tcPr>
            <w:gridSpan w:val="7"/>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2"/>
                <w:szCs w:val="22"/>
                <w:u w:val="none"/>
              </w:rPr>
            </w:pPr>
            <w:r w:rsidDel="00000000" w:rsidR="00000000" w:rsidRPr="00000000">
              <w:rPr>
                <w:rFonts w:ascii="Helvetica Neue" w:cs="Helvetica Neue" w:eastAsia="Helvetica Neue" w:hAnsi="Helvetica Neue"/>
                <w:b w:val="0"/>
                <w:i w:val="0"/>
                <w:color w:val="666666"/>
                <w:sz w:val="22"/>
                <w:szCs w:val="22"/>
                <w:u w:val="none"/>
                <w:rtl w:val="0"/>
              </w:rPr>
              <w:t xml:space="preserve">UBRE : 1.408, Scale est: 1.000, N: 268</w:t>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jc w:val="center"/>
        <w:rPr/>
      </w:pPr>
      <w:r w:rsidDel="00000000" w:rsidR="00000000" w:rsidRPr="00000000">
        <w:rPr/>
        <w:drawing>
          <wp:inline distB="114300" distT="114300" distL="114300" distR="114300">
            <wp:extent cx="4010025" cy="3629025"/>
            <wp:effectExtent b="0" l="0" r="0" t="0"/>
            <wp:docPr id="3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1002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pStyle w:val="Heading4"/>
        <w:rPr>
          <w:i w:val="0"/>
          <w:color w:val="000000"/>
          <w:sz w:val="20"/>
          <w:szCs w:val="20"/>
        </w:rPr>
      </w:pPr>
      <w:bookmarkStart w:colFirst="0" w:colLast="0" w:name="_heading=h.dtfrj0vn4hth" w:id="5"/>
      <w:bookmarkEnd w:id="5"/>
      <w:r w:rsidDel="00000000" w:rsidR="00000000" w:rsidRPr="00000000">
        <w:rPr>
          <w:rFonts w:ascii="Arial" w:cs="Arial" w:eastAsia="Arial" w:hAnsi="Arial"/>
          <w:b w:val="1"/>
          <w:i w:val="0"/>
          <w:color w:val="000000"/>
          <w:sz w:val="20"/>
          <w:szCs w:val="20"/>
          <w:rtl w:val="0"/>
        </w:rPr>
        <w:t xml:space="preserve">Fig. S1.</w:t>
      </w:r>
      <w:r w:rsidDel="00000000" w:rsidR="00000000" w:rsidRPr="00000000">
        <w:rPr>
          <w:color w:val="000000"/>
          <w:sz w:val="20"/>
          <w:szCs w:val="20"/>
          <w:rtl w:val="0"/>
        </w:rPr>
        <w:t xml:space="preserve"> </w:t>
      </w:r>
      <w:r w:rsidDel="00000000" w:rsidR="00000000" w:rsidRPr="00000000">
        <w:rPr>
          <w:i w:val="0"/>
          <w:color w:val="000000"/>
          <w:sz w:val="20"/>
          <w:szCs w:val="20"/>
          <w:rtl w:val="0"/>
        </w:rPr>
        <w:t xml:space="preserve">Richness by tree leaf habit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drawing>
          <wp:inline distB="114300" distT="114300" distL="114300" distR="114300">
            <wp:extent cx="4429125" cy="3924300"/>
            <wp:effectExtent b="0" l="0" r="0" t="0"/>
            <wp:docPr id="3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29125"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pStyle w:val="Heading4"/>
        <w:rPr>
          <w:rFonts w:ascii="Arial" w:cs="Arial" w:eastAsia="Arial" w:hAnsi="Arial"/>
          <w:i w:val="0"/>
          <w:color w:val="000000"/>
          <w:sz w:val="20"/>
          <w:szCs w:val="20"/>
        </w:rPr>
      </w:pPr>
      <w:bookmarkStart w:colFirst="0" w:colLast="0" w:name="_heading=h.kbc85a9xt8yn" w:id="6"/>
      <w:bookmarkEnd w:id="6"/>
      <w:r w:rsidDel="00000000" w:rsidR="00000000" w:rsidRPr="00000000">
        <w:rPr>
          <w:rFonts w:ascii="Arial" w:cs="Arial" w:eastAsia="Arial" w:hAnsi="Arial"/>
          <w:b w:val="1"/>
          <w:i w:val="0"/>
          <w:color w:val="000000"/>
          <w:sz w:val="20"/>
          <w:szCs w:val="20"/>
          <w:rtl w:val="0"/>
        </w:rPr>
        <w:t xml:space="preserve">Fig. S2</w:t>
      </w:r>
      <w:r w:rsidDel="00000000" w:rsidR="00000000" w:rsidRPr="00000000">
        <w:rPr>
          <w:rFonts w:ascii="Arial" w:cs="Arial" w:eastAsia="Arial" w:hAnsi="Arial"/>
          <w:i w:val="0"/>
          <w:color w:val="000000"/>
          <w:sz w:val="20"/>
          <w:szCs w:val="20"/>
          <w:rtl w:val="0"/>
        </w:rPr>
        <w:t xml:space="preserve">. Richness by tree stand</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bookmarkStart w:colFirst="0" w:colLast="0" w:name="bookmark=id.6kg1nnp0tsoi" w:id="7"/>
    <w:bookmarkEnd w:id="7"/>
    <w:p w:rsidR="00000000" w:rsidDel="00000000" w:rsidP="00000000" w:rsidRDefault="00000000" w:rsidRPr="00000000" w14:paraId="00000113">
      <w:pPr>
        <w:pStyle w:val="Heading3"/>
        <w:rPr/>
      </w:pPr>
      <w:r w:rsidDel="00000000" w:rsidR="00000000" w:rsidRPr="00000000">
        <w:rPr>
          <w:i w:val="1"/>
          <w:rtl w:val="0"/>
        </w:rPr>
        <w:t xml:space="preserve">Entropy</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Table 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Output showing the generalized additive model (GAM) of ectomycorrhizal species (ASV) diversity (Shannon entropy), using week of year and host tree species leaf habit as main predictors.</w:t>
      </w:r>
    </w:p>
    <w:tbl>
      <w:tblPr>
        <w:tblStyle w:val="Table3"/>
        <w:tblW w:w="11887.999999999996" w:type="dxa"/>
        <w:jc w:val="center"/>
        <w:tblLayout w:type="fixed"/>
        <w:tblLook w:val="0000"/>
      </w:tblPr>
      <w:tblGrid>
        <w:gridCol w:w="2774"/>
        <w:gridCol w:w="4034"/>
        <w:gridCol w:w="1160"/>
        <w:gridCol w:w="1184"/>
        <w:gridCol w:w="1080"/>
        <w:gridCol w:w="1080"/>
        <w:gridCol w:w="576"/>
        <w:tblGridChange w:id="0">
          <w:tblGrid>
            <w:gridCol w:w="2774"/>
            <w:gridCol w:w="4034"/>
            <w:gridCol w:w="1160"/>
            <w:gridCol w:w="1184"/>
            <w:gridCol w:w="1080"/>
            <w:gridCol w:w="1080"/>
            <w:gridCol w:w="576"/>
          </w:tblGrid>
        </w:tblGridChange>
      </w:tblGrid>
      <w:tr>
        <w:trPr>
          <w:cantSplit w:val="0"/>
          <w:trHeight w:val="512" w:hRule="atLeast"/>
          <w:tblHeader w:val="1"/>
        </w:trPr>
        <w:tc>
          <w:tcPr>
            <w:gridSpan w:val="7"/>
            <w:tcBorders>
              <w:top w:color="000000" w:space="0" w:sz="0" w:val="nil"/>
              <w:left w:color="000000" w:space="0" w:sz="0" w:val="nil"/>
              <w:bottom w:color="666666"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5">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2"/>
                <w:szCs w:val="22"/>
                <w:u w:val="none"/>
              </w:rPr>
            </w:pPr>
            <w:r w:rsidDel="00000000" w:rsidR="00000000" w:rsidRPr="00000000">
              <w:rPr>
                <w:rFonts w:ascii="Helvetica Neue" w:cs="Helvetica Neue" w:eastAsia="Helvetica Neue" w:hAnsi="Helvetica Neue"/>
                <w:b w:val="0"/>
                <w:i w:val="0"/>
                <w:color w:val="666666"/>
                <w:sz w:val="22"/>
                <w:szCs w:val="22"/>
                <w:u w:val="none"/>
                <w:rtl w:val="0"/>
              </w:rPr>
              <w:t xml:space="preserve">Diversity: Richness, </w:t>
              <w:br w:type="textWrapping"/>
              <w:t xml:space="preserve"> GAMM with poisson distribution family</w:t>
            </w:r>
          </w:p>
        </w:tc>
      </w:tr>
      <w:tr>
        <w:trPr>
          <w:cantSplit w:val="0"/>
          <w:trHeight w:val="512" w:hRule="atLeast"/>
          <w:tblHeader w:val="1"/>
        </w:trPr>
        <w:tc>
          <w:tcPr>
            <w:tcBorders>
              <w:top w:color="666666" w:space="0" w:sz="6" w:val="single"/>
              <w:left w:color="000000" w:space="0" w:sz="0" w:val="nil"/>
              <w:bottom w:color="666666"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C">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2"/>
                <w:szCs w:val="22"/>
                <w:u w:val="none"/>
              </w:rPr>
            </w:pPr>
            <w:r w:rsidDel="00000000" w:rsidR="00000000" w:rsidRPr="00000000">
              <w:rPr>
                <w:rFonts w:ascii="Helvetica Neue" w:cs="Helvetica Neue" w:eastAsia="Helvetica Neue" w:hAnsi="Helvetica Neue"/>
                <w:b w:val="0"/>
                <w:i w:val="0"/>
                <w:color w:val="666666"/>
                <w:sz w:val="22"/>
                <w:szCs w:val="22"/>
                <w:u w:val="none"/>
                <w:rtl w:val="0"/>
              </w:rPr>
              <w:t xml:space="preserve">Component</w:t>
            </w:r>
          </w:p>
        </w:tc>
        <w:tc>
          <w:tcPr>
            <w:tcBorders>
              <w:top w:color="666666" w:space="0" w:sz="6" w:val="single"/>
              <w:left w:color="000000" w:space="0" w:sz="0" w:val="nil"/>
              <w:bottom w:color="666666"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D">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2"/>
                <w:szCs w:val="22"/>
                <w:u w:val="none"/>
              </w:rPr>
            </w:pPr>
            <w:r w:rsidDel="00000000" w:rsidR="00000000" w:rsidRPr="00000000">
              <w:rPr>
                <w:rFonts w:ascii="Helvetica Neue" w:cs="Helvetica Neue" w:eastAsia="Helvetica Neue" w:hAnsi="Helvetica Neue"/>
                <w:b w:val="0"/>
                <w:i w:val="0"/>
                <w:color w:val="666666"/>
                <w:sz w:val="22"/>
                <w:szCs w:val="22"/>
                <w:u w:val="none"/>
                <w:rtl w:val="0"/>
              </w:rPr>
              <w:t xml:space="preserve">Term</w:t>
            </w:r>
          </w:p>
        </w:tc>
        <w:tc>
          <w:tcPr>
            <w:tcBorders>
              <w:top w:color="666666" w:space="0" w:sz="6" w:val="single"/>
              <w:left w:color="000000" w:space="0" w:sz="0" w:val="nil"/>
              <w:bottom w:color="666666"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E">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2"/>
                <w:szCs w:val="22"/>
                <w:u w:val="none"/>
              </w:rPr>
            </w:pPr>
            <w:r w:rsidDel="00000000" w:rsidR="00000000" w:rsidRPr="00000000">
              <w:rPr>
                <w:rFonts w:ascii="Helvetica Neue" w:cs="Helvetica Neue" w:eastAsia="Helvetica Neue" w:hAnsi="Helvetica Neue"/>
                <w:b w:val="0"/>
                <w:i w:val="0"/>
                <w:color w:val="666666"/>
                <w:sz w:val="22"/>
                <w:szCs w:val="22"/>
                <w:u w:val="none"/>
                <w:rtl w:val="0"/>
              </w:rPr>
              <w:t xml:space="preserve">Estimate</w:t>
            </w:r>
          </w:p>
        </w:tc>
        <w:tc>
          <w:tcPr>
            <w:tcBorders>
              <w:top w:color="666666" w:space="0" w:sz="6" w:val="single"/>
              <w:left w:color="000000" w:space="0" w:sz="0" w:val="nil"/>
              <w:bottom w:color="666666"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F">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2"/>
                <w:szCs w:val="22"/>
                <w:u w:val="none"/>
              </w:rPr>
            </w:pPr>
            <w:r w:rsidDel="00000000" w:rsidR="00000000" w:rsidRPr="00000000">
              <w:rPr>
                <w:rFonts w:ascii="Helvetica Neue" w:cs="Helvetica Neue" w:eastAsia="Helvetica Neue" w:hAnsi="Helvetica Neue"/>
                <w:b w:val="0"/>
                <w:i w:val="0"/>
                <w:color w:val="666666"/>
                <w:sz w:val="22"/>
                <w:szCs w:val="22"/>
                <w:u w:val="none"/>
                <w:rtl w:val="0"/>
              </w:rPr>
              <w:t xml:space="preserve">Std Error</w:t>
            </w:r>
          </w:p>
        </w:tc>
        <w:tc>
          <w:tcPr>
            <w:tcBorders>
              <w:top w:color="666666" w:space="0" w:sz="6" w:val="single"/>
              <w:left w:color="000000" w:space="0" w:sz="0" w:val="nil"/>
              <w:bottom w:color="666666"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0">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2"/>
                <w:szCs w:val="22"/>
                <w:u w:val="none"/>
              </w:rPr>
            </w:pPr>
            <w:r w:rsidDel="00000000" w:rsidR="00000000" w:rsidRPr="00000000">
              <w:rPr>
                <w:rFonts w:ascii="Helvetica Neue" w:cs="Helvetica Neue" w:eastAsia="Helvetica Neue" w:hAnsi="Helvetica Neue"/>
                <w:b w:val="0"/>
                <w:i w:val="0"/>
                <w:color w:val="666666"/>
                <w:sz w:val="22"/>
                <w:szCs w:val="22"/>
                <w:u w:val="none"/>
                <w:rtl w:val="0"/>
              </w:rPr>
              <w:t xml:space="preserve">t-value</w:t>
            </w:r>
          </w:p>
        </w:tc>
        <w:tc>
          <w:tcPr>
            <w:tcBorders>
              <w:top w:color="666666" w:space="0" w:sz="6" w:val="single"/>
              <w:left w:color="000000" w:space="0" w:sz="0" w:val="nil"/>
              <w:bottom w:color="666666"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1">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2"/>
                <w:szCs w:val="22"/>
                <w:u w:val="none"/>
              </w:rPr>
            </w:pPr>
            <w:r w:rsidDel="00000000" w:rsidR="00000000" w:rsidRPr="00000000">
              <w:rPr>
                <w:rFonts w:ascii="Helvetica Neue" w:cs="Helvetica Neue" w:eastAsia="Helvetica Neue" w:hAnsi="Helvetica Neue"/>
                <w:b w:val="0"/>
                <w:i w:val="0"/>
                <w:color w:val="666666"/>
                <w:sz w:val="22"/>
                <w:szCs w:val="22"/>
                <w:u w:val="none"/>
                <w:rtl w:val="0"/>
              </w:rPr>
              <w:t xml:space="preserve">p-value</w:t>
            </w:r>
          </w:p>
        </w:tc>
        <w:tc>
          <w:tcPr>
            <w:tcBorders>
              <w:top w:color="666666" w:space="0" w:sz="6" w:val="single"/>
              <w:left w:color="000000" w:space="0" w:sz="0" w:val="nil"/>
              <w:bottom w:color="666666"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2">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2"/>
                <w:szCs w:val="22"/>
                <w:u w:val="none"/>
              </w:rPr>
            </w:pPr>
            <w:r w:rsidDel="00000000" w:rsidR="00000000" w:rsidRPr="00000000">
              <w:rPr>
                <w:rtl w:val="0"/>
              </w:rPr>
            </w:r>
          </w:p>
        </w:tc>
      </w:tr>
      <w:tr>
        <w:trPr>
          <w:cantSplit w:val="0"/>
          <w:trHeight w:val="510" w:hRule="atLeast"/>
          <w:tblHeader w:val="0"/>
        </w:trPr>
        <w:tc>
          <w:tcPr>
            <w:vMerge w:val="restart"/>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123">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A. parametric coefficients</w:t>
            </w:r>
          </w:p>
        </w:tc>
        <w:tc>
          <w:tcPr>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4">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(Intercept)</w:t>
            </w:r>
          </w:p>
        </w:tc>
        <w:tc>
          <w:tcPr>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5">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0.698</w:t>
            </w:r>
          </w:p>
        </w:tc>
        <w:tc>
          <w:tcPr>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6">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0.022</w:t>
            </w:r>
          </w:p>
        </w:tc>
        <w:tc>
          <w:tcPr>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7">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31.203</w:t>
            </w:r>
          </w:p>
        </w:tc>
        <w:tc>
          <w:tcPr>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8">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9">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512" w:hRule="atLeast"/>
          <w:tblHeader w:val="0"/>
        </w:trPr>
        <w:tc>
          <w:tcPr>
            <w:vMerge w:val="continue"/>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B">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PLOT_G.sppQ. alba</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C">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0.021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D">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0.036</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E">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0.571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F">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0.569</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0">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   </w:t>
            </w:r>
          </w:p>
        </w:tc>
      </w:tr>
      <w:tr>
        <w:trPr>
          <w:cantSplit w:val="0"/>
          <w:trHeight w:val="512" w:hRule="atLeast"/>
          <w:tblHeader w:val="0"/>
        </w:trPr>
        <w:tc>
          <w:tcPr>
            <w:vMerge w:val="continue"/>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2">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PLOT_G.sppQ. bicolor</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3">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-0.015</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0.036</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-0.403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6">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0.687</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   </w:t>
            </w:r>
          </w:p>
        </w:tc>
      </w:tr>
      <w:tr>
        <w:trPr>
          <w:cantSplit w:val="0"/>
          <w:trHeight w:val="512" w:hRule="atLeast"/>
          <w:tblHeader w:val="0"/>
        </w:trPr>
        <w:tc>
          <w:tcPr>
            <w:vMerge w:val="continue"/>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PLOT_G.sppP. abies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A">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-0.100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B">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0.024</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C">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-4.195</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D">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E">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512" w:hRule="atLeast"/>
          <w:tblHeader w:val="0"/>
        </w:trPr>
        <w:tc>
          <w:tcPr>
            <w:vMerge w:val="continue"/>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0">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PLOT_G.sppP. strobus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1">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-0.089</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2">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0.023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3">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-3.798</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4">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5">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513" w:hRule="atLeast"/>
          <w:tblHeader w:val="0"/>
        </w:trPr>
        <w:tc>
          <w:tcPr>
            <w:vMerge w:val="continue"/>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7">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LeafHabitEvergreen</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8">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-0.189</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9">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0.022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A">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-8.498</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B">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C">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512"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14D">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Component</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E">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Term</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F">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edf</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50">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Ref. df</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51">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F-value</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52">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53">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r>
      <w:tr>
        <w:trPr>
          <w:cantSplit w:val="0"/>
          <w:trHeight w:val="509" w:hRule="atLeast"/>
          <w:tblHeader w:val="0"/>
        </w:trPr>
        <w:tc>
          <w:tcPr>
            <w:vMerge w:val="restart"/>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154">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B. smooth terms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55">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s(WEEK)</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56">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1.000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57">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1.000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58">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0.256</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59">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0.613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5A">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   </w:t>
            </w:r>
          </w:p>
        </w:tc>
      </w:tr>
      <w:tr>
        <w:trPr>
          <w:cantSplit w:val="0"/>
          <w:trHeight w:val="509" w:hRule="atLeast"/>
          <w:tblHeader w:val="0"/>
        </w:trPr>
        <w:tc>
          <w:tcPr>
            <w:vMerge w:val="continue"/>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5C">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s(WEEK):LeafHabitDeciduous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5D">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5E">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6.000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5F">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9.904</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60">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0.577</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61">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   </w:t>
            </w:r>
          </w:p>
        </w:tc>
      </w:tr>
      <w:tr>
        <w:trPr>
          <w:cantSplit w:val="0"/>
          <w:trHeight w:val="513" w:hRule="atLeast"/>
          <w:tblHeader w:val="0"/>
        </w:trPr>
        <w:tc>
          <w:tcPr>
            <w:vMerge w:val="continue"/>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63">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s(WEEK):LeafHabitEvergreen</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64">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65">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6.000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66">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5.448</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67">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0.576</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68">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   </w:t>
            </w:r>
          </w:p>
        </w:tc>
      </w:tr>
      <w:tr>
        <w:trPr>
          <w:cantSplit w:val="0"/>
          <w:trHeight w:val="513" w:hRule="atLeast"/>
          <w:tblHeader w:val="0"/>
        </w:trPr>
        <w:tc>
          <w:tcPr>
            <w:vMerge w:val="continue"/>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6A">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t2(Temp1_7d_avg,Moisture1_7d_avg)</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6B">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3.000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6C">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3.000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6D">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0.251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6E">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0.861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6F">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   </w:t>
            </w:r>
          </w:p>
        </w:tc>
      </w:tr>
      <w:tr>
        <w:trPr>
          <w:cantSplit w:val="0"/>
          <w:trHeight w:val="511" w:hRule="atLeast"/>
          <w:tblHeader w:val="0"/>
        </w:trPr>
        <w:tc>
          <w:tcPr>
            <w:vMerge w:val="continue"/>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71">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s(SUBPLOT)</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72">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4.325</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73">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6.000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74">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7.465</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75">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76">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360" w:hRule="atLeast"/>
          <w:tblHeader w:val="0"/>
        </w:trPr>
        <w:tc>
          <w:tcPr>
            <w:gridSpan w:val="7"/>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77">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2"/>
                <w:szCs w:val="22"/>
                <w:u w:val="none"/>
              </w:rPr>
            </w:pPr>
            <w:r w:rsidDel="00000000" w:rsidR="00000000" w:rsidRPr="00000000">
              <w:rPr>
                <w:rFonts w:ascii="Helvetica Neue" w:cs="Helvetica Neue" w:eastAsia="Helvetica Neue" w:hAnsi="Helvetica Neue"/>
                <w:b w:val="0"/>
                <w:i w:val="0"/>
                <w:color w:val="666666"/>
                <w:sz w:val="22"/>
                <w:szCs w:val="22"/>
                <w:u w:val="none"/>
                <w:rtl w:val="0"/>
              </w:rPr>
              <w:t xml:space="preserve">Signif. codes: 0 &lt;= '***' &lt; 0.001 &lt; '**' &lt; 0.01 &lt; '*' &lt; 0.05</w:t>
            </w:r>
          </w:p>
        </w:tc>
      </w:tr>
      <w:tr>
        <w:trPr>
          <w:cantSplit w:val="0"/>
          <w:trHeight w:val="360" w:hRule="atLeast"/>
          <w:tblHeader w:val="0"/>
        </w:trPr>
        <w:tc>
          <w:tcPr>
            <w:gridSpan w:val="7"/>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7E">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2"/>
                <w:szCs w:val="22"/>
                <w:u w:val="none"/>
              </w:rPr>
            </w:pPr>
            <w:r w:rsidDel="00000000" w:rsidR="00000000" w:rsidRPr="00000000">
              <w:rPr>
                <w:rtl w:val="0"/>
              </w:rPr>
            </w:r>
          </w:p>
        </w:tc>
      </w:tr>
      <w:tr>
        <w:trPr>
          <w:cantSplit w:val="0"/>
          <w:trHeight w:val="360" w:hRule="atLeast"/>
          <w:tblHeader w:val="0"/>
        </w:trPr>
        <w:tc>
          <w:tcPr>
            <w:gridSpan w:val="7"/>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85">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2"/>
                <w:szCs w:val="22"/>
                <w:u w:val="none"/>
              </w:rPr>
            </w:pPr>
            <w:r w:rsidDel="00000000" w:rsidR="00000000" w:rsidRPr="00000000">
              <w:rPr>
                <w:rFonts w:ascii="Helvetica Neue" w:cs="Helvetica Neue" w:eastAsia="Helvetica Neue" w:hAnsi="Helvetica Neue"/>
                <w:b w:val="0"/>
                <w:i w:val="0"/>
                <w:color w:val="666666"/>
                <w:sz w:val="22"/>
                <w:szCs w:val="22"/>
                <w:u w:val="none"/>
                <w:rtl w:val="0"/>
              </w:rPr>
              <w:t xml:space="preserve">Adjusted R-squared: 0.374, Deviance explained 0.390</w:t>
            </w:r>
          </w:p>
        </w:tc>
      </w:tr>
      <w:tr>
        <w:trPr>
          <w:cantSplit w:val="0"/>
          <w:trHeight w:val="360" w:hRule="atLeast"/>
          <w:tblHeader w:val="0"/>
        </w:trPr>
        <w:tc>
          <w:tcPr>
            <w:gridSpan w:val="7"/>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8C">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2"/>
                <w:szCs w:val="22"/>
                <w:u w:val="none"/>
              </w:rPr>
            </w:pPr>
            <w:r w:rsidDel="00000000" w:rsidR="00000000" w:rsidRPr="00000000">
              <w:rPr>
                <w:rFonts w:ascii="Helvetica Neue" w:cs="Helvetica Neue" w:eastAsia="Helvetica Neue" w:hAnsi="Helvetica Neue"/>
                <w:b w:val="0"/>
                <w:i w:val="0"/>
                <w:color w:val="666666"/>
                <w:sz w:val="22"/>
                <w:szCs w:val="22"/>
                <w:u w:val="none"/>
                <w:rtl w:val="0"/>
              </w:rPr>
              <w:t xml:space="preserve">-REML : 161.184, Scale est: 0.079, N: 268</w:t>
            </w:r>
          </w:p>
        </w:tc>
      </w:tr>
    </w:tbl>
    <w:p w:rsidR="00000000" w:rsidDel="00000000" w:rsidP="00000000" w:rsidRDefault="00000000" w:rsidRPr="00000000" w14:paraId="00000193">
      <w:pPr>
        <w:pStyle w:val="Heading2"/>
        <w:rPr/>
      </w:pPr>
      <w:r w:rsidDel="00000000" w:rsidR="00000000" w:rsidRPr="00000000">
        <w:br w:type="page"/>
      </w:r>
      <w:r w:rsidDel="00000000" w:rsidR="00000000" w:rsidRPr="00000000">
        <w:rPr>
          <w:rtl w:val="0"/>
        </w:rPr>
      </w:r>
    </w:p>
    <w:bookmarkStart w:colFirst="0" w:colLast="0" w:name="bookmark=id.7ytj3ogn51yk" w:id="8"/>
    <w:bookmarkEnd w:id="8"/>
    <w:p w:rsidR="00000000" w:rsidDel="00000000" w:rsidP="00000000" w:rsidRDefault="00000000" w:rsidRPr="00000000" w14:paraId="00000194">
      <w:pPr>
        <w:pStyle w:val="Heading2"/>
        <w:rPr/>
      </w:pPr>
      <w:r w:rsidDel="00000000" w:rsidR="00000000" w:rsidRPr="00000000">
        <w:rPr>
          <w:rtl w:val="0"/>
        </w:rPr>
        <w:t xml:space="preserve">Exploration type</w:t>
      </w:r>
    </w:p>
    <w:p w:rsidR="00000000" w:rsidDel="00000000" w:rsidP="00000000" w:rsidRDefault="00000000" w:rsidRPr="00000000" w14:paraId="00000195">
      <w:pPr>
        <w:pStyle w:val="Heading3"/>
        <w:spacing w:after="180" w:before="180" w:lineRule="auto"/>
        <w:rPr>
          <w:rFonts w:ascii="Arial" w:cs="Arial" w:eastAsia="Arial" w:hAnsi="Arial"/>
          <w:color w:val="000000"/>
          <w:sz w:val="20"/>
          <w:szCs w:val="20"/>
          <w:vertAlign w:val="baseline"/>
        </w:rPr>
      </w:pPr>
      <w:bookmarkStart w:colFirst="0" w:colLast="0" w:name="_heading=h.8tgw78uhv0tc" w:id="9"/>
      <w:bookmarkEnd w:id="9"/>
      <w:r w:rsidDel="00000000" w:rsidR="00000000" w:rsidRPr="00000000">
        <w:rPr>
          <w:rFonts w:ascii="Arial" w:cs="Arial" w:eastAsia="Arial" w:hAnsi="Arial"/>
          <w:b w:val="1"/>
          <w:color w:val="000000"/>
          <w:sz w:val="20"/>
          <w:szCs w:val="20"/>
          <w:vertAlign w:val="baseline"/>
          <w:rtl w:val="0"/>
        </w:rPr>
        <w:t xml:space="preserve">Table S3.</w:t>
      </w:r>
      <w:r w:rsidDel="00000000" w:rsidR="00000000" w:rsidRPr="00000000">
        <w:rPr>
          <w:rFonts w:ascii="Arial" w:cs="Arial" w:eastAsia="Arial" w:hAnsi="Arial"/>
          <w:color w:val="000000"/>
          <w:sz w:val="20"/>
          <w:szCs w:val="20"/>
          <w:vertAlign w:val="baseline"/>
          <w:rtl w:val="0"/>
        </w:rPr>
        <w:t xml:space="preserve"> Output showing the generalized additive model (GAM) of ectomycorrhizal fungal exploration type abundances, using week of year and host tree species leaf habit as main predictors.</w:t>
      </w:r>
    </w:p>
    <w:tbl>
      <w:tblPr>
        <w:tblStyle w:val="Table4"/>
        <w:tblW w:w="11906.999999999998" w:type="dxa"/>
        <w:jc w:val="center"/>
        <w:tblLayout w:type="fixed"/>
        <w:tblLook w:val="0000"/>
      </w:tblPr>
      <w:tblGrid>
        <w:gridCol w:w="2774"/>
        <w:gridCol w:w="4034"/>
        <w:gridCol w:w="1160"/>
        <w:gridCol w:w="1184"/>
        <w:gridCol w:w="1099"/>
        <w:gridCol w:w="1080"/>
        <w:gridCol w:w="576"/>
        <w:tblGridChange w:id="0">
          <w:tblGrid>
            <w:gridCol w:w="2774"/>
            <w:gridCol w:w="4034"/>
            <w:gridCol w:w="1160"/>
            <w:gridCol w:w="1184"/>
            <w:gridCol w:w="1099"/>
            <w:gridCol w:w="1080"/>
            <w:gridCol w:w="576"/>
          </w:tblGrid>
        </w:tblGridChange>
      </w:tblGrid>
      <w:tr>
        <w:trPr>
          <w:cantSplit w:val="0"/>
          <w:trHeight w:val="512" w:hRule="atLeast"/>
          <w:tblHeader w:val="1"/>
        </w:trPr>
        <w:tc>
          <w:tcPr>
            <w:gridSpan w:val="7"/>
            <w:tcBorders>
              <w:top w:color="000000" w:space="0" w:sz="0" w:val="nil"/>
              <w:left w:color="000000" w:space="0" w:sz="0" w:val="nil"/>
              <w:bottom w:color="666666"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196">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2"/>
                <w:szCs w:val="22"/>
              </w:rPr>
            </w:pPr>
            <w:r w:rsidDel="00000000" w:rsidR="00000000" w:rsidRPr="00000000">
              <w:rPr>
                <w:rFonts w:ascii="Helvetica Neue" w:cs="Helvetica Neue" w:eastAsia="Helvetica Neue" w:hAnsi="Helvetica Neue"/>
                <w:color w:val="666666"/>
                <w:sz w:val="22"/>
                <w:szCs w:val="22"/>
                <w:rtl w:val="0"/>
              </w:rPr>
              <w:t xml:space="preserve">Exploration type,</w:t>
              <w:br w:type="textWrapping"/>
              <w:t xml:space="preserve">GAM with neg. binom. nb(0.439) distribution family</w:t>
            </w:r>
          </w:p>
        </w:tc>
      </w:tr>
      <w:tr>
        <w:trPr>
          <w:cantSplit w:val="0"/>
          <w:trHeight w:val="512" w:hRule="atLeast"/>
          <w:tblHeader w:val="1"/>
        </w:trPr>
        <w:tc>
          <w:tcPr>
            <w:tcBorders>
              <w:top w:color="000000" w:space="0" w:sz="0" w:val="nil"/>
              <w:left w:color="000000" w:space="0" w:sz="0" w:val="nil"/>
              <w:bottom w:color="666666" w:space="0" w:sz="6" w:val="single"/>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9D">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2"/>
                <w:szCs w:val="22"/>
              </w:rPr>
            </w:pPr>
            <w:r w:rsidDel="00000000" w:rsidR="00000000" w:rsidRPr="00000000">
              <w:rPr>
                <w:rFonts w:ascii="Helvetica Neue" w:cs="Helvetica Neue" w:eastAsia="Helvetica Neue" w:hAnsi="Helvetica Neue"/>
                <w:color w:val="666666"/>
                <w:sz w:val="22"/>
                <w:szCs w:val="22"/>
                <w:rtl w:val="0"/>
              </w:rPr>
              <w:t xml:space="preserve">Component</w:t>
            </w:r>
          </w:p>
        </w:tc>
        <w:tc>
          <w:tcPr>
            <w:tcBorders>
              <w:top w:color="000000" w:space="0" w:sz="0" w:val="nil"/>
              <w:left w:color="000000" w:space="0" w:sz="0" w:val="nil"/>
              <w:bottom w:color="666666" w:space="0" w:sz="6" w:val="single"/>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9E">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2"/>
                <w:szCs w:val="22"/>
              </w:rPr>
            </w:pPr>
            <w:r w:rsidDel="00000000" w:rsidR="00000000" w:rsidRPr="00000000">
              <w:rPr>
                <w:rFonts w:ascii="Helvetica Neue" w:cs="Helvetica Neue" w:eastAsia="Helvetica Neue" w:hAnsi="Helvetica Neue"/>
                <w:color w:val="666666"/>
                <w:sz w:val="22"/>
                <w:szCs w:val="22"/>
                <w:rtl w:val="0"/>
              </w:rPr>
              <w:t xml:space="preserve">Term</w:t>
            </w:r>
          </w:p>
        </w:tc>
        <w:tc>
          <w:tcPr>
            <w:tcBorders>
              <w:top w:color="000000" w:space="0" w:sz="0" w:val="nil"/>
              <w:left w:color="000000" w:space="0" w:sz="0" w:val="nil"/>
              <w:bottom w:color="666666" w:space="0" w:sz="6" w:val="single"/>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9F">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2"/>
                <w:szCs w:val="22"/>
              </w:rPr>
            </w:pPr>
            <w:r w:rsidDel="00000000" w:rsidR="00000000" w:rsidRPr="00000000">
              <w:rPr>
                <w:rFonts w:ascii="Helvetica Neue" w:cs="Helvetica Neue" w:eastAsia="Helvetica Neue" w:hAnsi="Helvetica Neue"/>
                <w:color w:val="666666"/>
                <w:sz w:val="22"/>
                <w:szCs w:val="22"/>
                <w:rtl w:val="0"/>
              </w:rPr>
              <w:t xml:space="preserve">Estimate</w:t>
            </w:r>
          </w:p>
        </w:tc>
        <w:tc>
          <w:tcPr>
            <w:tcBorders>
              <w:top w:color="000000" w:space="0" w:sz="0" w:val="nil"/>
              <w:left w:color="000000" w:space="0" w:sz="0" w:val="nil"/>
              <w:bottom w:color="666666" w:space="0" w:sz="6" w:val="single"/>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A0">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2"/>
                <w:szCs w:val="22"/>
              </w:rPr>
            </w:pPr>
            <w:r w:rsidDel="00000000" w:rsidR="00000000" w:rsidRPr="00000000">
              <w:rPr>
                <w:rFonts w:ascii="Helvetica Neue" w:cs="Helvetica Neue" w:eastAsia="Helvetica Neue" w:hAnsi="Helvetica Neue"/>
                <w:color w:val="666666"/>
                <w:sz w:val="22"/>
                <w:szCs w:val="22"/>
                <w:rtl w:val="0"/>
              </w:rPr>
              <w:t xml:space="preserve">Std Error</w:t>
            </w:r>
          </w:p>
        </w:tc>
        <w:tc>
          <w:tcPr>
            <w:tcBorders>
              <w:top w:color="000000" w:space="0" w:sz="0" w:val="nil"/>
              <w:left w:color="000000" w:space="0" w:sz="0" w:val="nil"/>
              <w:bottom w:color="666666" w:space="0" w:sz="6" w:val="single"/>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A1">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2"/>
                <w:szCs w:val="22"/>
              </w:rPr>
            </w:pPr>
            <w:r w:rsidDel="00000000" w:rsidR="00000000" w:rsidRPr="00000000">
              <w:rPr>
                <w:rFonts w:ascii="Helvetica Neue" w:cs="Helvetica Neue" w:eastAsia="Helvetica Neue" w:hAnsi="Helvetica Neue"/>
                <w:color w:val="666666"/>
                <w:sz w:val="22"/>
                <w:szCs w:val="22"/>
                <w:rtl w:val="0"/>
              </w:rPr>
              <w:t xml:space="preserve">t-value</w:t>
            </w:r>
          </w:p>
        </w:tc>
        <w:tc>
          <w:tcPr>
            <w:tcBorders>
              <w:top w:color="000000" w:space="0" w:sz="0" w:val="nil"/>
              <w:left w:color="000000" w:space="0" w:sz="0" w:val="nil"/>
              <w:bottom w:color="666666" w:space="0" w:sz="6" w:val="single"/>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A2">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2"/>
                <w:szCs w:val="22"/>
              </w:rPr>
            </w:pPr>
            <w:r w:rsidDel="00000000" w:rsidR="00000000" w:rsidRPr="00000000">
              <w:rPr>
                <w:rFonts w:ascii="Helvetica Neue" w:cs="Helvetica Neue" w:eastAsia="Helvetica Neue" w:hAnsi="Helvetica Neue"/>
                <w:color w:val="666666"/>
                <w:sz w:val="22"/>
                <w:szCs w:val="22"/>
                <w:rtl w:val="0"/>
              </w:rPr>
              <w:t xml:space="preserve">p-value</w:t>
            </w:r>
          </w:p>
        </w:tc>
        <w:tc>
          <w:tcPr>
            <w:tcBorders>
              <w:top w:color="000000" w:space="0" w:sz="0" w:val="nil"/>
              <w:left w:color="000000" w:space="0" w:sz="0" w:val="nil"/>
              <w:bottom w:color="666666" w:space="0" w:sz="6" w:val="single"/>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A3">
            <w:pPr>
              <w:pBdr>
                <w:top w:color="000000" w:space="0" w:sz="0" w:val="none"/>
                <w:left w:color="000000" w:space="0" w:sz="0" w:val="none"/>
                <w:bottom w:color="000000" w:space="0" w:sz="0" w:val="none"/>
                <w:right w:color="000000" w:space="0" w:sz="0" w:val="none"/>
              </w:pBdr>
              <w:spacing w:after="60" w:before="60" w:lineRule="auto"/>
              <w:ind w:left="60" w:right="60" w:firstLine="0"/>
              <w:jc w:val="center"/>
              <w:rPr>
                <w:rFonts w:ascii="Helvetica Neue" w:cs="Helvetica Neue" w:eastAsia="Helvetica Neue" w:hAnsi="Helvetica Neue"/>
                <w:sz w:val="22"/>
                <w:szCs w:val="22"/>
              </w:rPr>
            </w:pPr>
            <w:r w:rsidDel="00000000" w:rsidR="00000000" w:rsidRPr="00000000">
              <w:rPr>
                <w:rtl w:val="0"/>
              </w:rPr>
            </w:r>
          </w:p>
        </w:tc>
      </w:tr>
      <w:tr>
        <w:trPr>
          <w:cantSplit w:val="0"/>
          <w:trHeight w:val="510"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4">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A. parametric coefficients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A5">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(Intercept)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A6">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8.354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A7">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0.117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A8">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71.691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A9">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&lt; 0.001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AA">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w:t>
            </w:r>
          </w:p>
        </w:tc>
      </w:tr>
      <w:tr>
        <w:trPr>
          <w:cantSplit w:val="0"/>
          <w:trHeight w:val="51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AC">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ETShort-dist.</w:t>
              <w:br w:type="textWrapping"/>
              <w:t xml:space="preserve">delicate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AD">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0.656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AE">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0.131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AF">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4.998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B0">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&lt; 0.001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B1">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w:t>
            </w:r>
          </w:p>
        </w:tc>
      </w:tr>
      <w:tr>
        <w:trPr>
          <w:cantSplit w:val="0"/>
          <w:trHeight w:val="51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B3">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ETShort-dist.</w:t>
              <w:br w:type="textWrapping"/>
              <w:t xml:space="preserve">coarse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B4">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-1.016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B5">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0.131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B6">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-7.743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B7">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&lt; 0.001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B8">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w:t>
            </w:r>
          </w:p>
        </w:tc>
      </w:tr>
      <w:tr>
        <w:trPr>
          <w:cantSplit w:val="0"/>
          <w:trHeight w:val="51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BA">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ETMedium-dist.</w:t>
              <w:br w:type="textWrapping"/>
              <w:t xml:space="preserve">fringe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BB">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-0.252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BC">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0.131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BD">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-1.925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BE">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0.054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BF">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w:t>
            </w:r>
          </w:p>
        </w:tc>
      </w:tr>
      <w:tr>
        <w:trPr>
          <w:cantSplit w:val="0"/>
          <w:trHeight w:val="51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C1">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ETMedium-dist.</w:t>
              <w:br w:type="textWrapping"/>
              <w:t xml:space="preserve">smooth</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C2">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-0.523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C3">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0.131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C4">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-3.988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C5">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&lt; 0.001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C6">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w:t>
            </w:r>
          </w:p>
        </w:tc>
      </w:tr>
      <w:tr>
        <w:trPr>
          <w:cantSplit w:val="0"/>
          <w:trHeight w:val="51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C8">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ETLong-dist.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C9">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-1.999</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CA">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0.131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CB">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-15.239</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CC">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&lt; 0.001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CD">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w:t>
            </w:r>
          </w:p>
        </w:tc>
      </w:tr>
      <w:tr>
        <w:trPr>
          <w:cantSplit w:val="0"/>
          <w:trHeight w:val="51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CF">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ETMat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D0">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-5.257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D1">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0.133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D2">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-39.645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D3">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&lt; 0.001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D4">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w:t>
            </w:r>
          </w:p>
        </w:tc>
      </w:tr>
      <w:tr>
        <w:trPr>
          <w:cantSplit w:val="0"/>
          <w:trHeight w:val="51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D6">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ETUnknown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D7">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-7.141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D8">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0.139</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D9">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-51.220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DA">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&lt; 0.001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DB">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w:t>
            </w:r>
          </w:p>
        </w:tc>
      </w:tr>
      <w:tr>
        <w:trPr>
          <w:cantSplit w:val="0"/>
          <w:trHeight w:val="51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DD">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LeafHabitEvergreen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DE">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-0.222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DF">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0.068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E0">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-3.259</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E1">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0.001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E2">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w:t>
            </w:r>
          </w:p>
        </w:tc>
      </w:tr>
      <w:tr>
        <w:trPr>
          <w:cantSplit w:val="0"/>
          <w:trHeight w:val="512"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3">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Component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E4">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Term</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E5">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edf</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E6">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Ref. df</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E7">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F-value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E8">
            <w:pPr>
              <w:pBdr>
                <w:top w:color="000000" w:space="0" w:sz="0" w:val="none"/>
                <w:left w:color="000000" w:space="0" w:sz="0" w:val="none"/>
                <w:bottom w:color="000000" w:space="0" w:sz="0" w:val="none"/>
                <w:right w:color="000000" w:space="0" w:sz="0" w:val="none"/>
              </w:pBdr>
              <w:spacing w:after="60" w:before="60" w:lineRule="auto"/>
              <w:ind w:left="60" w:right="60" w:firstLine="0"/>
              <w:jc w:val="right"/>
              <w:rPr>
                <w:rFonts w:ascii="Helvetica Neue" w:cs="Helvetica Neue" w:eastAsia="Helvetica Neue" w:hAnsi="Helvetica Neue"/>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E9">
            <w:pPr>
              <w:pBdr>
                <w:top w:color="000000" w:space="0" w:sz="0" w:val="none"/>
                <w:left w:color="000000" w:space="0" w:sz="0" w:val="none"/>
                <w:bottom w:color="000000" w:space="0" w:sz="0" w:val="none"/>
                <w:right w:color="000000" w:space="0" w:sz="0" w:val="none"/>
              </w:pBdr>
              <w:spacing w:after="60" w:before="60" w:lineRule="auto"/>
              <w:ind w:left="60" w:right="60" w:firstLine="0"/>
              <w:rPr>
                <w:rFonts w:ascii="Helvetica Neue" w:cs="Helvetica Neue" w:eastAsia="Helvetica Neue" w:hAnsi="Helvetica Neue"/>
                <w:sz w:val="20"/>
                <w:szCs w:val="20"/>
              </w:rPr>
            </w:pPr>
            <w:r w:rsidDel="00000000" w:rsidR="00000000" w:rsidRPr="00000000">
              <w:rPr>
                <w:rtl w:val="0"/>
              </w:rPr>
            </w:r>
          </w:p>
        </w:tc>
      </w:tr>
      <w:tr>
        <w:trPr>
          <w:cantSplit w:val="0"/>
          <w:trHeight w:val="673"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A">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B. smooth terms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EB">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s(WEEK):ETContact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EC">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1.003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ED">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1.005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EE">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2.981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EF">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0.085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F0">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w:t>
            </w:r>
          </w:p>
        </w:tc>
      </w:tr>
      <w:tr>
        <w:trPr>
          <w:cantSplit w:val="0"/>
          <w:trHeight w:val="634"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F2">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s(WEEK):ETShort-dist.</w:t>
              <w:br w:type="textWrapping"/>
              <w:t xml:space="preserve">delicate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F3">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1.001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F4">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1.003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F5">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5.469</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F6">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0.019</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F7">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w:t>
            </w:r>
          </w:p>
        </w:tc>
      </w:tr>
      <w:tr>
        <w:trPr>
          <w:cantSplit w:val="0"/>
          <w:trHeight w:val="718"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F9">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s(WEEK):ETShort-dist.</w:t>
              <w:br w:type="textWrapping"/>
              <w:t xml:space="preserve">coarse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FA">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2.533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FB">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3.139</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FC">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50.761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FD">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&lt; 0.001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FE">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w:t>
            </w:r>
          </w:p>
        </w:tc>
      </w:tr>
      <w:tr>
        <w:trPr>
          <w:cantSplit w:val="0"/>
          <w:trHeight w:val="672"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00">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s(WEEK):ETMedium-dist.</w:t>
              <w:br w:type="textWrapping"/>
              <w:t xml:space="preserve">fringe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01">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1.002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02">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1.004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03">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1.123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04">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0.290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05">
            <w:pPr>
              <w:pBdr>
                <w:top w:color="000000" w:space="0" w:sz="0" w:val="none"/>
                <w:left w:color="000000" w:space="0" w:sz="0" w:val="none"/>
                <w:bottom w:color="000000" w:space="0" w:sz="0" w:val="none"/>
                <w:right w:color="000000" w:space="0" w:sz="0" w:val="none"/>
              </w:pBdr>
              <w:spacing w:after="60" w:before="60" w:lineRule="auto"/>
              <w:ind w:left="60" w:right="60" w:firstLine="0"/>
              <w:rPr>
                <w:rFonts w:ascii="Helvetica Neue" w:cs="Helvetica Neue" w:eastAsia="Helvetica Neue" w:hAnsi="Helvetica Neue"/>
                <w:sz w:val="20"/>
                <w:szCs w:val="20"/>
              </w:rPr>
            </w:pPr>
            <w:r w:rsidDel="00000000" w:rsidR="00000000" w:rsidRPr="00000000">
              <w:rPr>
                <w:rtl w:val="0"/>
              </w:rPr>
            </w:r>
          </w:p>
        </w:tc>
      </w:tr>
      <w:tr>
        <w:trPr>
          <w:cantSplit w:val="0"/>
          <w:trHeight w:val="513"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07">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s(WEEK):ETMedium-dist.</w:t>
              <w:br w:type="textWrapping"/>
              <w:t xml:space="preserve">smooth</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08">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1.002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09">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1.004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0A">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7.454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0B">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0.006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0C">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w:t>
            </w:r>
          </w:p>
        </w:tc>
      </w:tr>
      <w:tr>
        <w:trPr>
          <w:cantSplit w:val="0"/>
          <w:trHeight w:val="509"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0E">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s(WEEK):ETLong-dist.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0F">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2.171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10">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2.705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11">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7.752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12">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0.055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13">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w:t>
            </w:r>
          </w:p>
        </w:tc>
      </w:tr>
      <w:tr>
        <w:trPr>
          <w:cantSplit w:val="0"/>
          <w:trHeight w:val="509"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15">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s(WEEK):ETMat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16">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4.286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17">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5.052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18">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203.571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19">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&lt; 0.001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1A">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w:t>
            </w:r>
          </w:p>
        </w:tc>
      </w:tr>
      <w:tr>
        <w:trPr>
          <w:cantSplit w:val="0"/>
          <w:trHeight w:val="513"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1C">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s(WEEK):ETUnknown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1D">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5.292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1E">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5.799</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1F">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100.009</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20">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&lt; 0.001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21">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w:t>
            </w:r>
          </w:p>
        </w:tc>
      </w:tr>
      <w:tr>
        <w:trPr>
          <w:cantSplit w:val="0"/>
          <w:trHeight w:val="511"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23">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te(Temp1_7d_avg,Moisture1_7d_avg)</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24">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3.002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25">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3.004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26">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7.789</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27">
            <w:pPr>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0.051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28">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w:t>
            </w:r>
          </w:p>
        </w:tc>
      </w:tr>
      <w:tr>
        <w:trPr>
          <w:cantSplit w:val="0"/>
          <w:trHeight w:val="36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9">
            <w:pPr>
              <w:pBdr>
                <w:top w:color="000000" w:space="0" w:sz="0" w:val="none"/>
                <w:left w:color="000000" w:space="0" w:sz="0" w:val="none"/>
                <w:bottom w:color="000000" w:space="0" w:sz="0" w:val="none"/>
                <w:right w:color="000000" w:space="0" w:sz="0" w:val="none"/>
              </w:pBdr>
              <w:spacing w:after="60" w:before="60" w:lineRule="auto"/>
              <w:ind w:left="60" w:right="60" w:firstLine="0"/>
              <w:rPr>
                <w:rFonts w:ascii="Helvetica Neue" w:cs="Helvetica Neue" w:eastAsia="Helvetica Neue" w:hAnsi="Helvetica Neue"/>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2A">
            <w:pPr>
              <w:widowControl w:val="0"/>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s(SUBPLOT)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2B">
            <w:pPr>
              <w:widowControl w:val="0"/>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0.879</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2C">
            <w:pPr>
              <w:widowControl w:val="0"/>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2D">
            <w:pPr>
              <w:widowControl w:val="0"/>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7.164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2E">
            <w:pPr>
              <w:widowControl w:val="0"/>
              <w:pBdr>
                <w:top w:color="000000" w:space="3" w:sz="0" w:val="none"/>
                <w:left w:color="000000" w:space="3" w:sz="0" w:val="none"/>
                <w:bottom w:color="000000" w:space="3" w:sz="0" w:val="none"/>
                <w:right w:color="000000" w:space="3" w:sz="0" w:val="none"/>
                <w:between w:color="000000" w:space="3" w:sz="0" w:val="none"/>
              </w:pBdr>
              <w:spacing w:after="0" w:lineRule="auto"/>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0.004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2F">
            <w:pPr>
              <w:widowControl w:val="0"/>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w:t>
            </w:r>
          </w:p>
        </w:tc>
      </w:tr>
      <w:tr>
        <w:trPr>
          <w:cantSplit w:val="0"/>
          <w:trHeight w:val="360" w:hRule="atLeast"/>
          <w:tblHeader w:val="0"/>
        </w:trPr>
        <w:tc>
          <w:tcPr>
            <w:gridSpan w:val="7"/>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30">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2"/>
                <w:szCs w:val="22"/>
              </w:rPr>
            </w:pPr>
            <w:r w:rsidDel="00000000" w:rsidR="00000000" w:rsidRPr="00000000">
              <w:rPr>
                <w:rFonts w:ascii="Helvetica Neue" w:cs="Helvetica Neue" w:eastAsia="Helvetica Neue" w:hAnsi="Helvetica Neue"/>
                <w:color w:val="666666"/>
                <w:sz w:val="22"/>
                <w:szCs w:val="22"/>
                <w:rtl w:val="0"/>
              </w:rPr>
              <w:t xml:space="preserve">Signif. codes: 0 &lt;= '***' &lt; 0.001 &lt; '**' &lt; 0.01 &lt; '*' &lt; 0.05</w:t>
            </w:r>
          </w:p>
        </w:tc>
      </w:tr>
      <w:tr>
        <w:trPr>
          <w:cantSplit w:val="0"/>
          <w:trHeight w:val="360" w:hRule="atLeast"/>
          <w:tblHeader w:val="0"/>
        </w:trPr>
        <w:tc>
          <w:tcPr>
            <w:gridSpan w:val="7"/>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37">
            <w:pPr>
              <w:pBdr>
                <w:top w:color="000000" w:space="0" w:sz="0" w:val="none"/>
                <w:left w:color="000000" w:space="0" w:sz="0" w:val="none"/>
                <w:bottom w:color="000000" w:space="0" w:sz="0" w:val="none"/>
                <w:right w:color="000000" w:space="0" w:sz="0" w:val="none"/>
              </w:pBdr>
              <w:spacing w:after="60" w:before="60" w:lineRule="auto"/>
              <w:ind w:left="60" w:right="60" w:firstLine="0"/>
              <w:rPr>
                <w:rFonts w:ascii="Helvetica Neue" w:cs="Helvetica Neue" w:eastAsia="Helvetica Neue" w:hAnsi="Helvetica Neue"/>
                <w:sz w:val="22"/>
                <w:szCs w:val="22"/>
              </w:rPr>
            </w:pPr>
            <w:r w:rsidDel="00000000" w:rsidR="00000000" w:rsidRPr="00000000">
              <w:rPr>
                <w:rtl w:val="0"/>
              </w:rPr>
            </w:r>
          </w:p>
        </w:tc>
      </w:tr>
      <w:tr>
        <w:trPr>
          <w:cantSplit w:val="0"/>
          <w:trHeight w:val="360" w:hRule="atLeast"/>
          <w:tblHeader w:val="0"/>
        </w:trPr>
        <w:tc>
          <w:tcPr>
            <w:gridSpan w:val="7"/>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3E">
            <w:pPr>
              <w:pBdr>
                <w:top w:color="000000" w:space="3" w:sz="0" w:val="none"/>
                <w:left w:color="000000" w:space="3" w:sz="0" w:val="none"/>
                <w:bottom w:color="000000" w:space="3" w:sz="0" w:val="none"/>
                <w:right w:color="000000" w:space="3" w:sz="0" w:val="none"/>
                <w:between w:color="000000" w:space="3" w:sz="0" w:val="none"/>
              </w:pBdr>
              <w:spacing w:after="0" w:lineRule="auto"/>
              <w:rPr>
                <w:rFonts w:ascii="Helvetica Neue" w:cs="Helvetica Neue" w:eastAsia="Helvetica Neue" w:hAnsi="Helvetica Neue"/>
                <w:color w:val="666666"/>
                <w:sz w:val="22"/>
                <w:szCs w:val="22"/>
              </w:rPr>
            </w:pPr>
            <w:r w:rsidDel="00000000" w:rsidR="00000000" w:rsidRPr="00000000">
              <w:rPr>
                <w:rFonts w:ascii="Helvetica Neue" w:cs="Helvetica Neue" w:eastAsia="Helvetica Neue" w:hAnsi="Helvetica Neue"/>
                <w:color w:val="666666"/>
                <w:sz w:val="22"/>
                <w:szCs w:val="22"/>
                <w:rtl w:val="0"/>
              </w:rPr>
              <w:t xml:space="preserve">Adjusted R-squared: 0.289, Deviance explained 0.510</w:t>
            </w:r>
          </w:p>
        </w:tc>
      </w:tr>
    </w:tbl>
    <w:p w:rsidR="00000000" w:rsidDel="00000000" w:rsidP="00000000" w:rsidRDefault="00000000" w:rsidRPr="00000000" w14:paraId="00000245">
      <w:pPr>
        <w:pStyle w:val="Heading2"/>
        <w:rPr/>
      </w:pPr>
      <w:r w:rsidDel="00000000" w:rsidR="00000000" w:rsidRPr="00000000">
        <w:rPr>
          <w:rtl w:val="0"/>
        </w:rPr>
      </w:r>
    </w:p>
    <w:p w:rsidR="00000000" w:rsidDel="00000000" w:rsidP="00000000" w:rsidRDefault="00000000" w:rsidRPr="00000000" w14:paraId="00000246">
      <w:pPr>
        <w:spacing w:after="180" w:before="180" w:lineRule="auto"/>
        <w:jc w:val="center"/>
        <w:rPr/>
      </w:pPr>
      <w:r w:rsidDel="00000000" w:rsidR="00000000" w:rsidRPr="00000000">
        <w:rPr/>
        <w:drawing>
          <wp:inline distB="114300" distT="114300" distL="114300" distR="114300">
            <wp:extent cx="3990975" cy="3990975"/>
            <wp:effectExtent b="0" l="0" r="0" t="0"/>
            <wp:docPr id="3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9097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pStyle w:val="Heading3"/>
        <w:rPr>
          <w:rFonts w:ascii="Arial" w:cs="Arial" w:eastAsia="Arial" w:hAnsi="Arial"/>
          <w:color w:val="000000"/>
          <w:sz w:val="20"/>
          <w:szCs w:val="20"/>
        </w:rPr>
      </w:pPr>
      <w:bookmarkStart w:colFirst="0" w:colLast="0" w:name="_heading=h.aktnu9ia9l7i" w:id="10"/>
      <w:bookmarkEnd w:id="10"/>
      <w:r w:rsidDel="00000000" w:rsidR="00000000" w:rsidRPr="00000000">
        <w:rPr>
          <w:rFonts w:ascii="Arial" w:cs="Arial" w:eastAsia="Arial" w:hAnsi="Arial"/>
          <w:b w:val="1"/>
          <w:color w:val="000000"/>
          <w:sz w:val="20"/>
          <w:szCs w:val="20"/>
          <w:rtl w:val="0"/>
        </w:rPr>
        <w:t xml:space="preserve">Fig. S3 </w:t>
      </w:r>
      <w:r w:rsidDel="00000000" w:rsidR="00000000" w:rsidRPr="00000000">
        <w:rPr>
          <w:rFonts w:ascii="Arial" w:cs="Arial" w:eastAsia="Arial" w:hAnsi="Arial"/>
          <w:color w:val="000000"/>
          <w:sz w:val="20"/>
          <w:szCs w:val="20"/>
          <w:rtl w:val="0"/>
        </w:rPr>
        <w:t xml:space="preserve">Correlation plot among ECM fungal exploration types, using data across all host tree stands, subplots, and time points. Correlations use the spearman method showing positive (blue) and negative (red) magnitudes with significance denoted by stars (p &lt; 0.05 *, &lt; 0.01 **, &lt; 0.001 ***).</w:t>
      </w:r>
    </w:p>
    <w:p w:rsidR="00000000" w:rsidDel="00000000" w:rsidP="00000000" w:rsidRDefault="00000000" w:rsidRPr="00000000" w14:paraId="00000248">
      <w:pPr>
        <w:pStyle w:val="Heading2"/>
        <w:rPr/>
      </w:pPr>
      <w:r w:rsidDel="00000000" w:rsidR="00000000" w:rsidRPr="00000000">
        <w:br w:type="page"/>
      </w:r>
      <w:r w:rsidDel="00000000" w:rsidR="00000000" w:rsidRPr="00000000">
        <w:rPr>
          <w:rtl w:val="0"/>
        </w:rPr>
      </w:r>
    </w:p>
    <w:bookmarkStart w:colFirst="0" w:colLast="0" w:name="bookmark=id.c5dru3p5gr3p" w:id="11"/>
    <w:bookmarkEnd w:id="11"/>
    <w:p w:rsidR="00000000" w:rsidDel="00000000" w:rsidP="00000000" w:rsidRDefault="00000000" w:rsidRPr="00000000" w14:paraId="00000249">
      <w:pPr>
        <w:pStyle w:val="Heading2"/>
        <w:rPr/>
      </w:pPr>
      <w:r w:rsidDel="00000000" w:rsidR="00000000" w:rsidRPr="00000000">
        <w:rPr>
          <w:rtl w:val="0"/>
        </w:rPr>
        <w:t xml:space="preserve">Taxonomy</w:t>
      </w:r>
    </w:p>
    <w:p w:rsidR="00000000" w:rsidDel="00000000" w:rsidP="00000000" w:rsidRDefault="00000000" w:rsidRPr="00000000" w14:paraId="0000024A">
      <w:pPr>
        <w:pStyle w:val="Heading3"/>
        <w:spacing w:after="180" w:before="180" w:lineRule="auto"/>
        <w:rPr>
          <w:color w:val="000000"/>
          <w:sz w:val="20"/>
          <w:szCs w:val="20"/>
          <w:vertAlign w:val="baseline"/>
        </w:rPr>
      </w:pPr>
      <w:bookmarkStart w:colFirst="0" w:colLast="0" w:name="_heading=h.mzp3fhqf3j16" w:id="12"/>
      <w:bookmarkEnd w:id="12"/>
      <w:r w:rsidDel="00000000" w:rsidR="00000000" w:rsidRPr="00000000">
        <w:rPr>
          <w:b w:val="1"/>
          <w:color w:val="000000"/>
          <w:sz w:val="20"/>
          <w:szCs w:val="20"/>
          <w:vertAlign w:val="baseline"/>
          <w:rtl w:val="0"/>
        </w:rPr>
        <w:t xml:space="preserve">Table S4.</w:t>
      </w:r>
      <w:r w:rsidDel="00000000" w:rsidR="00000000" w:rsidRPr="00000000">
        <w:rPr>
          <w:color w:val="000000"/>
          <w:sz w:val="20"/>
          <w:szCs w:val="20"/>
          <w:vertAlign w:val="baseline"/>
          <w:rtl w:val="0"/>
        </w:rPr>
        <w:t xml:space="preserve"> Output showing the generalized additive model (GAM) of ectomycorrhizal fungal genus abundances, using week of year and host tree species leaf habit as main predictors.</w:t>
      </w:r>
    </w:p>
    <w:tbl>
      <w:tblPr>
        <w:tblStyle w:val="Table5"/>
        <w:tblW w:w="12091.0" w:type="dxa"/>
        <w:jc w:val="center"/>
        <w:tblLayout w:type="fixed"/>
        <w:tblLook w:val="0000"/>
      </w:tblPr>
      <w:tblGrid>
        <w:gridCol w:w="2774"/>
        <w:gridCol w:w="4034"/>
        <w:gridCol w:w="1160"/>
        <w:gridCol w:w="1184"/>
        <w:gridCol w:w="1283"/>
        <w:gridCol w:w="1080"/>
        <w:gridCol w:w="576"/>
        <w:tblGridChange w:id="0">
          <w:tblGrid>
            <w:gridCol w:w="2774"/>
            <w:gridCol w:w="4034"/>
            <w:gridCol w:w="1160"/>
            <w:gridCol w:w="1184"/>
            <w:gridCol w:w="1283"/>
            <w:gridCol w:w="1080"/>
            <w:gridCol w:w="576"/>
          </w:tblGrid>
        </w:tblGridChange>
      </w:tblGrid>
      <w:tr>
        <w:trPr>
          <w:cantSplit w:val="0"/>
          <w:trHeight w:val="512" w:hRule="atLeast"/>
          <w:tblHeader w:val="1"/>
        </w:trPr>
        <w:tc>
          <w:tcPr>
            <w:gridSpan w:val="7"/>
            <w:tcBorders>
              <w:top w:color="000000" w:space="0" w:sz="0" w:val="nil"/>
              <w:left w:color="000000" w:space="0" w:sz="0" w:val="nil"/>
              <w:bottom w:color="666666"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4B">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2"/>
                <w:szCs w:val="22"/>
                <w:u w:val="none"/>
              </w:rPr>
            </w:pPr>
            <w:r w:rsidDel="00000000" w:rsidR="00000000" w:rsidRPr="00000000">
              <w:rPr>
                <w:rFonts w:ascii="Helvetica Neue" w:cs="Helvetica Neue" w:eastAsia="Helvetica Neue" w:hAnsi="Helvetica Neue"/>
                <w:b w:val="0"/>
                <w:i w:val="0"/>
                <w:color w:val="666666"/>
                <w:sz w:val="22"/>
                <w:szCs w:val="22"/>
                <w:u w:val="none"/>
                <w:rtl w:val="0"/>
              </w:rPr>
              <w:t xml:space="preserve">Taxonomy, </w:t>
              <w:br w:type="textWrapping"/>
              <w:t xml:space="preserve"> GAM with neg. binom. nb(p=0.16) distribution family</w:t>
            </w:r>
          </w:p>
        </w:tc>
      </w:tr>
      <w:tr>
        <w:trPr>
          <w:cantSplit w:val="0"/>
          <w:trHeight w:val="512" w:hRule="atLeast"/>
          <w:tblHeader w:val="1"/>
        </w:trPr>
        <w:tc>
          <w:tcPr>
            <w:tcBorders>
              <w:top w:color="666666" w:space="0" w:sz="6" w:val="single"/>
              <w:left w:color="000000" w:space="0" w:sz="0" w:val="nil"/>
              <w:bottom w:color="666666"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52">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2"/>
                <w:szCs w:val="22"/>
                <w:u w:val="none"/>
              </w:rPr>
            </w:pPr>
            <w:r w:rsidDel="00000000" w:rsidR="00000000" w:rsidRPr="00000000">
              <w:rPr>
                <w:rFonts w:ascii="Helvetica Neue" w:cs="Helvetica Neue" w:eastAsia="Helvetica Neue" w:hAnsi="Helvetica Neue"/>
                <w:b w:val="0"/>
                <w:i w:val="0"/>
                <w:color w:val="666666"/>
                <w:sz w:val="22"/>
                <w:szCs w:val="22"/>
                <w:u w:val="none"/>
                <w:rtl w:val="0"/>
              </w:rPr>
              <w:t xml:space="preserve">Component</w:t>
            </w:r>
          </w:p>
        </w:tc>
        <w:tc>
          <w:tcPr>
            <w:tcBorders>
              <w:top w:color="666666" w:space="0" w:sz="6" w:val="single"/>
              <w:left w:color="000000" w:space="0" w:sz="0" w:val="nil"/>
              <w:bottom w:color="666666"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53">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2"/>
                <w:szCs w:val="22"/>
                <w:u w:val="none"/>
              </w:rPr>
            </w:pPr>
            <w:r w:rsidDel="00000000" w:rsidR="00000000" w:rsidRPr="00000000">
              <w:rPr>
                <w:rFonts w:ascii="Helvetica Neue" w:cs="Helvetica Neue" w:eastAsia="Helvetica Neue" w:hAnsi="Helvetica Neue"/>
                <w:b w:val="0"/>
                <w:i w:val="0"/>
                <w:color w:val="666666"/>
                <w:sz w:val="22"/>
                <w:szCs w:val="22"/>
                <w:u w:val="none"/>
                <w:rtl w:val="0"/>
              </w:rPr>
              <w:t xml:space="preserve">Term</w:t>
            </w:r>
          </w:p>
        </w:tc>
        <w:tc>
          <w:tcPr>
            <w:tcBorders>
              <w:top w:color="666666" w:space="0" w:sz="6" w:val="single"/>
              <w:left w:color="000000" w:space="0" w:sz="0" w:val="nil"/>
              <w:bottom w:color="666666"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54">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2"/>
                <w:szCs w:val="22"/>
                <w:u w:val="none"/>
              </w:rPr>
            </w:pPr>
            <w:r w:rsidDel="00000000" w:rsidR="00000000" w:rsidRPr="00000000">
              <w:rPr>
                <w:rFonts w:ascii="Helvetica Neue" w:cs="Helvetica Neue" w:eastAsia="Helvetica Neue" w:hAnsi="Helvetica Neue"/>
                <w:b w:val="0"/>
                <w:i w:val="0"/>
                <w:color w:val="666666"/>
                <w:sz w:val="22"/>
                <w:szCs w:val="22"/>
                <w:u w:val="none"/>
                <w:rtl w:val="0"/>
              </w:rPr>
              <w:t xml:space="preserve">Estimate</w:t>
            </w:r>
          </w:p>
        </w:tc>
        <w:tc>
          <w:tcPr>
            <w:tcBorders>
              <w:top w:color="666666" w:space="0" w:sz="6" w:val="single"/>
              <w:left w:color="000000" w:space="0" w:sz="0" w:val="nil"/>
              <w:bottom w:color="666666"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55">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2"/>
                <w:szCs w:val="22"/>
                <w:u w:val="none"/>
              </w:rPr>
            </w:pPr>
            <w:r w:rsidDel="00000000" w:rsidR="00000000" w:rsidRPr="00000000">
              <w:rPr>
                <w:rFonts w:ascii="Helvetica Neue" w:cs="Helvetica Neue" w:eastAsia="Helvetica Neue" w:hAnsi="Helvetica Neue"/>
                <w:b w:val="0"/>
                <w:i w:val="0"/>
                <w:color w:val="666666"/>
                <w:sz w:val="22"/>
                <w:szCs w:val="22"/>
                <w:u w:val="none"/>
                <w:rtl w:val="0"/>
              </w:rPr>
              <w:t xml:space="preserve">Std Error</w:t>
            </w:r>
          </w:p>
        </w:tc>
        <w:tc>
          <w:tcPr>
            <w:tcBorders>
              <w:top w:color="666666" w:space="0" w:sz="6" w:val="single"/>
              <w:left w:color="000000" w:space="0" w:sz="0" w:val="nil"/>
              <w:bottom w:color="666666"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56">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2"/>
                <w:szCs w:val="22"/>
                <w:u w:val="none"/>
              </w:rPr>
            </w:pPr>
            <w:r w:rsidDel="00000000" w:rsidR="00000000" w:rsidRPr="00000000">
              <w:rPr>
                <w:rFonts w:ascii="Helvetica Neue" w:cs="Helvetica Neue" w:eastAsia="Helvetica Neue" w:hAnsi="Helvetica Neue"/>
                <w:b w:val="0"/>
                <w:i w:val="0"/>
                <w:color w:val="666666"/>
                <w:sz w:val="22"/>
                <w:szCs w:val="22"/>
                <w:u w:val="none"/>
                <w:rtl w:val="0"/>
              </w:rPr>
              <w:t xml:space="preserve">t-value</w:t>
            </w:r>
          </w:p>
        </w:tc>
        <w:tc>
          <w:tcPr>
            <w:tcBorders>
              <w:top w:color="666666" w:space="0" w:sz="6" w:val="single"/>
              <w:left w:color="000000" w:space="0" w:sz="0" w:val="nil"/>
              <w:bottom w:color="666666"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57">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2"/>
                <w:szCs w:val="22"/>
                <w:u w:val="none"/>
              </w:rPr>
            </w:pPr>
            <w:r w:rsidDel="00000000" w:rsidR="00000000" w:rsidRPr="00000000">
              <w:rPr>
                <w:rFonts w:ascii="Helvetica Neue" w:cs="Helvetica Neue" w:eastAsia="Helvetica Neue" w:hAnsi="Helvetica Neue"/>
                <w:b w:val="0"/>
                <w:i w:val="0"/>
                <w:color w:val="666666"/>
                <w:sz w:val="22"/>
                <w:szCs w:val="22"/>
                <w:u w:val="none"/>
                <w:rtl w:val="0"/>
              </w:rPr>
              <w:t xml:space="preserve">p-value</w:t>
            </w:r>
          </w:p>
        </w:tc>
        <w:tc>
          <w:tcPr>
            <w:tcBorders>
              <w:top w:color="666666" w:space="0" w:sz="6" w:val="single"/>
              <w:left w:color="000000" w:space="0" w:sz="0" w:val="nil"/>
              <w:bottom w:color="666666"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58">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2"/>
                <w:szCs w:val="22"/>
                <w:u w:val="none"/>
              </w:rPr>
            </w:pPr>
            <w:r w:rsidDel="00000000" w:rsidR="00000000" w:rsidRPr="00000000">
              <w:rPr>
                <w:rtl w:val="0"/>
              </w:rPr>
            </w:r>
          </w:p>
        </w:tc>
      </w:tr>
      <w:tr>
        <w:trPr>
          <w:cantSplit w:val="0"/>
          <w:trHeight w:val="510" w:hRule="atLeast"/>
          <w:tblHeader w:val="0"/>
        </w:trPr>
        <w:tc>
          <w:tcPr>
            <w:vMerge w:val="restart"/>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59">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A. parametric coefficients</w:t>
            </w:r>
          </w:p>
        </w:tc>
        <w:tc>
          <w:tcPr>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5A">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(Intercept)</w:t>
            </w:r>
          </w:p>
        </w:tc>
        <w:tc>
          <w:tcPr>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5B">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8.478</w:t>
            </w:r>
          </w:p>
        </w:tc>
        <w:tc>
          <w:tcPr>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5C">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0.160</w:t>
            </w:r>
          </w:p>
        </w:tc>
        <w:tc>
          <w:tcPr>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5D">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52.898</w:t>
            </w:r>
          </w:p>
        </w:tc>
        <w:tc>
          <w:tcPr>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5E">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5F">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513" w:hRule="atLeast"/>
          <w:tblHeader w:val="0"/>
        </w:trPr>
        <w:tc>
          <w:tcPr>
            <w:vMerge w:val="continue"/>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61">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LeafHabitEvergreen</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62">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-0.983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63">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0.009</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64">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-103.853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65">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66">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512" w:hRule="atLeast"/>
          <w:tblHeader w:val="0"/>
        </w:trPr>
        <w:tc>
          <w:tcPr>
            <w:vMerge w:val="continue"/>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68">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PLOT_G.sppQ. alba</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69">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-1.618</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6A">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0.009</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6B">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-170.867</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6C">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6D">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512" w:hRule="atLeast"/>
          <w:tblHeader w:val="0"/>
        </w:trPr>
        <w:tc>
          <w:tcPr>
            <w:vMerge w:val="continue"/>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6F">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PLOT_G.sppQ. bicolor</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70">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-2.011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71">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0.010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72">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-211.428</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73">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74">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512" w:hRule="atLeast"/>
          <w:tblHeader w:val="0"/>
        </w:trPr>
        <w:tc>
          <w:tcPr>
            <w:vMerge w:val="continue"/>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76">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PLOT_G.sppP. abies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77">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-0.373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78">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0.009</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79">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-39.404</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7A">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7B">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512" w:hRule="atLeast"/>
          <w:tblHeader w:val="0"/>
        </w:trPr>
        <w:tc>
          <w:tcPr>
            <w:vMerge w:val="continue"/>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7D">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PLOT_G.sppP. strobus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7E">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7F">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80">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81">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82">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r>
      <w:tr>
        <w:trPr>
          <w:cantSplit w:val="0"/>
          <w:trHeight w:val="510" w:hRule="atLeast"/>
          <w:tblHeader w:val="0"/>
        </w:trPr>
        <w:tc>
          <w:tcPr>
            <w:vMerge w:val="continue"/>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84">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GenusCortinarius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85">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-1.761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86">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0.013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87">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-131.589</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88">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89">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513" w:hRule="atLeast"/>
          <w:tblHeader w:val="0"/>
        </w:trPr>
        <w:tc>
          <w:tcPr>
            <w:vMerge w:val="continue"/>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8B">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GenusElaphomyces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8C">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-1.071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8D">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0.013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8E">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-80.068</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8F">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90">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515" w:hRule="atLeast"/>
          <w:tblHeader w:val="0"/>
        </w:trPr>
        <w:tc>
          <w:tcPr>
            <w:vMerge w:val="continue"/>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92">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GenusHygrophorus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93">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-2.223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94">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0.013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95">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-166.094</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96">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97">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513" w:hRule="atLeast"/>
          <w:tblHeader w:val="0"/>
        </w:trPr>
        <w:tc>
          <w:tcPr>
            <w:vMerge w:val="continue"/>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99">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GenusInocybe</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9A">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0.270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9B">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0.013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9C">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20.206</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9D">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9E">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510" w:hRule="atLeast"/>
          <w:tblHeader w:val="0"/>
        </w:trPr>
        <w:tc>
          <w:tcPr>
            <w:vMerge w:val="continue"/>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A0">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GenusRussula</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A1">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0.802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A2">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0.013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A3">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59.924</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A4">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A5">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510" w:hRule="atLeast"/>
          <w:tblHeader w:val="0"/>
        </w:trPr>
        <w:tc>
          <w:tcPr>
            <w:vMerge w:val="continue"/>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A7">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GenusSebacina</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A8">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-0.581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A9">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0.013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AA">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-43.418</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AB">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AC">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510" w:hRule="atLeast"/>
          <w:tblHeader w:val="0"/>
        </w:trPr>
        <w:tc>
          <w:tcPr>
            <w:vMerge w:val="continue"/>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AE">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GenusTomentella</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AF">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0.164</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B0">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0.013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B1">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12.283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B2">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B3">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510" w:hRule="atLeast"/>
          <w:tblHeader w:val="0"/>
        </w:trPr>
        <w:tc>
          <w:tcPr>
            <w:vMerge w:val="continue"/>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B5">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GenusTuber</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B6">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0.208</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B7">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0.013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B8">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15.569</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B9">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BA">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510" w:hRule="atLeast"/>
          <w:tblHeader w:val="0"/>
        </w:trPr>
        <w:tc>
          <w:tcPr>
            <w:vMerge w:val="continue"/>
            <w:tcBorders>
              <w:top w:color="666666" w:space="0" w:sz="6"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BC">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GenusWilcoxina</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BD">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-0.934</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BE">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0.013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BF">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-69.834</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C0">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C1">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512"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C2">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Component</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C3">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Term</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C4">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edf</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C5">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Ref. df</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C6">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F-value</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C7">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C8">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r>
      <w:tr>
        <w:trPr>
          <w:cantSplit w:val="0"/>
          <w:trHeight w:val="512" w:hRule="atLeast"/>
          <w:tblHeader w:val="0"/>
        </w:trPr>
        <w:tc>
          <w:tcPr>
            <w:vMerge w:val="restart"/>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C9">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B. smooth terms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CA">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s(WEEK):GenusAmphinema</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CB">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5.892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CC">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6.000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CD">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405.531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CE">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CF">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511" w:hRule="atLeast"/>
          <w:tblHeader w:val="0"/>
        </w:trPr>
        <w:tc>
          <w:tcPr>
            <w:vMerge w:val="continue"/>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D1">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s(WEEK):GenusCortinarius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D2">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5.962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D3">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6.000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D4">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345.024</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D5">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D6">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513" w:hRule="atLeast"/>
          <w:tblHeader w:val="0"/>
        </w:trPr>
        <w:tc>
          <w:tcPr>
            <w:vMerge w:val="continue"/>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D8">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s(WEEK):GenusElaphomyces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D9">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5.682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DA">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6.000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DB">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144.928</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DC">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DD">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515" w:hRule="atLeast"/>
          <w:tblHeader w:val="0"/>
        </w:trPr>
        <w:tc>
          <w:tcPr>
            <w:vMerge w:val="continue"/>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DF">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s(WEEK):GenusHygrophorus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E0">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5.940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E1">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6.000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E2">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90.586</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E3">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E4">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513" w:hRule="atLeast"/>
          <w:tblHeader w:val="0"/>
        </w:trPr>
        <w:tc>
          <w:tcPr>
            <w:vMerge w:val="continue"/>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E6">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s(WEEK):GenusInocybe</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E7">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5.868</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E8">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6.000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E9">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102.133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EA">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EB">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511" w:hRule="atLeast"/>
          <w:tblHeader w:val="0"/>
        </w:trPr>
        <w:tc>
          <w:tcPr>
            <w:vMerge w:val="continue"/>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ED">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s(WEEK):GenusRussula</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EE">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4.767</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EF">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6.000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F0">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27.953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F1">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F2">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511" w:hRule="atLeast"/>
          <w:tblHeader w:val="0"/>
        </w:trPr>
        <w:tc>
          <w:tcPr>
            <w:vMerge w:val="continue"/>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F4">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s(WEEK):GenusSebacina</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F5">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5.930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F6">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6.000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F7">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138.949</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F8">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F9">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511" w:hRule="atLeast"/>
          <w:tblHeader w:val="0"/>
        </w:trPr>
        <w:tc>
          <w:tcPr>
            <w:vMerge w:val="continue"/>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FB">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s(WEEK):GenusTomentella</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FC">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4.980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FD">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6.000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FE">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255.673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FF">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300">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511" w:hRule="atLeast"/>
          <w:tblHeader w:val="0"/>
        </w:trPr>
        <w:tc>
          <w:tcPr>
            <w:vMerge w:val="continue"/>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302">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s(WEEK):GenusTuber</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303">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5.861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304">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6.000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305">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991.201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306">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307">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511" w:hRule="atLeast"/>
          <w:tblHeader w:val="0"/>
        </w:trPr>
        <w:tc>
          <w:tcPr>
            <w:vMerge w:val="continue"/>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309">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s(WEEK):GenusWilcoxina</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30A">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5.803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30B">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6.000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30C">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1,935.200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30D">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30E">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513" w:hRule="atLeast"/>
          <w:tblHeader w:val="0"/>
        </w:trPr>
        <w:tc>
          <w:tcPr>
            <w:vMerge w:val="continue"/>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310">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t2(Temp1_7d_avg,Moisture1_7d_avg)</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311">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0.009</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312">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8.000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313">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0.000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314">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1.000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315">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   </w:t>
            </w:r>
          </w:p>
        </w:tc>
      </w:tr>
      <w:tr>
        <w:trPr>
          <w:cantSplit w:val="0"/>
          <w:trHeight w:val="511" w:hRule="atLeast"/>
          <w:tblHeader w:val="0"/>
        </w:trPr>
        <w:tc>
          <w:tcPr>
            <w:vMerge w:val="continue"/>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color w:val="666666"/>
                <w:sz w:val="20"/>
                <w:szCs w:val="2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317">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s(SUBPLOT)</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318">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4.998</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319">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5.000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31A">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2,825.776</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31B">
            <w:pPr>
              <w:pBdr>
                <w:top w:color="000000" w:space="0" w:sz="0" w:val="none"/>
                <w:left w:color="000000" w:space="0" w:sz="0" w:val="none"/>
                <w:bottom w:color="000000" w:space="0" w:sz="0" w:val="none"/>
                <w:right w:color="000000" w:space="0" w:sz="0" w:val="none"/>
              </w:pBdr>
              <w:spacing w:after="60" w:before="60" w:line="240" w:lineRule="auto"/>
              <w:ind w:left="60" w:right="60" w:firstLine="0"/>
              <w:jc w:val="righ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&lt; 0.001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31C">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0"/>
                <w:szCs w:val="20"/>
                <w:u w:val="none"/>
              </w:rPr>
            </w:pPr>
            <w:r w:rsidDel="00000000" w:rsidR="00000000" w:rsidRPr="00000000">
              <w:rPr>
                <w:rFonts w:ascii="Helvetica Neue" w:cs="Helvetica Neue" w:eastAsia="Helvetica Neue" w:hAnsi="Helvetica Neue"/>
                <w:b w:val="0"/>
                <w:i w:val="0"/>
                <w:color w:val="666666"/>
                <w:sz w:val="20"/>
                <w:szCs w:val="20"/>
                <w:u w:val="none"/>
                <w:rtl w:val="0"/>
              </w:rPr>
              <w:t xml:space="preserve">***</w:t>
            </w:r>
          </w:p>
        </w:tc>
      </w:tr>
      <w:tr>
        <w:trPr>
          <w:cantSplit w:val="0"/>
          <w:trHeight w:val="360" w:hRule="atLeast"/>
          <w:tblHeader w:val="0"/>
        </w:trPr>
        <w:tc>
          <w:tcPr>
            <w:gridSpan w:val="7"/>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31D">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2"/>
                <w:szCs w:val="22"/>
                <w:u w:val="none"/>
              </w:rPr>
            </w:pPr>
            <w:r w:rsidDel="00000000" w:rsidR="00000000" w:rsidRPr="00000000">
              <w:rPr>
                <w:rFonts w:ascii="Helvetica Neue" w:cs="Helvetica Neue" w:eastAsia="Helvetica Neue" w:hAnsi="Helvetica Neue"/>
                <w:b w:val="0"/>
                <w:i w:val="0"/>
                <w:color w:val="666666"/>
                <w:sz w:val="22"/>
                <w:szCs w:val="22"/>
                <w:u w:val="none"/>
                <w:rtl w:val="0"/>
              </w:rPr>
              <w:t xml:space="preserve">Signif. codes: 0 &lt;= '***' &lt; 0.001 &lt; '**' &lt; 0.01 &lt; '*' &lt; 0.05</w:t>
            </w:r>
          </w:p>
        </w:tc>
      </w:tr>
      <w:tr>
        <w:trPr>
          <w:cantSplit w:val="0"/>
          <w:trHeight w:val="360" w:hRule="atLeast"/>
          <w:tblHeader w:val="0"/>
        </w:trPr>
        <w:tc>
          <w:tcPr>
            <w:gridSpan w:val="7"/>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324">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2"/>
                <w:szCs w:val="22"/>
                <w:u w:val="none"/>
              </w:rPr>
            </w:pPr>
            <w:r w:rsidDel="00000000" w:rsidR="00000000" w:rsidRPr="00000000">
              <w:rPr>
                <w:rtl w:val="0"/>
              </w:rPr>
            </w:r>
          </w:p>
        </w:tc>
      </w:tr>
      <w:tr>
        <w:trPr>
          <w:cantSplit w:val="0"/>
          <w:trHeight w:val="360" w:hRule="atLeast"/>
          <w:tblHeader w:val="0"/>
        </w:trPr>
        <w:tc>
          <w:tcPr>
            <w:gridSpan w:val="7"/>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32B">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2"/>
                <w:szCs w:val="22"/>
                <w:u w:val="none"/>
              </w:rPr>
            </w:pPr>
            <w:r w:rsidDel="00000000" w:rsidR="00000000" w:rsidRPr="00000000">
              <w:rPr>
                <w:rFonts w:ascii="Helvetica Neue" w:cs="Helvetica Neue" w:eastAsia="Helvetica Neue" w:hAnsi="Helvetica Neue"/>
                <w:b w:val="0"/>
                <w:i w:val="0"/>
                <w:color w:val="666666"/>
                <w:sz w:val="22"/>
                <w:szCs w:val="22"/>
                <w:u w:val="none"/>
                <w:rtl w:val="0"/>
              </w:rPr>
              <w:t xml:space="preserve">Adjusted R-squared: -0.495, Deviance explained 0.100</w:t>
            </w:r>
          </w:p>
        </w:tc>
      </w:tr>
      <w:tr>
        <w:trPr>
          <w:cantSplit w:val="0"/>
          <w:trHeight w:val="360" w:hRule="atLeast"/>
          <w:tblHeader w:val="0"/>
        </w:trPr>
        <w:tc>
          <w:tcPr>
            <w:gridSpan w:val="7"/>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332">
            <w:pPr>
              <w:pBdr>
                <w:top w:color="000000" w:space="0" w:sz="0" w:val="none"/>
                <w:left w:color="000000" w:space="0" w:sz="0" w:val="none"/>
                <w:bottom w:color="000000" w:space="0" w:sz="0" w:val="none"/>
                <w:right w:color="000000" w:space="0" w:sz="0" w:val="none"/>
              </w:pBdr>
              <w:spacing w:after="60" w:before="60" w:line="240" w:lineRule="auto"/>
              <w:ind w:left="60" w:right="60" w:firstLine="0"/>
              <w:jc w:val="left"/>
              <w:rPr>
                <w:rFonts w:ascii="Helvetica Neue" w:cs="Helvetica Neue" w:eastAsia="Helvetica Neue" w:hAnsi="Helvetica Neue"/>
                <w:b w:val="0"/>
                <w:i w:val="0"/>
                <w:color w:val="666666"/>
                <w:sz w:val="22"/>
                <w:szCs w:val="22"/>
                <w:u w:val="none"/>
              </w:rPr>
            </w:pPr>
            <w:r w:rsidDel="00000000" w:rsidR="00000000" w:rsidRPr="00000000">
              <w:rPr>
                <w:rFonts w:ascii="Helvetica Neue" w:cs="Helvetica Neue" w:eastAsia="Helvetica Neue" w:hAnsi="Helvetica Neue"/>
                <w:b w:val="0"/>
                <w:i w:val="0"/>
                <w:color w:val="666666"/>
                <w:sz w:val="22"/>
                <w:szCs w:val="22"/>
                <w:u w:val="none"/>
                <w:rtl w:val="0"/>
              </w:rPr>
              <w:t xml:space="preserve">fREML : 937182.044, Scale est: 1.000, N: 702250</w:t>
            </w:r>
          </w:p>
        </w:tc>
      </w:tr>
    </w:tbl>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5054600"/>
            <wp:effectExtent b="0" l="0" r="0" t="0"/>
            <wp:docPr id="3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33B">
      <w:pPr>
        <w:pStyle w:val="Heading3"/>
        <w:spacing w:after="180" w:before="180" w:lineRule="auto"/>
        <w:rPr>
          <w:rFonts w:ascii="Arial" w:cs="Arial" w:eastAsia="Arial" w:hAnsi="Arial"/>
          <w:color w:val="000000"/>
          <w:sz w:val="20"/>
          <w:szCs w:val="20"/>
          <w:vertAlign w:val="baseline"/>
        </w:rPr>
      </w:pPr>
      <w:bookmarkStart w:colFirst="0" w:colLast="0" w:name="_heading=h.srjtezhp2fj6" w:id="13"/>
      <w:bookmarkEnd w:id="13"/>
      <w:r w:rsidDel="00000000" w:rsidR="00000000" w:rsidRPr="00000000">
        <w:rPr>
          <w:rFonts w:ascii="Arial" w:cs="Arial" w:eastAsia="Arial" w:hAnsi="Arial"/>
          <w:b w:val="1"/>
          <w:color w:val="000000"/>
          <w:sz w:val="20"/>
          <w:szCs w:val="20"/>
          <w:vertAlign w:val="baseline"/>
          <w:rtl w:val="0"/>
        </w:rPr>
        <w:t xml:space="preserve">Fig. S</w:t>
      </w:r>
      <w:r w:rsidDel="00000000" w:rsidR="00000000" w:rsidRPr="00000000">
        <w:rPr>
          <w:rFonts w:ascii="Arial" w:cs="Arial" w:eastAsia="Arial" w:hAnsi="Arial"/>
          <w:b w:val="1"/>
          <w:color w:val="000000"/>
          <w:sz w:val="20"/>
          <w:szCs w:val="20"/>
          <w:rtl w:val="0"/>
        </w:rPr>
        <w:t xml:space="preserve">4</w:t>
      </w:r>
      <w:r w:rsidDel="00000000" w:rsidR="00000000" w:rsidRPr="00000000">
        <w:rPr>
          <w:rFonts w:ascii="Arial" w:cs="Arial" w:eastAsia="Arial" w:hAnsi="Arial"/>
          <w:color w:val="000000"/>
          <w:sz w:val="20"/>
          <w:szCs w:val="20"/>
          <w:vertAlign w:val="baseline"/>
          <w:rtl w:val="0"/>
        </w:rPr>
        <w:t xml:space="preserve"> Phenology of each ectomycorrhizal fungal genus for each of five temperate monodominant forest stands, color coded by fungal genus. Lines show smooth loess curves (n = 6) across mean values among subplots ± 1 SE per sampling date. Dates (week of year) indicate approximately monthly sampling times throughout the year 2023, with nine dates in total.</w:t>
      </w:r>
    </w:p>
    <w:p w:rsidR="00000000" w:rsidDel="00000000" w:rsidP="00000000" w:rsidRDefault="00000000" w:rsidRPr="00000000" w14:paraId="0000033C">
      <w:pPr>
        <w:rPr>
          <w:rFonts w:ascii="Aptos" w:cs="Aptos" w:eastAsia="Aptos" w:hAnsi="Apto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3D">
      <w:pPr>
        <w:pStyle w:val="Heading3"/>
        <w:jc w:val="center"/>
        <w:rPr>
          <w:b w:val="1"/>
          <w:color w:val="000000"/>
          <w:sz w:val="20"/>
          <w:szCs w:val="20"/>
        </w:rPr>
      </w:pPr>
      <w:bookmarkStart w:colFirst="0" w:colLast="0" w:name="_heading=h.mq05in3cfdtc" w:id="14"/>
      <w:bookmarkEnd w:id="14"/>
      <w:r w:rsidDel="00000000" w:rsidR="00000000" w:rsidRPr="00000000">
        <w:rPr>
          <w:b w:val="1"/>
          <w:color w:val="000000"/>
          <w:sz w:val="20"/>
          <w:szCs w:val="20"/>
        </w:rPr>
        <w:drawing>
          <wp:inline distB="114300" distT="114300" distL="114300" distR="114300">
            <wp:extent cx="4786313" cy="4471827"/>
            <wp:effectExtent b="0" l="0" r="0" t="0"/>
            <wp:docPr id="3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86313" cy="4471827"/>
                    </a:xfrm>
                    <a:prstGeom prst="rect"/>
                    <a:ln/>
                  </pic:spPr>
                </pic:pic>
              </a:graphicData>
            </a:graphic>
          </wp:inline>
        </w:drawing>
      </w:r>
      <w:r w:rsidDel="00000000" w:rsidR="00000000" w:rsidRPr="00000000">
        <w:rPr>
          <w:rtl w:val="0"/>
        </w:rPr>
      </w:r>
    </w:p>
    <w:p w:rsidR="00000000" w:rsidDel="00000000" w:rsidP="00000000" w:rsidRDefault="00000000" w:rsidRPr="00000000" w14:paraId="0000033E">
      <w:pPr>
        <w:pStyle w:val="Heading3"/>
        <w:rPr>
          <w:color w:val="000000"/>
          <w:sz w:val="20"/>
          <w:szCs w:val="20"/>
        </w:rPr>
      </w:pPr>
      <w:bookmarkStart w:colFirst="0" w:colLast="0" w:name="_heading=h.wgfjpyyirt9h" w:id="15"/>
      <w:bookmarkEnd w:id="15"/>
      <w:r w:rsidDel="00000000" w:rsidR="00000000" w:rsidRPr="00000000">
        <w:rPr>
          <w:b w:val="1"/>
          <w:color w:val="000000"/>
          <w:sz w:val="20"/>
          <w:szCs w:val="20"/>
          <w:rtl w:val="0"/>
        </w:rPr>
        <w:t xml:space="preserve">Fig. S5 </w:t>
      </w:r>
      <w:r w:rsidDel="00000000" w:rsidR="00000000" w:rsidRPr="00000000">
        <w:rPr>
          <w:color w:val="000000"/>
          <w:sz w:val="20"/>
          <w:szCs w:val="20"/>
          <w:rtl w:val="0"/>
        </w:rPr>
        <w:t xml:space="preserve">Phenology by ECM genus and plot</w:t>
      </w:r>
    </w:p>
    <w:p w:rsidR="00000000" w:rsidDel="00000000" w:rsidP="00000000" w:rsidRDefault="00000000" w:rsidRPr="00000000" w14:paraId="0000033F">
      <w:pPr>
        <w:rPr/>
      </w:pPr>
      <w:r w:rsidDel="00000000" w:rsidR="00000000" w:rsidRPr="00000000">
        <w:br w:type="page"/>
      </w: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spacing w:after="0" w:line="360"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852863" cy="3105753"/>
            <wp:effectExtent b="0" l="0" r="0" t="0"/>
            <wp:docPr id="3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852863" cy="3105753"/>
                    </a:xfrm>
                    <a:prstGeom prst="rect"/>
                    <a:ln/>
                  </pic:spPr>
                </pic:pic>
              </a:graphicData>
            </a:graphic>
          </wp:inline>
        </w:drawing>
      </w:r>
      <w:r w:rsidDel="00000000" w:rsidR="00000000" w:rsidRPr="00000000">
        <w:rPr>
          <w:rtl w:val="0"/>
        </w:rPr>
      </w:r>
    </w:p>
    <w:p w:rsidR="00000000" w:rsidDel="00000000" w:rsidP="00000000" w:rsidRDefault="00000000" w:rsidRPr="00000000" w14:paraId="00000342">
      <w:pPr>
        <w:pStyle w:val="Heading3"/>
        <w:spacing w:before="280" w:line="360" w:lineRule="auto"/>
        <w:rPr>
          <w:rFonts w:ascii="Arial" w:cs="Arial" w:eastAsia="Arial" w:hAnsi="Arial"/>
          <w:color w:val="000000"/>
          <w:sz w:val="20"/>
          <w:szCs w:val="20"/>
        </w:rPr>
      </w:pPr>
      <w:bookmarkStart w:colFirst="0" w:colLast="0" w:name="_heading=h.j7p0t0qewkdo" w:id="16"/>
      <w:bookmarkEnd w:id="16"/>
      <w:r w:rsidDel="00000000" w:rsidR="00000000" w:rsidRPr="00000000">
        <w:rPr>
          <w:rFonts w:ascii="Arial" w:cs="Arial" w:eastAsia="Arial" w:hAnsi="Arial"/>
          <w:b w:val="1"/>
          <w:color w:val="000000"/>
          <w:sz w:val="20"/>
          <w:szCs w:val="20"/>
          <w:rtl w:val="0"/>
        </w:rPr>
        <w:t xml:space="preserve">Fig. S6</w:t>
      </w:r>
      <w:r w:rsidDel="00000000" w:rsidR="00000000" w:rsidRPr="00000000">
        <w:rPr>
          <w:rFonts w:ascii="Arial" w:cs="Arial" w:eastAsia="Arial" w:hAnsi="Arial"/>
          <w:color w:val="000000"/>
          <w:sz w:val="20"/>
          <w:szCs w:val="20"/>
          <w:rtl w:val="0"/>
        </w:rPr>
        <w:t xml:space="preserve"> Phase diagram using Principal Component Analysis (PCA) ordination coordinates of ectomycorrhizal community composition across five temperate host tree forest stands. Colors show approximately monthly sampling sessions, totaling nine time points. Ellipses show centroids and dispersion among points.</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link w:val="TitleChar"/>
    <w:uiPriority w:val="10"/>
    <w:qFormat w:val="1"/>
    <w:rsid w:val="00A10FD9"/>
    <w:pPr>
      <w:spacing w:after="80" w:line="240" w:lineRule="auto"/>
      <w:contextualSpacing w:val="1"/>
      <w:jc w:val="center"/>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type="paragraph" w:styleId="Subtitle">
    <w:name w:val="Subtitle"/>
    <w:basedOn w:val="Normal"/>
    <w:next w:val="BodyText"/>
    <w:link w:val="SubtitleChar"/>
    <w:uiPriority w:val="11"/>
    <w:qFormat w:val="1"/>
    <w:rsid w:val="00A10FD9"/>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A10FD9"/>
    <w:rPr>
      <w:rFonts w:cstheme="majorBidi" w:eastAsiaTheme="majorEastAsia"/>
      <w:color w:val="595959" w:themeColor="text1" w:themeTint="0000A6"/>
      <w:spacing w:val="15"/>
      <w:sz w:val="28"/>
      <w:szCs w:val="28"/>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Title" w:customStyle="1">
    <w:name w:val="Abstract Title"/>
    <w:basedOn w:val="Normal"/>
    <w:next w:val="Abstract"/>
    <w:qFormat w:val="1"/>
    <w:pPr>
      <w:keepNext w:val="1"/>
      <w:keepLines w:val="1"/>
      <w:spacing w:after="0" w:before="300"/>
      <w:jc w:val="center"/>
    </w:pPr>
    <w:rPr>
      <w:b w:val="1"/>
      <w:color w:val="345a8a"/>
      <w:sz w:val="20"/>
      <w:szCs w:val="20"/>
    </w:rPr>
  </w:style>
  <w:style w:type="paragraph" w:styleId="Abstract" w:customStyle="1">
    <w:name w:val="Abstract"/>
    <w:basedOn w:val="Normal"/>
    <w:next w:val="BodyText"/>
    <w:qFormat w:val="1"/>
    <w:pPr>
      <w:keepNext w:val="1"/>
      <w:keepLines w:val="1"/>
      <w:spacing w:after="300" w:before="1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link w:val="Heading1Char"/>
    <w:uiPriority w:val="9"/>
    <w:qFormat w:val="1"/>
    <w:rsid w:val="00A10FD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BodyText"/>
    <w:link w:val="Heading2Char"/>
    <w:uiPriority w:val="9"/>
    <w:semiHidden w:val="1"/>
    <w:unhideWhenUsed w:val="1"/>
    <w:qFormat w:val="1"/>
    <w:rsid w:val="00A10FD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BodyText"/>
    <w:link w:val="Heading3Char"/>
    <w:uiPriority w:val="9"/>
    <w:semiHidden w:val="1"/>
    <w:unhideWhenUsed w:val="1"/>
    <w:qFormat w:val="1"/>
    <w:rsid w:val="00A10FD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BodyText"/>
    <w:link w:val="Heading4Char"/>
    <w:uiPriority w:val="9"/>
    <w:semiHidden w:val="1"/>
    <w:unhideWhenUsed w:val="1"/>
    <w:qFormat w:val="1"/>
    <w:rsid w:val="00A10FD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BodyText"/>
    <w:link w:val="Heading5Char"/>
    <w:uiPriority w:val="9"/>
    <w:semiHidden w:val="1"/>
    <w:unhideWhenUsed w:val="1"/>
    <w:qFormat w:val="1"/>
    <w:rsid w:val="00A10FD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BodyText"/>
    <w:link w:val="Heading6Char"/>
    <w:uiPriority w:val="9"/>
    <w:semiHidden w:val="1"/>
    <w:unhideWhenUsed w:val="1"/>
    <w:qFormat w:val="1"/>
    <w:rsid w:val="00A10FD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BodyText"/>
    <w:link w:val="Heading7Char"/>
    <w:uiPriority w:val="9"/>
    <w:semiHidden w:val="1"/>
    <w:unhideWhenUsed w:val="1"/>
    <w:qFormat w:val="1"/>
    <w:rsid w:val="00A10FD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BodyText"/>
    <w:link w:val="Heading8Char"/>
    <w:uiPriority w:val="9"/>
    <w:semiHidden w:val="1"/>
    <w:unhideWhenUsed w:val="1"/>
    <w:qFormat w:val="1"/>
    <w:rsid w:val="00A10FD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BodyText"/>
    <w:link w:val="Heading9Char"/>
    <w:uiPriority w:val="9"/>
    <w:semiHidden w:val="1"/>
    <w:unhideWhenUsed w:val="1"/>
    <w:qFormat w:val="1"/>
    <w:rsid w:val="00A10FD9"/>
    <w:pPr>
      <w:keepNext w:val="1"/>
      <w:keepLines w:val="1"/>
      <w:spacing w:after="0"/>
      <w:outlineLvl w:val="8"/>
    </w:pPr>
    <w:rPr>
      <w:rFonts w:cstheme="majorBidi" w:eastAsiaTheme="majorEastAsia"/>
      <w:color w:val="272727" w:themeColor="text1" w:themeTint="0000D8"/>
    </w:rPr>
  </w:style>
  <w:style w:type="character" w:styleId="Heading1Char" w:customStyle="1">
    <w:name w:val="Heading 1 Char"/>
    <w:basedOn w:val="DefaultParagraphFont"/>
    <w:link w:val="Heading1"/>
    <w:uiPriority w:val="9"/>
    <w:rsid w:val="00A10FD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10FD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10FD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10FD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10FD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10FD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10FD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10FD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10FD9"/>
    <w:rPr>
      <w:rFonts w:cstheme="majorBidi" w:eastAsiaTheme="majorEastAsia"/>
      <w:color w:val="272727" w:themeColor="text1" w:themeTint="0000D8"/>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paragraph" w:styleId="FootnoteBlockText">
    <w:name w:val="Footnote Block Text"/>
    <w:basedOn w:val="FootnoteText"/>
    <w:next w:val="FootnoteText"/>
    <w:uiPriority w:val="9"/>
    <w:unhideWhenUsed w:val="1"/>
    <w:qFormat w:val="1"/>
    <w:pPr>
      <w:spacing w:after="100" w:before="100"/>
      <w:ind w:left="480" w:right="480" w:firstLine="0"/>
    </w:pPr>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shd w:fill="f1f3f5" w:val="clear"/>
      <w:wordWrap w:val="0"/>
    </w:pPr>
  </w:style>
  <w:style w:type="character" w:styleId="KeywordTok" w:customStyle="1">
    <w:name w:val="KeywordTok"/>
    <w:basedOn w:val="VerbatimChar"/>
    <w:rPr>
      <w:b w:val="1"/>
      <w:color w:val="003b4f"/>
      <w:shd w:fill="f1f3f5" w:val="clear"/>
    </w:rPr>
  </w:style>
  <w:style w:type="character" w:styleId="DataTypeTok" w:customStyle="1">
    <w:name w:val="DataTypeTok"/>
    <w:basedOn w:val="VerbatimChar"/>
    <w:rPr>
      <w:color w:val="ad0000"/>
      <w:shd w:fill="f1f3f5" w:val="clear"/>
    </w:rPr>
  </w:style>
  <w:style w:type="character" w:styleId="DecValTok" w:customStyle="1">
    <w:name w:val="DecValTok"/>
    <w:basedOn w:val="VerbatimChar"/>
    <w:rPr>
      <w:color w:val="ad0000"/>
      <w:shd w:fill="f1f3f5" w:val="clear"/>
    </w:rPr>
  </w:style>
  <w:style w:type="character" w:styleId="BaseNTok" w:customStyle="1">
    <w:name w:val="BaseNTok"/>
    <w:basedOn w:val="VerbatimChar"/>
    <w:rPr>
      <w:color w:val="ad0000"/>
      <w:shd w:fill="f1f3f5" w:val="clear"/>
    </w:rPr>
  </w:style>
  <w:style w:type="character" w:styleId="FloatTok" w:customStyle="1">
    <w:name w:val="FloatTok"/>
    <w:basedOn w:val="VerbatimChar"/>
    <w:rPr>
      <w:color w:val="ad0000"/>
      <w:shd w:fill="f1f3f5" w:val="clear"/>
    </w:rPr>
  </w:style>
  <w:style w:type="character" w:styleId="ConstantTok" w:customStyle="1">
    <w:name w:val="ConstantTok"/>
    <w:basedOn w:val="VerbatimChar"/>
    <w:rPr>
      <w:color w:val="8f5902"/>
      <w:shd w:fill="f1f3f5" w:val="clear"/>
    </w:rPr>
  </w:style>
  <w:style w:type="character" w:styleId="CharTok" w:customStyle="1">
    <w:name w:val="CharTok"/>
    <w:basedOn w:val="VerbatimChar"/>
    <w:rPr>
      <w:color w:val="20794d"/>
      <w:shd w:fill="f1f3f5" w:val="clear"/>
    </w:rPr>
  </w:style>
  <w:style w:type="character" w:styleId="SpecialCharTok" w:customStyle="1">
    <w:name w:val="SpecialCharTok"/>
    <w:basedOn w:val="VerbatimChar"/>
    <w:rPr>
      <w:color w:val="5e5e5e"/>
      <w:shd w:fill="f1f3f5" w:val="clear"/>
    </w:rPr>
  </w:style>
  <w:style w:type="character" w:styleId="StringTok" w:customStyle="1">
    <w:name w:val="StringTok"/>
    <w:basedOn w:val="VerbatimChar"/>
    <w:rPr>
      <w:color w:val="20794d"/>
      <w:shd w:fill="f1f3f5" w:val="clear"/>
    </w:rPr>
  </w:style>
  <w:style w:type="character" w:styleId="VerbatimStringTok" w:customStyle="1">
    <w:name w:val="VerbatimStringTok"/>
    <w:basedOn w:val="VerbatimChar"/>
    <w:rPr>
      <w:color w:val="20794d"/>
      <w:shd w:fill="f1f3f5" w:val="clear"/>
    </w:rPr>
  </w:style>
  <w:style w:type="character" w:styleId="SpecialStringTok" w:customStyle="1">
    <w:name w:val="SpecialStringTok"/>
    <w:basedOn w:val="VerbatimChar"/>
    <w:rPr>
      <w:color w:val="20794d"/>
      <w:shd w:fill="f1f3f5" w:val="clear"/>
    </w:rPr>
  </w:style>
  <w:style w:type="character" w:styleId="ImportTok" w:customStyle="1">
    <w:name w:val="ImportTok"/>
    <w:basedOn w:val="VerbatimChar"/>
    <w:rPr>
      <w:color w:val="00769e"/>
      <w:shd w:fill="f1f3f5" w:val="clear"/>
    </w:rPr>
  </w:style>
  <w:style w:type="character" w:styleId="CommentTok" w:customStyle="1">
    <w:name w:val="CommentTok"/>
    <w:basedOn w:val="VerbatimChar"/>
    <w:rPr>
      <w:color w:val="5e5e5e"/>
      <w:shd w:fill="f1f3f5" w:val="clear"/>
    </w:rPr>
  </w:style>
  <w:style w:type="character" w:styleId="DocumentationTok" w:customStyle="1">
    <w:name w:val="DocumentationTok"/>
    <w:basedOn w:val="VerbatimChar"/>
    <w:rPr>
      <w:i w:val="1"/>
      <w:color w:val="5e5e5e"/>
      <w:shd w:fill="f1f3f5" w:val="clear"/>
    </w:rPr>
  </w:style>
  <w:style w:type="character" w:styleId="AnnotationTok" w:customStyle="1">
    <w:name w:val="AnnotationTok"/>
    <w:basedOn w:val="VerbatimChar"/>
    <w:rPr>
      <w:color w:val="5e5e5e"/>
      <w:shd w:fill="f1f3f5" w:val="clear"/>
    </w:rPr>
  </w:style>
  <w:style w:type="character" w:styleId="CommentVarTok" w:customStyle="1">
    <w:name w:val="CommentVarTok"/>
    <w:basedOn w:val="VerbatimChar"/>
    <w:rPr>
      <w:i w:val="1"/>
      <w:color w:val="5e5e5e"/>
      <w:shd w:fill="f1f3f5" w:val="clear"/>
    </w:rPr>
  </w:style>
  <w:style w:type="character" w:styleId="OtherTok" w:customStyle="1">
    <w:name w:val="OtherTok"/>
    <w:basedOn w:val="VerbatimChar"/>
    <w:rPr>
      <w:color w:val="003b4f"/>
      <w:shd w:fill="f1f3f5" w:val="clear"/>
    </w:rPr>
  </w:style>
  <w:style w:type="character" w:styleId="FunctionTok" w:customStyle="1">
    <w:name w:val="FunctionTok"/>
    <w:basedOn w:val="VerbatimChar"/>
    <w:rPr>
      <w:color w:val="4758ab"/>
      <w:shd w:fill="f1f3f5" w:val="clear"/>
    </w:rPr>
  </w:style>
  <w:style w:type="character" w:styleId="VariableTok" w:customStyle="1">
    <w:name w:val="VariableTok"/>
    <w:basedOn w:val="VerbatimChar"/>
    <w:rPr>
      <w:color w:val="111111"/>
      <w:shd w:fill="f1f3f5" w:val="clear"/>
    </w:rPr>
  </w:style>
  <w:style w:type="character" w:styleId="ControlFlowTok" w:customStyle="1">
    <w:name w:val="ControlFlowTok"/>
    <w:basedOn w:val="VerbatimChar"/>
    <w:rPr>
      <w:b w:val="1"/>
      <w:color w:val="003b4f"/>
      <w:shd w:fill="f1f3f5" w:val="clear"/>
    </w:rPr>
  </w:style>
  <w:style w:type="character" w:styleId="OperatorTok" w:customStyle="1">
    <w:name w:val="OperatorTok"/>
    <w:basedOn w:val="VerbatimChar"/>
    <w:rPr>
      <w:color w:val="5e5e5e"/>
      <w:shd w:fill="f1f3f5" w:val="clear"/>
    </w:rPr>
  </w:style>
  <w:style w:type="character" w:styleId="BuiltInTok" w:customStyle="1">
    <w:name w:val="BuiltInTok"/>
    <w:basedOn w:val="VerbatimChar"/>
    <w:rPr>
      <w:color w:val="003b4f"/>
      <w:shd w:fill="f1f3f5" w:val="clear"/>
    </w:rPr>
  </w:style>
  <w:style w:type="character" w:styleId="ExtensionTok" w:customStyle="1">
    <w:name w:val="ExtensionTok"/>
    <w:basedOn w:val="VerbatimChar"/>
    <w:rPr>
      <w:color w:val="003b4f"/>
      <w:shd w:fill="f1f3f5" w:val="clear"/>
    </w:rPr>
  </w:style>
  <w:style w:type="character" w:styleId="PreprocessorTok" w:customStyle="1">
    <w:name w:val="PreprocessorTok"/>
    <w:basedOn w:val="VerbatimChar"/>
    <w:rPr>
      <w:color w:val="ad0000"/>
      <w:shd w:fill="f1f3f5" w:val="clear"/>
    </w:rPr>
  </w:style>
  <w:style w:type="character" w:styleId="AttributeTok" w:customStyle="1">
    <w:name w:val="AttributeTok"/>
    <w:basedOn w:val="VerbatimChar"/>
    <w:rPr>
      <w:color w:val="657422"/>
      <w:shd w:fill="f1f3f5" w:val="clear"/>
    </w:rPr>
  </w:style>
  <w:style w:type="character" w:styleId="RegionMarkerTok" w:customStyle="1">
    <w:name w:val="RegionMarkerTok"/>
    <w:basedOn w:val="VerbatimChar"/>
    <w:rPr>
      <w:color w:val="003b4f"/>
      <w:shd w:fill="f1f3f5" w:val="clear"/>
    </w:rPr>
  </w:style>
  <w:style w:type="character" w:styleId="InformationTok" w:customStyle="1">
    <w:name w:val="InformationTok"/>
    <w:basedOn w:val="VerbatimChar"/>
    <w:rPr>
      <w:color w:val="5e5e5e"/>
      <w:shd w:fill="f1f3f5" w:val="clear"/>
    </w:rPr>
  </w:style>
  <w:style w:type="character" w:styleId="WarningTok" w:customStyle="1">
    <w:name w:val="WarningTok"/>
    <w:basedOn w:val="VerbatimChar"/>
    <w:rPr>
      <w:i w:val="1"/>
      <w:color w:val="5e5e5e"/>
      <w:shd w:fill="f1f3f5" w:val="clear"/>
    </w:rPr>
  </w:style>
  <w:style w:type="character" w:styleId="AlertTok" w:customStyle="1">
    <w:name w:val="AlertTok"/>
    <w:basedOn w:val="VerbatimChar"/>
    <w:rPr>
      <w:color w:val="ad0000"/>
      <w:shd w:fill="f1f3f5" w:val="clear"/>
    </w:rPr>
  </w:style>
  <w:style w:type="character" w:styleId="ErrorTok" w:customStyle="1">
    <w:name w:val="ErrorTok"/>
    <w:basedOn w:val="VerbatimChar"/>
    <w:rPr>
      <w:color w:val="ad0000"/>
      <w:shd w:fill="f1f3f5" w:val="clear"/>
    </w:rPr>
  </w:style>
  <w:style w:type="character" w:styleId="NormalTok" w:customStyle="1">
    <w:name w:val="NormalTok"/>
    <w:basedOn w:val="VerbatimChar"/>
    <w:rPr>
      <w:color w:val="003b4f"/>
      <w:shd w:fill="f1f3f5" w:val="clear"/>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JR7MbF6c4yPc0KnTjNJ2YDSBIA==">CgMxLjAyD2lkLjhzZ3BqNWtoeTVucTINaC56djRnaHBhdHEzdjIPaWQuc3ZseHd4anJyaDFhMg9pZC50ZTduMmgxbXZndm8yDmguYTg2cmUwZXY5ZnpwMg5oLmR0ZnJqMHZuNGh0aDIOaC5rYmM4NWE5eHQ4eW4yD2lkLjZrZzFubnAwdHNvaTIPaWQuN3l0ajNvZ241MXlrMg5oLjh0Z3c3OHVodjB0YzIOaC5ha3RudTlpYTlsN2kyD2lkLmM1ZHJ1M3A1Z3IzcDIOaC5tenAzZmhxZjNqMTYyDmguc3JqdGV6aHAyZmo2Mg5oLm1xMDVpbjNjZmR0YzIOaC53Z2ZqcHl5aXJ0OWgyDmguajdwMHQwcWV3a2RvOAByITFpVDA1Wkd3bnE0UFc3cXpqVjkweTY1Rml3YXp0UVhJ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2025-05-05T17:46:00Z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MyLibrary.bib</vt:lpwstr>
  </property>
  <property fmtid="{D5CDD505-2E9C-101B-9397-08002B2CF9AE}" pid="4" name="editor">
    <vt:lpwstr>visual</vt:lpwstr>
  </property>
  <property fmtid="{D5CDD505-2E9C-101B-9397-08002B2CF9AE}" pid="5" name="editor_options">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