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Natural</w:t>
      </w:r>
      <w:r>
        <w:t xml:space="preserve"> </w:t>
      </w:r>
      <w:r>
        <w:t xml:space="preserve">regeneration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tropical</w:t>
      </w:r>
      <w:r>
        <w:t xml:space="preserve"> </w:t>
      </w:r>
      <w:r>
        <w:t xml:space="preserve">timber</w:t>
      </w:r>
      <w:r>
        <w:t xml:space="preserve"> </w:t>
      </w:r>
      <w:r>
        <w:t xml:space="preserve">plantation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Medina</w:t>
      </w:r>
    </w:p>
    <w:bookmarkStart w:id="20" w:name="outline"/>
    <w:p>
      <w:pPr>
        <w:pStyle w:val="Heading1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Results</w:t>
      </w:r>
    </w:p>
    <w:p>
      <w:pPr>
        <w:numPr>
          <w:ilvl w:val="0"/>
          <w:numId w:val="1001"/>
        </w:numPr>
        <w:pStyle w:val="Compact"/>
      </w:pPr>
      <w:r>
        <w:t xml:space="preserve">Discussion</w:t>
      </w:r>
    </w:p>
    <w:bookmarkEnd w:id="20"/>
    <w:bookmarkStart w:id="21" w:name="iglobal-forests-are-regenerating-but-how"/>
    <w:p>
      <w:pPr>
        <w:pStyle w:val="Heading1"/>
      </w:pPr>
      <w:r>
        <w:t xml:space="preserve">I–Global forests are regenerating, but how?</w:t>
      </w:r>
    </w:p>
    <w:p>
      <w:pPr>
        <w:numPr>
          <w:ilvl w:val="0"/>
          <w:numId w:val="1002"/>
        </w:numPr>
      </w:pPr>
      <w:r>
        <w:t xml:space="preserve">~Half of forests are tropical, and over half of all forests globally are secondary</w:t>
      </w:r>
      <w:r>
        <w:t xml:space="preserve"> </w:t>
      </w:r>
      <w:r>
        <w:rPr>
          <w:iCs/>
          <w:i/>
        </w:rPr>
        <w:t xml:space="preserve">(FAO 2020)</w:t>
      </w:r>
    </w:p>
    <w:p>
      <w:pPr>
        <w:numPr>
          <w:ilvl w:val="0"/>
          <w:numId w:val="1002"/>
        </w:numPr>
      </w:pPr>
      <w:r>
        <w:t xml:space="preserve">Services like timber and biodiversity depend on natural and managed regeneration patterns</w:t>
      </w:r>
    </w:p>
    <w:p>
      <w:pPr>
        <w:numPr>
          <w:ilvl w:val="0"/>
          <w:numId w:val="1002"/>
        </w:numPr>
      </w:pPr>
      <w:r>
        <w:t xml:space="preserve">Regeneration dynamics (e.g. associated biodiversity) should be better understood to optimize sustainable management and service provision</w:t>
      </w:r>
    </w:p>
    <w:bookmarkEnd w:id="21"/>
    <w:bookmarkStart w:id="22" w:name="X86dc53c7185d787c4d004a7dbfbe12fcd3c3651"/>
    <w:p>
      <w:pPr>
        <w:pStyle w:val="Heading1"/>
      </w:pPr>
      <w:r>
        <w:t xml:space="preserve">I–Forest regeneration is overall both quick and inconsistent</w:t>
      </w:r>
    </w:p>
    <w:p>
      <w:pPr>
        <w:numPr>
          <w:ilvl w:val="0"/>
          <w:numId w:val="1003"/>
        </w:numPr>
      </w:pPr>
      <w:r>
        <w:t xml:space="preserve">Biomass recovers 90% in 66 yrs</w:t>
      </w:r>
      <w:r>
        <w:t xml:space="preserve"> </w:t>
      </w:r>
      <w:r>
        <w:rPr>
          <w:iCs/>
          <w:i/>
        </w:rPr>
        <w:t xml:space="preserve">(Poorter et al. 2016)</w:t>
      </w:r>
    </w:p>
    <w:p>
      <w:pPr>
        <w:numPr>
          <w:ilvl w:val="0"/>
          <w:numId w:val="1003"/>
        </w:numPr>
      </w:pPr>
      <w:r>
        <w:t xml:space="preserve">Taxonomic richness recovers quickly</w:t>
      </w:r>
      <w:r>
        <w:t xml:space="preserve"> </w:t>
      </w:r>
      <w:r>
        <w:rPr>
          <w:iCs/>
          <w:i/>
        </w:rPr>
        <w:t xml:space="preserve">(Rozendaal et al. 2019)</w:t>
      </w:r>
    </w:p>
    <w:p>
      <w:pPr>
        <w:numPr>
          <w:ilvl w:val="0"/>
          <w:numId w:val="1003"/>
        </w:numPr>
      </w:pPr>
      <w:r>
        <w:t xml:space="preserve">Community composition may take centuries to recover, if at all</w:t>
      </w:r>
      <w:r>
        <w:t xml:space="preserve"> </w:t>
      </w:r>
      <w:r>
        <w:rPr>
          <w:iCs/>
          <w:i/>
        </w:rPr>
        <w:t xml:space="preserve">(Norden et al. 2015)</w:t>
      </w:r>
    </w:p>
    <w:bookmarkEnd w:id="22"/>
    <w:bookmarkStart w:id="23" w:name="ihabitat-edges-shape-regeneration"/>
    <w:p>
      <w:pPr>
        <w:pStyle w:val="Heading1"/>
      </w:pPr>
      <w:r>
        <w:t xml:space="preserve">I–Habitat edges shape regeneration</w:t>
      </w:r>
    </w:p>
    <w:p>
      <w:pPr>
        <w:numPr>
          <w:ilvl w:val="0"/>
          <w:numId w:val="1004"/>
        </w:numPr>
      </w:pPr>
      <w:r>
        <w:t xml:space="preserve">70% forests are &lt;1 km from a habitat edge</w:t>
      </w:r>
      <w:r>
        <w:t xml:space="preserve"> </w:t>
      </w:r>
      <w:r>
        <w:rPr>
          <w:iCs/>
          <w:i/>
        </w:rPr>
        <w:t xml:space="preserve">(Haddad et al. 2015)</w:t>
      </w:r>
    </w:p>
    <w:p>
      <w:pPr>
        <w:numPr>
          <w:ilvl w:val="0"/>
          <w:numId w:val="1004"/>
        </w:numPr>
      </w:pPr>
      <w:r>
        <w:t xml:space="preserve">Edge effects reduce biodiversity 13 - 75%</w:t>
      </w:r>
    </w:p>
    <w:p>
      <w:pPr>
        <w:numPr>
          <w:ilvl w:val="1"/>
          <w:numId w:val="1005"/>
        </w:numPr>
        <w:pStyle w:val="Compact"/>
      </w:pPr>
      <w:r>
        <w:t xml:space="preserve">more so in small and isolated fragments</w:t>
      </w:r>
    </w:p>
    <w:bookmarkEnd w:id="23"/>
    <w:bookmarkStart w:id="24" w:name="X7f8360ba5a091bac5bafae1d845a56ebf57c02a"/>
    <w:p>
      <w:pPr>
        <w:pStyle w:val="Heading1"/>
      </w:pPr>
      <w:r>
        <w:t xml:space="preserve">I–Edge effects may differ in wet tropical plantations</w:t>
      </w:r>
    </w:p>
    <w:p>
      <w:pPr>
        <w:numPr>
          <w:ilvl w:val="0"/>
          <w:numId w:val="1006"/>
        </w:numPr>
      </w:pPr>
      <w:r>
        <w:t xml:space="preserve">7% of global forests are planted and planted area has increased over last 30 yrs</w:t>
      </w:r>
      <w:r>
        <w:t xml:space="preserve"> </w:t>
      </w:r>
      <w:r>
        <w:rPr>
          <w:iCs/>
          <w:i/>
        </w:rPr>
        <w:t xml:space="preserve">(FAO 2020)</w:t>
      </w:r>
    </w:p>
    <w:p>
      <w:pPr>
        <w:numPr>
          <w:ilvl w:val="1"/>
          <w:numId w:val="1007"/>
        </w:numPr>
        <w:pStyle w:val="Compact"/>
      </w:pPr>
      <w:r>
        <w:t xml:space="preserve">Often dense with fast-growing, shade-intolerant taxa</w:t>
      </w:r>
    </w:p>
    <w:p>
      <w:pPr>
        <w:numPr>
          <w:ilvl w:val="0"/>
          <w:numId w:val="1006"/>
        </w:numPr>
      </w:pPr>
      <w:r>
        <w:t xml:space="preserve">Wet tropical forest regeneration tends to be light-limited, based on tree functional traits</w:t>
      </w:r>
      <w:r>
        <w:t xml:space="preserve"> </w:t>
      </w:r>
      <w:r>
        <w:rPr>
          <w:iCs/>
          <w:i/>
        </w:rPr>
        <w:t xml:space="preserve">(Poorter et al. 2021)</w:t>
      </w:r>
    </w:p>
    <w:p>
      <w:pPr>
        <w:numPr>
          <w:ilvl w:val="0"/>
          <w:numId w:val="1006"/>
        </w:numPr>
      </w:pPr>
      <w:r>
        <w:t xml:space="preserve">Existing plantation demography and shade may skew/buffer edge effects toward net positive instead of negative</w:t>
      </w:r>
    </w:p>
    <w:bookmarkEnd w:id="24"/>
    <w:bookmarkStart w:id="25" w:name="ithis-study"/>
    <w:p>
      <w:pPr>
        <w:pStyle w:val="Heading1"/>
      </w:pPr>
      <w:r>
        <w:t xml:space="preserve">I–This study</w:t>
      </w:r>
    </w:p>
    <w:p>
      <w:pPr>
        <w:numPr>
          <w:ilvl w:val="0"/>
          <w:numId w:val="1008"/>
        </w:numPr>
      </w:pPr>
      <w:r>
        <w:t xml:space="preserve">Question – How is wet tropical secondary forest regeneration affected by former plantation status and edges with road and primary forest?</w:t>
      </w:r>
    </w:p>
    <w:p>
      <w:pPr>
        <w:numPr>
          <w:ilvl w:val="0"/>
          <w:numId w:val="1008"/>
        </w:numPr>
      </w:pPr>
      <w:r>
        <w:t xml:space="preserve">Hypothesis –</w:t>
      </w:r>
    </w:p>
    <w:p>
      <w:pPr>
        <w:numPr>
          <w:ilvl w:val="1"/>
          <w:numId w:val="1009"/>
        </w:numPr>
      </w:pPr>
      <w:r>
        <w:t xml:space="preserve">Former plantation status facilitates succession by allowing shade-intolerant taxa to grow better due to</w:t>
      </w:r>
      <w:r>
        <w:t xml:space="preserve"> </w:t>
      </w:r>
      <w:r>
        <w:rPr>
          <w:bCs/>
          <w:b/>
        </w:rPr>
        <w:t xml:space="preserve">denser canopies</w:t>
      </w:r>
    </w:p>
    <w:p>
      <w:pPr>
        <w:numPr>
          <w:ilvl w:val="1"/>
          <w:numId w:val="1009"/>
        </w:numPr>
      </w:pPr>
      <w:r>
        <w:t xml:space="preserve">Forest edges promotes regeneration by faciltating</w:t>
      </w:r>
      <w:r>
        <w:t xml:space="preserve"> </w:t>
      </w:r>
      <w:r>
        <w:rPr>
          <w:bCs/>
          <w:b/>
        </w:rPr>
        <w:t xml:space="preserve">dispersal</w:t>
      </w:r>
      <w:r>
        <w:t xml:space="preserve"> </w:t>
      </w:r>
      <w:r>
        <w:t xml:space="preserve">of shade-tolerant taxa</w:t>
      </w:r>
    </w:p>
    <w:p>
      <w:pPr>
        <w:numPr>
          <w:ilvl w:val="0"/>
          <w:numId w:val="1008"/>
        </w:numPr>
      </w:pPr>
      <w:r>
        <w:t xml:space="preserve">Predictions – Distance away from primary forest edge is associated with –</w:t>
      </w:r>
    </w:p>
    <w:p>
      <w:pPr>
        <w:numPr>
          <w:ilvl w:val="1"/>
          <w:numId w:val="1010"/>
        </w:numPr>
      </w:pPr>
      <w:r>
        <w:t xml:space="preserve">lower stand biomass</w:t>
      </w:r>
    </w:p>
    <w:p>
      <w:pPr>
        <w:numPr>
          <w:ilvl w:val="1"/>
          <w:numId w:val="1010"/>
        </w:numPr>
      </w:pPr>
      <w:r>
        <w:t xml:space="preserve">lower tree diversity</w:t>
      </w:r>
    </w:p>
    <w:p>
      <w:pPr>
        <w:numPr>
          <w:ilvl w:val="1"/>
          <w:numId w:val="1010"/>
        </w:numPr>
      </w:pPr>
      <w:r>
        <w:t xml:space="preserve">lower shade-tolerant taxa</w:t>
      </w:r>
    </w:p>
    <w:bookmarkEnd w:id="25"/>
    <w:bookmarkStart w:id="26" w:name="iistudy-site"/>
    <w:p>
      <w:pPr>
        <w:pStyle w:val="Heading1"/>
      </w:pPr>
      <w:r>
        <w:t xml:space="preserve">II–Study site</w:t>
      </w:r>
    </w:p>
    <w:p>
      <w:pPr>
        <w:numPr>
          <w:ilvl w:val="0"/>
          <w:numId w:val="1011"/>
        </w:numPr>
      </w:pPr>
      <w:r>
        <w:t xml:space="preserve">Wet tropical rainforest in Osa Peninsula, SW Costa Rica</w:t>
      </w:r>
    </w:p>
    <w:p>
      <w:pPr>
        <w:numPr>
          <w:ilvl w:val="0"/>
          <w:numId w:val="1011"/>
        </w:numPr>
      </w:pPr>
      <w:r>
        <w:t xml:space="preserve">20 ha plantation of dry forest timber, abandoned in ~2003 into NRDC preserve</w:t>
      </w:r>
    </w:p>
    <w:p>
      <w:pPr>
        <w:numPr>
          <w:ilvl w:val="0"/>
          <w:numId w:val="1011"/>
        </w:numPr>
      </w:pPr>
      <w:r>
        <w:t xml:space="preserve">Area surrounded by primary forest on two sides and road on third</w:t>
      </w:r>
    </w:p>
    <w:bookmarkEnd w:id="26"/>
    <w:bookmarkStart w:id="30" w:name="iicensus-design"/>
    <w:p>
      <w:pPr>
        <w:pStyle w:val="Heading1"/>
      </w:pPr>
      <w:r>
        <w:t xml:space="preserve">II–Census design</w:t>
      </w:r>
    </w:p>
    <w:p>
      <w:pPr>
        <w:numPr>
          <w:ilvl w:val="0"/>
          <w:numId w:val="1012"/>
        </w:numPr>
      </w:pPr>
      <w:r>
        <w:t xml:space="preserve">Random stratified forest biomass inventory sampling design –</w:t>
      </w:r>
    </w:p>
    <w:p>
      <w:pPr>
        <w:numPr>
          <w:ilvl w:val="1"/>
          <w:numId w:val="1013"/>
        </w:numPr>
      </w:pPr>
      <w:r>
        <w:t xml:space="preserve">divided 300 m range into six 50 m strata, from forest to road edge, using QGIS and ArcGIS</w:t>
      </w:r>
    </w:p>
    <w:p>
      <w:pPr>
        <w:numPr>
          <w:ilvl w:val="1"/>
          <w:numId w:val="1013"/>
        </w:numPr>
      </w:pPr>
      <w:r>
        <w:t xml:space="preserve">30, 21 x 21 m plots randomly distributed, but quantity roughly proportional to stratum area</w:t>
      </w:r>
    </w:p>
    <w:p>
      <w:pPr>
        <w:numPr>
          <w:ilvl w:val="1"/>
          <w:numId w:val="1013"/>
        </w:numPr>
      </w:pPr>
      <w:r>
        <w:t xml:space="preserve">All plots covered 1 ha total, 5% of entire plantation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figs/map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icensus-measurements"/>
    <w:p>
      <w:pPr>
        <w:pStyle w:val="Heading1"/>
      </w:pPr>
      <w:r>
        <w:t xml:space="preserve">II–Census measurements</w:t>
      </w:r>
    </w:p>
    <w:p>
      <w:pPr>
        <w:numPr>
          <w:ilvl w:val="0"/>
          <w:numId w:val="1014"/>
        </w:numPr>
      </w:pPr>
      <w:r>
        <w:t xml:space="preserve">Stems ≥10 cm were measured for DBH and height using rangefinder</w:t>
      </w:r>
      <w:r>
        <w:t xml:space="preserve"> </w:t>
      </w:r>
      <w:r>
        <w:rPr>
          <w:iCs/>
          <w:i/>
        </w:rPr>
        <w:t xml:space="preserve">(Bushnell, Forestry Suppliers, Inc)</w:t>
      </w:r>
    </w:p>
    <w:p>
      <w:pPr>
        <w:numPr>
          <w:ilvl w:val="0"/>
          <w:numId w:val="1014"/>
        </w:numPr>
      </w:pPr>
      <w:r>
        <w:t xml:space="preserve">Taxa were ID’d with help from local field guides</w:t>
      </w:r>
    </w:p>
    <w:p>
      <w:pPr>
        <w:numPr>
          <w:ilvl w:val="0"/>
          <w:numId w:val="1014"/>
        </w:numPr>
      </w:pPr>
      <w:r>
        <w:t xml:space="preserve">Plot canopy closure was measured with densiometer</w:t>
      </w:r>
    </w:p>
    <w:bookmarkEnd w:id="31"/>
    <w:bookmarkStart w:id="32" w:name="iistatistical-analysis"/>
    <w:p>
      <w:pPr>
        <w:pStyle w:val="Heading1"/>
      </w:pPr>
      <w:r>
        <w:t xml:space="preserve">II–Statistical analysis</w:t>
      </w:r>
    </w:p>
    <w:p>
      <w:pPr>
        <w:numPr>
          <w:ilvl w:val="0"/>
          <w:numId w:val="1015"/>
        </w:numPr>
      </w:pPr>
      <w:r>
        <w:t xml:space="preserve">For all variables–</w:t>
      </w:r>
    </w:p>
    <w:p>
      <w:pPr>
        <w:numPr>
          <w:ilvl w:val="1"/>
          <w:numId w:val="1016"/>
        </w:numPr>
        <w:pStyle w:val="Compact"/>
      </w:pPr>
      <w:r>
        <w:t xml:space="preserve">Trend lines follow median values of all plots in distance stratum</w:t>
      </w:r>
    </w:p>
    <w:p>
      <w:pPr>
        <w:numPr>
          <w:ilvl w:val="0"/>
          <w:numId w:val="1015"/>
        </w:numPr>
      </w:pPr>
      <w:r>
        <w:t xml:space="preserve">Traits obtained from literature and compared to TRY database</w:t>
      </w:r>
      <w:r>
        <w:t xml:space="preserve"> </w:t>
      </w:r>
      <w:r>
        <w:rPr>
          <w:iCs/>
          <w:i/>
        </w:rPr>
        <w:t xml:space="preserve">(Kattge and Str 2019)</w:t>
      </w:r>
    </w:p>
    <w:p>
      <w:pPr>
        <w:numPr>
          <w:ilvl w:val="0"/>
          <w:numId w:val="1015"/>
        </w:numPr>
      </w:pPr>
      <w:r>
        <w:t xml:space="preserve">Computations done with R 4.1.3 depending on</w:t>
      </w:r>
      <w:r>
        <w:t xml:space="preserve"> </w:t>
      </w:r>
      <w:r>
        <w:rPr>
          <w:iCs/>
          <w:i/>
        </w:rPr>
        <w:t xml:space="preserve">BIOMASS</w:t>
      </w:r>
      <w:r>
        <w:t xml:space="preserve"> </w:t>
      </w:r>
      <w:r>
        <w:t xml:space="preserve">2.1.7,</w:t>
      </w:r>
      <w:r>
        <w:t xml:space="preserve"> </w:t>
      </w:r>
      <w:r>
        <w:rPr>
          <w:iCs/>
          <w:i/>
        </w:rPr>
        <w:t xml:space="preserve">vegan</w:t>
      </w:r>
      <w:r>
        <w:t xml:space="preserve"> </w:t>
      </w:r>
      <w:r>
        <w:t xml:space="preserve">2.5.7, and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1.3.1 packages</w:t>
      </w:r>
    </w:p>
    <w:bookmarkEnd w:id="32"/>
    <w:bookmarkStart w:id="36" w:name="iiistand-regeneration"/>
    <w:p>
      <w:pPr>
        <w:pStyle w:val="Heading1"/>
      </w:pPr>
      <w:r>
        <w:t xml:space="preserve">III–Stand regeneration</w:t>
      </w:r>
    </w:p>
    <w:p>
      <w:pPr>
        <w:numPr>
          <w:ilvl w:val="0"/>
          <w:numId w:val="1017"/>
        </w:numPr>
      </w:pPr>
      <w:r>
        <w:t xml:space="preserve">Further from primary forest edge–</w:t>
      </w:r>
    </w:p>
    <w:p>
      <w:pPr>
        <w:numPr>
          <w:ilvl w:val="1"/>
          <w:numId w:val="1018"/>
        </w:numPr>
      </w:pPr>
      <w:r>
        <w:t xml:space="preserve">Biomass and wood density tended to increase</w:t>
      </w:r>
    </w:p>
    <w:p>
      <w:pPr>
        <w:numPr>
          <w:ilvl w:val="1"/>
          <w:numId w:val="1018"/>
        </w:numPr>
      </w:pPr>
      <w:r>
        <w:t xml:space="preserve">Stem density decreased then increased</w:t>
      </w:r>
    </w:p>
    <w:p>
      <w:pPr>
        <w:numPr>
          <w:ilvl w:val="1"/>
          <w:numId w:val="1018"/>
        </w:numPr>
      </w:pPr>
      <w:r>
        <w:t xml:space="preserve">Neither canopy light nor height (not shown) tended to change</w:t>
      </w:r>
    </w:p>
    <w:p>
      <w:pPr>
        <w:numPr>
          <w:ilvl w:val="0"/>
          <w:numId w:val="1017"/>
        </w:numPr>
      </w:pPr>
      <w:r>
        <w:t xml:space="preserve">Distance from forest edge tended to explain variation–</w:t>
      </w:r>
    </w:p>
    <w:p>
      <w:pPr>
        <w:numPr>
          <w:ilvl w:val="1"/>
          <w:numId w:val="1019"/>
        </w:numPr>
      </w:pPr>
      <w:r>
        <w:t xml:space="preserve">10% in wood density</w:t>
      </w:r>
    </w:p>
    <w:p>
      <w:pPr>
        <w:numPr>
          <w:ilvl w:val="1"/>
          <w:numId w:val="1019"/>
        </w:numPr>
      </w:pPr>
      <w:r>
        <w:t xml:space="preserve">~20% in stem density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./figs/fig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iiicomposition-regeneration"/>
    <w:p>
      <w:pPr>
        <w:pStyle w:val="Heading1"/>
      </w:pPr>
      <w:r>
        <w:t xml:space="preserve">III–Composition regeneration</w:t>
      </w:r>
    </w:p>
    <w:p>
      <w:pPr>
        <w:numPr>
          <w:ilvl w:val="0"/>
          <w:numId w:val="1020"/>
        </w:numPr>
      </w:pPr>
      <w:r>
        <w:t xml:space="preserve">Further from forest edge–</w:t>
      </w:r>
    </w:p>
    <w:p>
      <w:pPr>
        <w:numPr>
          <w:ilvl w:val="1"/>
          <w:numId w:val="1021"/>
        </w:numPr>
      </w:pPr>
      <w:r>
        <w:t xml:space="preserve">Richness tended to increase</w:t>
      </w:r>
    </w:p>
    <w:p>
      <w:pPr>
        <w:numPr>
          <w:ilvl w:val="1"/>
          <w:numId w:val="1021"/>
        </w:numPr>
      </w:pPr>
      <w:r>
        <w:t xml:space="preserve">Diversity decreased steeply</w:t>
      </w:r>
    </w:p>
    <w:p>
      <w:pPr>
        <w:numPr>
          <w:ilvl w:val="1"/>
          <w:numId w:val="1021"/>
        </w:numPr>
      </w:pPr>
      <w:r>
        <w:t xml:space="preserve">Composition varied notably, toward PC1</w:t>
      </w:r>
    </w:p>
    <w:p>
      <w:pPr>
        <w:numPr>
          <w:ilvl w:val="1"/>
          <w:numId w:val="1021"/>
        </w:numPr>
      </w:pPr>
      <w:r>
        <w:t xml:space="preserve">Of abundant taxa biomass–</w:t>
      </w:r>
    </w:p>
    <w:p>
      <w:pPr>
        <w:numPr>
          <w:ilvl w:val="2"/>
          <w:numId w:val="1022"/>
        </w:numPr>
      </w:pPr>
      <w:r>
        <w:rPr>
          <w:iCs/>
          <w:i/>
        </w:rPr>
        <w:t xml:space="preserve">Vochysia</w:t>
      </w:r>
      <w:r>
        <w:t xml:space="preserve"> </w:t>
      </w:r>
      <w:r>
        <w:t xml:space="preserve">tended to decrease</w:t>
      </w:r>
    </w:p>
    <w:p>
      <w:pPr>
        <w:numPr>
          <w:ilvl w:val="2"/>
          <w:numId w:val="1022"/>
        </w:numPr>
      </w:pPr>
      <w:r>
        <w:rPr>
          <w:iCs/>
          <w:i/>
        </w:rPr>
        <w:t xml:space="preserve">Ficus</w:t>
      </w:r>
      <w:r>
        <w:t xml:space="preserve"> </w:t>
      </w:r>
      <w:r>
        <w:t xml:space="preserve">decreased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figs/fig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iiifunctional-regeneration"/>
    <w:p>
      <w:pPr>
        <w:pStyle w:val="Heading1"/>
      </w:pPr>
      <w:r>
        <w:t xml:space="preserve">III–Functional regeneration</w:t>
      </w:r>
    </w:p>
    <w:p>
      <w:pPr>
        <w:numPr>
          <w:ilvl w:val="0"/>
          <w:numId w:val="1023"/>
        </w:numPr>
      </w:pPr>
      <w:r>
        <w:t xml:space="preserve">Away from forest edge–</w:t>
      </w:r>
    </w:p>
    <w:p>
      <w:pPr>
        <w:numPr>
          <w:ilvl w:val="1"/>
          <w:numId w:val="1024"/>
        </w:numPr>
      </w:pPr>
      <w:r>
        <w:t xml:space="preserve">Biomass of taxa often found in both successional stages decreased</w:t>
      </w:r>
    </w:p>
    <w:p>
      <w:pPr>
        <w:numPr>
          <w:ilvl w:val="1"/>
          <w:numId w:val="1024"/>
        </w:numPr>
      </w:pPr>
      <w:r>
        <w:t xml:space="preserve">Biomass based on dispersal mode remained constant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figs/fig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ivhypothesis-check"/>
    <w:p>
      <w:pPr>
        <w:pStyle w:val="Heading1"/>
      </w:pPr>
      <w:r>
        <w:t xml:space="preserve">IV–Hypothesis check</w:t>
      </w:r>
    </w:p>
    <w:p>
      <w:pPr>
        <w:numPr>
          <w:ilvl w:val="0"/>
          <w:numId w:val="1025"/>
        </w:numPr>
      </w:pPr>
      <w:r>
        <w:t xml:space="preserve">Stand biomass is more resilient than biodiversity</w:t>
      </w:r>
    </w:p>
    <w:p>
      <w:pPr>
        <w:numPr>
          <w:ilvl w:val="1"/>
          <w:numId w:val="1026"/>
        </w:numPr>
      </w:pPr>
      <w:r>
        <w:t xml:space="preserve">Further from forest–</w:t>
      </w:r>
    </w:p>
    <w:p>
      <w:pPr>
        <w:numPr>
          <w:ilvl w:val="2"/>
          <w:numId w:val="1027"/>
        </w:numPr>
      </w:pPr>
      <w:r>
        <w:t xml:space="preserve">No trends in biomass</w:t>
      </w:r>
    </w:p>
    <w:p>
      <w:pPr>
        <w:numPr>
          <w:ilvl w:val="2"/>
          <w:numId w:val="1027"/>
        </w:numPr>
      </w:pPr>
      <w:r>
        <w:t xml:space="preserve">Diversity decreased</w:t>
      </w:r>
    </w:p>
    <w:p>
      <w:pPr>
        <w:numPr>
          <w:ilvl w:val="2"/>
          <w:numId w:val="1027"/>
        </w:numPr>
      </w:pPr>
      <w:r>
        <w:t xml:space="preserve">Composition tended to change</w:t>
      </w:r>
    </w:p>
    <w:p>
      <w:pPr>
        <w:numPr>
          <w:ilvl w:val="0"/>
          <w:numId w:val="1025"/>
        </w:numPr>
      </w:pPr>
      <w:r>
        <w:t xml:space="preserve">Forest edge associated with tree diversity</w:t>
      </w:r>
    </w:p>
    <w:bookmarkEnd w:id="45"/>
    <w:bookmarkStart w:id="46" w:name="ivprocesses-underlying-patterns"/>
    <w:p>
      <w:pPr>
        <w:pStyle w:val="Heading1"/>
      </w:pPr>
      <w:r>
        <w:t xml:space="preserve">IV–Processes underlying patterns</w:t>
      </w:r>
    </w:p>
    <w:p>
      <w:pPr>
        <w:numPr>
          <w:ilvl w:val="0"/>
          <w:numId w:val="1028"/>
        </w:numPr>
      </w:pPr>
      <w:r>
        <w:t xml:space="preserve">Not shade, perhaps given high absolute value and/or evenness of original timber planting</w:t>
      </w:r>
    </w:p>
    <w:p>
      <w:pPr>
        <w:numPr>
          <w:ilvl w:val="0"/>
          <w:numId w:val="1028"/>
        </w:numPr>
      </w:pPr>
      <w:r>
        <w:t xml:space="preserve">Forest edge may associate with faster succession, given drop in generalist tree taxa with distance</w:t>
      </w:r>
    </w:p>
    <w:p>
      <w:pPr>
        <w:numPr>
          <w:ilvl w:val="0"/>
          <w:numId w:val="1028"/>
        </w:numPr>
      </w:pPr>
      <w:r>
        <w:t xml:space="preserve">No signal of dispersal mode detected</w:t>
      </w:r>
    </w:p>
    <w:bookmarkEnd w:id="46"/>
    <w:bookmarkStart w:id="47" w:name="ivcompare-to-similar-studies"/>
    <w:p>
      <w:pPr>
        <w:pStyle w:val="Heading1"/>
      </w:pPr>
      <w:r>
        <w:t xml:space="preserve">IV–Compare to similar studies</w:t>
      </w:r>
    </w:p>
    <w:p>
      <w:pPr>
        <w:numPr>
          <w:ilvl w:val="0"/>
          <w:numId w:val="1029"/>
        </w:numPr>
      </w:pPr>
      <w:r>
        <w:t xml:space="preserve">Aligns well with several recent studies suggesting that–</w:t>
      </w:r>
    </w:p>
    <w:p>
      <w:pPr>
        <w:numPr>
          <w:ilvl w:val="1"/>
          <w:numId w:val="1030"/>
        </w:numPr>
      </w:pPr>
      <w:r>
        <w:t xml:space="preserve">Tree diversity regenerates quicker than taxonomic composition</w:t>
      </w:r>
      <w:r>
        <w:t xml:space="preserve"> </w:t>
      </w:r>
      <w:r>
        <w:rPr>
          <w:iCs/>
          <w:i/>
        </w:rPr>
        <w:t xml:space="preserve">(Poorter et al. 2016)</w:t>
      </w:r>
    </w:p>
    <w:p>
      <w:pPr>
        <w:numPr>
          <w:ilvl w:val="1"/>
          <w:numId w:val="1030"/>
        </w:numPr>
      </w:pPr>
      <w:r>
        <w:t xml:space="preserve">Habitat edges lower diversity and generally slow regeneration, like via less seed consumption</w:t>
      </w:r>
      <w:r>
        <w:t xml:space="preserve"> </w:t>
      </w:r>
      <w:r>
        <w:rPr>
          <w:iCs/>
          <w:i/>
        </w:rPr>
        <w:t xml:space="preserve">(Hohlenwerger, Tambosi, and Metzger 2022)</w:t>
      </w:r>
    </w:p>
    <w:p>
      <w:pPr>
        <w:numPr>
          <w:ilvl w:val="1"/>
          <w:numId w:val="1030"/>
        </w:numPr>
      </w:pPr>
      <w:r>
        <w:t xml:space="preserve">Taxa indiscriminate to successional stage are minimally affected by disturbance, like from edges</w:t>
      </w:r>
      <w:r>
        <w:t xml:space="preserve"> </w:t>
      </w:r>
      <w:r>
        <w:rPr>
          <w:iCs/>
          <w:i/>
        </w:rPr>
        <w:t xml:space="preserve">(Bongers et al. 2009)</w:t>
      </w:r>
    </w:p>
    <w:bookmarkEnd w:id="47"/>
    <w:bookmarkStart w:id="48" w:name="ivfuture-studies"/>
    <w:p>
      <w:pPr>
        <w:pStyle w:val="Heading1"/>
      </w:pPr>
      <w:r>
        <w:t xml:space="preserve">IV–Future studies</w:t>
      </w:r>
    </w:p>
    <w:p>
      <w:pPr>
        <w:numPr>
          <w:ilvl w:val="0"/>
          <w:numId w:val="1031"/>
        </w:numPr>
      </w:pPr>
      <w:r>
        <w:t xml:space="preserve">Compare wet tropical plantations at different stages of regeneration</w:t>
      </w:r>
    </w:p>
    <w:p>
      <w:pPr>
        <w:numPr>
          <w:ilvl w:val="0"/>
          <w:numId w:val="1031"/>
        </w:numPr>
      </w:pPr>
      <w:r>
        <w:t xml:space="preserve">Compare forests with different initial composition but in similar region (i.e. realized vs. fundamental niches)</w:t>
      </w:r>
    </w:p>
    <w:p>
      <w:pPr>
        <w:numPr>
          <w:ilvl w:val="0"/>
          <w:numId w:val="1031"/>
        </w:numPr>
      </w:pPr>
      <w:r>
        <w:t xml:space="preserve">Study ecological dynamics under various management conditions</w:t>
      </w:r>
    </w:p>
    <w:p>
      <w:r>
        <w:br w:type="page"/>
      </w:r>
    </w:p>
    <w:bookmarkEnd w:id="48"/>
    <w:bookmarkStart w:id="65" w:name="references"/>
    <w:p>
      <w:pPr>
        <w:pStyle w:val="Heading1"/>
      </w:pPr>
      <w:r>
        <w:t xml:space="preserve">References</w:t>
      </w:r>
    </w:p>
    <w:bookmarkStart w:id="64" w:name="refs"/>
    <w:bookmarkStart w:id="50" w:name="ref-bongers09"/>
    <w:p>
      <w:pPr>
        <w:pStyle w:val="Bibliography"/>
      </w:pPr>
      <w:r>
        <w:t xml:space="preserve">Bongers, Frans, Lourens Poorter, William D. Hawthorne, and Douglas Sheil. 2009.</w:t>
      </w:r>
      <w:r>
        <w:t xml:space="preserve"> </w:t>
      </w:r>
      <w:r>
        <w:t xml:space="preserve">“The Intermediate Disturbance Hypothesis Applies to Tropical Forests, but Disturbance Contributes Little to Tree Diversity.”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12 (8): 798–805.</w:t>
      </w:r>
      <w:r>
        <w:t xml:space="preserve"> </w:t>
      </w:r>
      <w:hyperlink r:id="rId49">
        <w:r>
          <w:rPr>
            <w:rStyle w:val="Hyperlink"/>
          </w:rPr>
          <w:t xml:space="preserve">https://doi.org/10.1111/j.1461-0248.2009.01329.x</w:t>
        </w:r>
      </w:hyperlink>
      <w:r>
        <w:t xml:space="preserve">.</w:t>
      </w:r>
    </w:p>
    <w:bookmarkEnd w:id="50"/>
    <w:bookmarkStart w:id="52" w:name="ref-haddad15"/>
    <w:p>
      <w:pPr>
        <w:pStyle w:val="Bibliography"/>
      </w:pPr>
      <w:r>
        <w:t xml:space="preserve">Haddad, Nick M., Lars A. Brudvig, Jean Clobert, Kendi F. Davies, Andrew Gonzalez, Robert D. Holt, Thomas E. Lovejoy, et al. 2015.</w:t>
      </w:r>
      <w:r>
        <w:t xml:space="preserve"> </w:t>
      </w:r>
      <w:r>
        <w:t xml:space="preserve">“Habitat Fragmentation and Its Lasting Impact on</w:t>
      </w:r>
      <w:r>
        <w:t xml:space="preserve"> </w:t>
      </w:r>
      <w:r>
        <w:t xml:space="preserve">Earth</w:t>
      </w:r>
      <w:r>
        <w:t xml:space="preserve">’s Ecosystems.”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1 (2): e1500052.</w:t>
      </w:r>
      <w:r>
        <w:t xml:space="preserve"> </w:t>
      </w:r>
      <w:hyperlink r:id="rId51">
        <w:r>
          <w:rPr>
            <w:rStyle w:val="Hyperlink"/>
          </w:rPr>
          <w:t xml:space="preserve">https://doi.org/10.1126/sciadv.1500052</w:t>
        </w:r>
      </w:hyperlink>
      <w:r>
        <w:t xml:space="preserve">.</w:t>
      </w:r>
    </w:p>
    <w:bookmarkEnd w:id="52"/>
    <w:bookmarkStart w:id="54" w:name="ref-hohlenwerger22"/>
    <w:p>
      <w:pPr>
        <w:pStyle w:val="Bibliography"/>
      </w:pPr>
      <w:r>
        <w:t xml:space="preserve">Hohlenwerger, Camila, Leandro Reverberi Tambosi, and Jean Paul Metzger. 2022.</w:t>
      </w:r>
      <w:r>
        <w:t xml:space="preserve"> </w:t>
      </w:r>
      <w:r>
        <w:t xml:space="preserve">“Forest Cover and Proximity to Forest Affect Predation by Natural Enemies in Pasture and Coffee Plantations Differently.”</w:t>
      </w:r>
      <w:r>
        <w:t xml:space="preserve"> </w:t>
      </w:r>
      <w:r>
        <w:rPr>
          <w:iCs/>
          <w:i/>
        </w:rPr>
        <w:t xml:space="preserve">Agriculture, Ecosystems &amp; Environment</w:t>
      </w:r>
      <w:r>
        <w:t xml:space="preserve"> </w:t>
      </w:r>
      <w:r>
        <w:t xml:space="preserve">333 (August): 107958.</w:t>
      </w:r>
      <w:r>
        <w:t xml:space="preserve"> </w:t>
      </w:r>
      <w:hyperlink r:id="rId53">
        <w:r>
          <w:rPr>
            <w:rStyle w:val="Hyperlink"/>
          </w:rPr>
          <w:t xml:space="preserve">https://doi.org/10.1016/j.agee.2022.107958</w:t>
        </w:r>
      </w:hyperlink>
      <w:r>
        <w:t xml:space="preserve">.</w:t>
      </w:r>
    </w:p>
    <w:bookmarkEnd w:id="54"/>
    <w:bookmarkStart w:id="55" w:name="ref-kattge19"/>
    <w:p>
      <w:pPr>
        <w:pStyle w:val="Bibliography"/>
      </w:pPr>
      <w:r>
        <w:t xml:space="preserve">Kattge, Jens, and Hans Knöll Str. 2019.</w:t>
      </w:r>
      <w:r>
        <w:t xml:space="preserve"> </w:t>
      </w:r>
      <w:r>
        <w:t xml:space="preserve">“</w:t>
      </w:r>
      <w:r>
        <w:t xml:space="preserve">TRY</w:t>
      </w:r>
      <w:r>
        <w:t xml:space="preserve"> </w:t>
      </w:r>
      <w:r>
        <w:t xml:space="preserve">Plant Trait Database</w:t>
      </w:r>
      <w:r>
        <w:t xml:space="preserve"> </w:t>
      </w:r>
      <w:r>
        <w:t xml:space="preserve"> </w:t>
      </w:r>
      <w:r>
        <w:t xml:space="preserve">Enhanced Coverage and Open Access,”</w:t>
      </w:r>
      <w:r>
        <w:t xml:space="preserve"> </w:t>
      </w:r>
      <w:r>
        <w:t xml:space="preserve">70.</w:t>
      </w:r>
    </w:p>
    <w:bookmarkEnd w:id="55"/>
    <w:bookmarkStart w:id="57" w:name="ref-norden15"/>
    <w:p>
      <w:pPr>
        <w:pStyle w:val="Bibliography"/>
      </w:pPr>
      <w:r>
        <w:t xml:space="preserve">Norden, Natalia, Héctor A. Angarita, Frans Bongers, Miguel Martínez-Ramos, Iñigo Granzow-de la Cerda, Michiel van Breugel, Edwin Lebrija-Trejos, et al. 2015.</w:t>
      </w:r>
      <w:r>
        <w:t xml:space="preserve"> </w:t>
      </w:r>
      <w:r>
        <w:t xml:space="preserve">“Successional Dynamics in</w:t>
      </w:r>
      <w:r>
        <w:t xml:space="preserve"> </w:t>
      </w:r>
      <w:r>
        <w:t xml:space="preserve">Neotropical</w:t>
      </w:r>
      <w:r>
        <w:t xml:space="preserve"> </w:t>
      </w:r>
      <w:r>
        <w:t xml:space="preserve">Forests Are as Uncertain as They Are Predictable.”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112 (26): 8013–18.</w:t>
      </w:r>
      <w:r>
        <w:t xml:space="preserve"> </w:t>
      </w:r>
      <w:hyperlink r:id="rId56">
        <w:r>
          <w:rPr>
            <w:rStyle w:val="Hyperlink"/>
          </w:rPr>
          <w:t xml:space="preserve">https://doi.org/10.1073/pnas.1500403112</w:t>
        </w:r>
      </w:hyperlink>
      <w:r>
        <w:t xml:space="preserve">.</w:t>
      </w:r>
    </w:p>
    <w:bookmarkEnd w:id="57"/>
    <w:bookmarkStart w:id="59" w:name="ref-poorter16"/>
    <w:p>
      <w:pPr>
        <w:pStyle w:val="Bibliography"/>
      </w:pPr>
      <w:r>
        <w:t xml:space="preserve">Poorter, Lourens, Frans Bongers, T. Mitchell Aide, Angélica M. Almeyda Zambrano, Patricia Balvanera, Justin M. Becknell, Vanessa Boukili, et al. 2016.</w:t>
      </w:r>
      <w:r>
        <w:t xml:space="preserve"> </w:t>
      </w:r>
      <w:r>
        <w:t xml:space="preserve">“Biomass Resilience of</w:t>
      </w:r>
      <w:r>
        <w:t xml:space="preserve"> </w:t>
      </w:r>
      <w:r>
        <w:t xml:space="preserve">Neotropical</w:t>
      </w:r>
      <w:r>
        <w:t xml:space="preserve"> </w:t>
      </w:r>
      <w:r>
        <w:t xml:space="preserve">Secondary Forests.”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530 (7589): 211–14.</w:t>
      </w:r>
      <w:r>
        <w:t xml:space="preserve"> </w:t>
      </w:r>
      <w:hyperlink r:id="rId58">
        <w:r>
          <w:rPr>
            <w:rStyle w:val="Hyperlink"/>
          </w:rPr>
          <w:t xml:space="preserve">https://doi.org/10.1038/nature16512</w:t>
        </w:r>
      </w:hyperlink>
      <w:r>
        <w:t xml:space="preserve">.</w:t>
      </w:r>
    </w:p>
    <w:bookmarkEnd w:id="59"/>
    <w:bookmarkStart w:id="61" w:name="ref-poorter21"/>
    <w:p>
      <w:pPr>
        <w:pStyle w:val="Bibliography"/>
      </w:pPr>
      <w:r>
        <w:t xml:space="preserve">Poorter, Lourens, Dylan Craven, Catarina C. Jakovac, Masha T. van der Sande, Lucy Amissah, Frans Bongers, Robin L. Chazdon, et al. 2021.</w:t>
      </w:r>
      <w:r>
        <w:t xml:space="preserve"> </w:t>
      </w:r>
      <w:r>
        <w:t xml:space="preserve">“Multidimensional Tropical Forest Recovery.”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374 (6573): 1370–76.</w:t>
      </w:r>
      <w:r>
        <w:t xml:space="preserve"> </w:t>
      </w:r>
      <w:hyperlink r:id="rId60">
        <w:r>
          <w:rPr>
            <w:rStyle w:val="Hyperlink"/>
          </w:rPr>
          <w:t xml:space="preserve">https://doi.org/10.1126/science.abh3629</w:t>
        </w:r>
      </w:hyperlink>
      <w:r>
        <w:t xml:space="preserve">.</w:t>
      </w:r>
    </w:p>
    <w:bookmarkEnd w:id="61"/>
    <w:bookmarkStart w:id="63" w:name="ref-rozendaal19"/>
    <w:p>
      <w:pPr>
        <w:pStyle w:val="Bibliography"/>
      </w:pPr>
      <w:r>
        <w:t xml:space="preserve">Rozendaal, Danaë M. A., Frans Bongers, T. Mitchell Aide, Esteban Alvarez-Dávila, Nataly Ascarrunz, Patricia Balvanera, Justin M. Becknell, et al. 2019.</w:t>
      </w:r>
      <w:r>
        <w:t xml:space="preserve"> </w:t>
      </w:r>
      <w:r>
        <w:t xml:space="preserve">“Biodiversity Recovery of</w:t>
      </w:r>
      <w:r>
        <w:t xml:space="preserve"> </w:t>
      </w:r>
      <w:r>
        <w:t xml:space="preserve">Neotropical</w:t>
      </w:r>
      <w:r>
        <w:t xml:space="preserve"> </w:t>
      </w:r>
      <w:r>
        <w:t xml:space="preserve">Secondary Forests.”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5 (3).</w:t>
      </w:r>
      <w:r>
        <w:t xml:space="preserve"> </w:t>
      </w:r>
      <w:hyperlink r:id="rId62">
        <w:r>
          <w:rPr>
            <w:rStyle w:val="Hyperlink"/>
          </w:rPr>
          <w:t xml:space="preserve">https://doi.org/10.1126/sciadv.aau3114</w:t>
        </w:r>
      </w:hyperlink>
      <w:r>
        <w:t xml:space="preserve">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53" Target="https://doi.org/10.1016/j.agee.2022.107958" TargetMode="External" /><Relationship Type="http://schemas.openxmlformats.org/officeDocument/2006/relationships/hyperlink" Id="rId58" Target="https://doi.org/10.1038/nature16512" TargetMode="External" /><Relationship Type="http://schemas.openxmlformats.org/officeDocument/2006/relationships/hyperlink" Id="rId56" Target="https://doi.org/10.1073/pnas.1500403112" TargetMode="External" /><Relationship Type="http://schemas.openxmlformats.org/officeDocument/2006/relationships/hyperlink" Id="rId49" Target="https://doi.org/10.1111/j.1461-0248.2009.01329.x" TargetMode="External" /><Relationship Type="http://schemas.openxmlformats.org/officeDocument/2006/relationships/hyperlink" Id="rId51" Target="https://doi.org/10.1126/sciadv.1500052" TargetMode="External" /><Relationship Type="http://schemas.openxmlformats.org/officeDocument/2006/relationships/hyperlink" Id="rId62" Target="https://doi.org/10.1126/sciadv.aau3114" TargetMode="External" /><Relationship Type="http://schemas.openxmlformats.org/officeDocument/2006/relationships/hyperlink" Id="rId60" Target="https://doi.org/10.1126/science.abh362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doi.org/10.1016/j.agee.2022.107958" TargetMode="External" /><Relationship Type="http://schemas.openxmlformats.org/officeDocument/2006/relationships/hyperlink" Id="rId58" Target="https://doi.org/10.1038/nature16512" TargetMode="External" /><Relationship Type="http://schemas.openxmlformats.org/officeDocument/2006/relationships/hyperlink" Id="rId56" Target="https://doi.org/10.1073/pnas.1500403112" TargetMode="External" /><Relationship Type="http://schemas.openxmlformats.org/officeDocument/2006/relationships/hyperlink" Id="rId49" Target="https://doi.org/10.1111/j.1461-0248.2009.01329.x" TargetMode="External" /><Relationship Type="http://schemas.openxmlformats.org/officeDocument/2006/relationships/hyperlink" Id="rId51" Target="https://doi.org/10.1126/sciadv.1500052" TargetMode="External" /><Relationship Type="http://schemas.openxmlformats.org/officeDocument/2006/relationships/hyperlink" Id="rId62" Target="https://doi.org/10.1126/sciadv.aau3114" TargetMode="External" /><Relationship Type="http://schemas.openxmlformats.org/officeDocument/2006/relationships/hyperlink" Id="rId60" Target="https://doi.org/10.1126/science.abh36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regeneration of a tropical timber plantation</dc:title>
  <dc:creator>Nicholas Medina</dc:creator>
  <cp:keywords/>
  <dcterms:created xsi:type="dcterms:W3CDTF">2022-04-01T17:39:10Z</dcterms:created>
  <dcterms:modified xsi:type="dcterms:W3CDTF">2022-04-01T17:39:10Z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../../library.bib</vt:lpwstr>
  </property>
  <property fmtid="{D5CDD505-2E9C-101B-9397-08002B2CF9AE}" pid="3" name="output">
    <vt:lpwstr>word_document</vt:lpwstr>
  </property>
</Properties>
</file>