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3.jpg" ContentType="image/jpeg"/>
  <Override PartName="/word/media/rId108.jpg" ContentType="image/jpeg"/>
  <Override PartName="/word/media/rId36.png" ContentType="image/png"/>
  <Override PartName="/word/media/rId126.jpg" ContentType="image/jpeg"/>
  <Override PartName="/word/media/rId81.jpg" ContentType="image/jpeg"/>
  <Override PartName="/word/media/rId39.png" ContentType="image/png"/>
  <Override PartName="/word/media/rId22.jpg" ContentType="image/jpeg"/>
  <Override PartName="/word/media/rId90.jpg" ContentType="image/jpeg"/>
  <Override PartName="/word/media/rId94.jpg" ContentType="image/jpeg"/>
  <Override PartName="/word/media/rId99.jpg" ContentType="image/jpeg"/>
  <Override PartName="/word/media/rId77.jpg" ContentType="image/jpeg"/>
  <Override PartName="/word/media/rId61.jpg" ContentType="image/jpeg"/>
  <Override PartName="/word/media/rId114.jpg" ContentType="image/jpeg"/>
  <Override PartName="/word/media/rId117.jpg" ContentType="image/jpeg"/>
  <Override PartName="/word/media/rId1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4" w:name="welcome"/>
    <w:p>
      <w:pPr>
        <w:pStyle w:val="Heading1"/>
      </w:pPr>
      <w:r>
        <w:t xml:space="preserve">Welcome</w:t>
      </w:r>
    </w:p>
    <w:p>
      <w:pPr>
        <w:pStyle w:val="FirstParagraph"/>
      </w:pPr>
      <w:r>
        <w:rPr>
          <w:b/>
          <w:bCs/>
        </w:rPr>
        <w:t xml:space="preserve">Last updated:</w:t>
      </w:r>
      <w:r>
        <w:t xml:space="preserve"> </w:t>
      </w:r>
      <w:r>
        <w:t xml:space="preserve">2024-12-18 19:01:40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0" w:name="cite-this-data"/>
    <w:p>
      <w:pPr>
        <w:pStyle w:val="Heading2"/>
      </w:pPr>
      <w:r>
        <w:t xml:space="preserve">Cite This Data</w:t>
      </w:r>
    </w:p>
    <w:p>
      <w:pPr>
        <w:pStyle w:val="FirstParagraph"/>
      </w:pPr>
      <w:r>
        <w:t xml:space="preserve">[enter text on how to do this]</w:t>
      </w:r>
    </w:p>
    <w:bookmarkEnd w:id="30"/>
    <w:bookmarkStart w:id="31"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3"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2">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3"/>
    <w:bookmarkEnd w:id="34"/>
    <w:bookmarkStart w:id="51" w:name="survey-background"/>
    <w:p>
      <w:pPr>
        <w:pStyle w:val="Heading1"/>
      </w:pPr>
      <w:r>
        <w:t xml:space="preserve">1. Survey Background</w:t>
      </w:r>
    </w:p>
    <w:bookmarkStart w:id="35"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35"/>
    <w:bookmarkStart w:id="43" w:name="where-does-the-survey-take-place"/>
    <w:p>
      <w:pPr>
        <w:pStyle w:val="Heading2"/>
      </w:pPr>
      <w:r>
        <w:t xml:space="preserve">1.2 Where does the survey take place?</w:t>
      </w:r>
    </w:p>
    <w:bookmarkStart w:id="42"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7" name="Picture"/>
                  <a:graphic>
                    <a:graphicData uri="http://schemas.openxmlformats.org/drawingml/2006/picture">
                      <pic:pic>
                        <pic:nvPicPr>
                          <pic:cNvPr descr="content/images/clipboard-1472872065.png" id="38" name="Picture"/>
                          <pic:cNvPicPr>
                            <a:picLocks noChangeArrowheads="1" noChangeAspect="1"/>
                          </pic:cNvPicPr>
                        </pic:nvPicPr>
                        <pic:blipFill>
                          <a:blip r:embed="rId36"/>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0" name="Picture"/>
                  <a:graphic>
                    <a:graphicData uri="http://schemas.openxmlformats.org/drawingml/2006/picture">
                      <pic:pic>
                        <pic:nvPicPr>
                          <pic:cNvPr descr="content/images/fig_survey_map.png" id="41" name="Picture"/>
                          <pic:cNvPicPr>
                            <a:picLocks noChangeArrowheads="1" noChangeAspect="1"/>
                          </pic:cNvPicPr>
                        </pic:nvPicPr>
                        <pic:blipFill>
                          <a:blip r:embed="rId39"/>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2"/>
    <w:bookmarkEnd w:id="43"/>
    <w:bookmarkStart w:id="44"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4"/>
    <w:bookmarkStart w:id="45"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45"/>
    <w:bookmarkStart w:id="50" w:name="code-of-conduct"/>
    <w:p>
      <w:pPr>
        <w:pStyle w:val="Heading2"/>
      </w:pPr>
      <w:r>
        <w:t xml:space="preserve">1.5 Code of Conduct</w:t>
      </w:r>
    </w:p>
    <w:bookmarkStart w:id="46"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46"/>
    <w:bookmarkStart w:id="49" w:name="X5c642363704a893a3daf2ea4c1fbd399a9b06a3"/>
    <w:p>
      <w:pPr>
        <w:pStyle w:val="Heading3"/>
      </w:pPr>
      <w:r>
        <w:t xml:space="preserve">1.5.2</w:t>
      </w:r>
      <w:r>
        <w:t xml:space="preserve"> </w:t>
      </w:r>
      <w:hyperlink r:id="rId47">
        <w:r>
          <w:rPr>
            <w:rStyle w:val="Hyperlink"/>
          </w:rPr>
          <w:t xml:space="preserve">Code of Conduct</w:t>
        </w:r>
      </w:hyperlink>
      <w:r>
        <w:t xml:space="preserve"> </w:t>
      </w:r>
      <w:r>
        <w:t xml:space="preserve">from the</w:t>
      </w:r>
      <w:r>
        <w:t xml:space="preserve"> </w:t>
      </w:r>
      <w:hyperlink r:id="rId48">
        <w:r>
          <w:rPr>
            <w:rStyle w:val="Hyperlink"/>
          </w:rPr>
          <w:t xml:space="preserve">nmfs-opensci GitHub</w:t>
        </w:r>
      </w:hyperlink>
      <w:r>
        <w:t xml:space="preserve">.</w:t>
      </w:r>
    </w:p>
    <w:bookmarkEnd w:id="49"/>
    <w:bookmarkEnd w:id="50"/>
    <w:bookmarkEnd w:id="51"/>
    <w:bookmarkStart w:id="60"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2"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2"/>
    <w:bookmarkStart w:id="53"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3"/>
    <w:bookmarkStart w:id="54"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4"/>
    <w:bookmarkStart w:id="55"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55"/>
    <w:bookmarkStart w:id="56"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56"/>
    <w:bookmarkStart w:id="59" w:name="attribution"/>
    <w:p>
      <w:pPr>
        <w:pStyle w:val="Heading2"/>
      </w:pPr>
      <w:r>
        <w:t xml:space="preserve">2.6 Attribution</w:t>
      </w:r>
    </w:p>
    <w:p>
      <w:pPr>
        <w:pStyle w:val="FirstParagraph"/>
      </w:pPr>
      <w:r>
        <w:t xml:space="preserve">This Code of Conduct is adapted from the</w:t>
      </w:r>
      <w:r>
        <w:t xml:space="preserve"> </w:t>
      </w:r>
      <w:hyperlink r:id="rId57">
        <w:r>
          <w:rPr>
            <w:rStyle w:val="Hyperlink"/>
          </w:rPr>
          <w:t xml:space="preserve">Contributor Covenant</w:t>
        </w:r>
      </w:hyperlink>
      <w:r>
        <w:t xml:space="preserve">, version 1.4, available at</w:t>
      </w:r>
      <w:r>
        <w:t xml:space="preserve"> </w:t>
      </w:r>
      <w:hyperlink r:id="rId58">
        <w:r>
          <w:rPr>
            <w:rStyle w:val="Hyperlink"/>
          </w:rPr>
          <w:t xml:space="preserve">https://contributor-covenant.org/version/1/4</w:t>
        </w:r>
      </w:hyperlink>
    </w:p>
    <w:bookmarkEnd w:id="59"/>
    <w:bookmarkEnd w:id="60"/>
    <w:bookmarkStart w:id="75" w:name="data-acquisition"/>
    <w:p>
      <w:pPr>
        <w:pStyle w:val="Heading1"/>
      </w:pPr>
      <w:r>
        <w:t xml:space="preserve">3. Data Acquisition</w:t>
      </w:r>
    </w:p>
    <w:bookmarkStart w:id="67" w:name="survey-equipment"/>
    <w:p>
      <w:pPr>
        <w:pStyle w:val="Heading2"/>
      </w:pPr>
      <w:r>
        <w:t xml:space="preserve">3.1 Survey Equipment</w:t>
      </w:r>
    </w:p>
    <w:bookmarkStart w:id="65"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4" w:name="fig-transducers"/>
          <w:p>
            <w:pPr>
              <w:pStyle w:val="Compact"/>
              <w:jc w:val="left"/>
            </w:pPr>
            <w:r>
              <w:drawing>
                <wp:inline>
                  <wp:extent cx="5895975" cy="3028950"/>
                  <wp:effectExtent b="0" l="0" r="0" t="0"/>
                  <wp:docPr descr="" title="" id="62" name="Picture"/>
                  <a:graphic>
                    <a:graphicData uri="http://schemas.openxmlformats.org/drawingml/2006/picture">
                      <pic:pic>
                        <pic:nvPicPr>
                          <pic:cNvPr descr="content/images/transducers.jpg" id="63" name="Picture"/>
                          <pic:cNvPicPr>
                            <a:picLocks noChangeArrowheads="1" noChangeAspect="1"/>
                          </pic:cNvPicPr>
                        </pic:nvPicPr>
                        <pic:blipFill>
                          <a:blip r:embed="rId6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65"/>
    <w:bookmarkStart w:id="66"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66"/>
    <w:bookmarkEnd w:id="67"/>
    <w:bookmarkStart w:id="73" w:name="software"/>
    <w:p>
      <w:pPr>
        <w:pStyle w:val="Heading2"/>
      </w:pPr>
      <w:r>
        <w:t xml:space="preserve">3.2 Software</w:t>
      </w:r>
    </w:p>
    <w:bookmarkStart w:id="68" w:name="echosounder-software"/>
    <w:p>
      <w:pPr>
        <w:pStyle w:val="Heading3"/>
      </w:pPr>
      <w:r>
        <w:t xml:space="preserve">3.2.1 Echosounder Software</w:t>
      </w:r>
    </w:p>
    <w:p>
      <w:pPr>
        <w:pStyle w:val="FirstParagraph"/>
      </w:pPr>
      <w:r>
        <w:t xml:space="preserve">EK80</w:t>
      </w:r>
    </w:p>
    <w:bookmarkEnd w:id="68"/>
    <w:bookmarkStart w:id="69"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69"/>
    <w:bookmarkStart w:id="71" w:name="eal"/>
    <w:p>
      <w:pPr>
        <w:pStyle w:val="Heading3"/>
      </w:pPr>
      <w:r>
        <w:t xml:space="preserve">3.2.3 EAL</w:t>
      </w:r>
    </w:p>
    <w:p>
      <w:pPr>
        <w:pStyle w:val="FirstParagraph"/>
      </w:pPr>
      <w:r>
        <w:t xml:space="preserve">The 38-, 70-, 120-, 200-, and 333-kHz echosounders were controlled by the EK80 Adaptive Logger (EAL</w:t>
      </w:r>
      <w:hyperlink r:id="rId7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1"/>
    <w:bookmarkStart w:id="72"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2"/>
    <w:bookmarkEnd w:id="73"/>
    <w:bookmarkStart w:id="74"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4"/>
    <w:bookmarkEnd w:id="75"/>
    <w:bookmarkStart w:id="98"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76">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0"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78" name="Picture"/>
            <a:graphic>
              <a:graphicData uri="http://schemas.openxmlformats.org/drawingml/2006/picture">
                <pic:pic>
                  <pic:nvPicPr>
                    <pic:cNvPr descr="content/images/processing-overview.JPG" id="79" name="Picture"/>
                    <pic:cNvPicPr>
                      <a:picLocks noChangeArrowheads="1" noChangeAspect="1"/>
                    </pic:cNvPicPr>
                  </pic:nvPicPr>
                  <pic:blipFill>
                    <a:blip r:embed="rId77"/>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0"/>
    <w:bookmarkStart w:id="89"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2" name="Picture"/>
            <a:graphic>
              <a:graphicData uri="http://schemas.openxmlformats.org/drawingml/2006/picture">
                <pic:pic>
                  <pic:nvPicPr>
                    <pic:cNvPr descr="content/images/ev-processing.JPG" id="83" name="Picture"/>
                    <pic:cNvPicPr>
                      <a:picLocks noChangeArrowheads="1" noChangeAspect="1"/>
                    </pic:cNvPicPr>
                  </pic:nvPicPr>
                  <pic:blipFill>
                    <a:blip r:embed="rId81"/>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4"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4"/>
    <w:bookmarkStart w:id="87" w:name="X9ac12c32254d145b8615f158a53eebaa863fcad"/>
    <w:p>
      <w:pPr>
        <w:pStyle w:val="Heading4"/>
      </w:pPr>
      <w:r>
        <w:t xml:space="preserve">4.0.2.2</w:t>
      </w:r>
      <w:r>
        <w:t xml:space="preserve"> </w:t>
      </w:r>
      <w:r>
        <w:rPr>
          <w:b/>
          <w:bCs/>
        </w:rPr>
        <w:t xml:space="preserve">Section 2) Echo Classification for Swim Bladder Fish</w:t>
      </w:r>
    </w:p>
    <w:bookmarkStart w:id="85"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85"/>
    <w:bookmarkStart w:id="86"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86"/>
    <w:bookmarkEnd w:id="87"/>
    <w:bookmarkStart w:id="88"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88"/>
    <w:bookmarkEnd w:id="89"/>
    <w:bookmarkStart w:id="97"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1" name="Picture"/>
            <a:graphic>
              <a:graphicData uri="http://schemas.openxmlformats.org/drawingml/2006/picture">
                <pic:pic>
                  <pic:nvPicPr>
                    <pic:cNvPr descr="content/images/nascr_processing.JPG" id="92" name="Picture"/>
                    <pic:cNvPicPr>
                      <a:picLocks noChangeArrowheads="1" noChangeAspect="1"/>
                    </pic:cNvPicPr>
                  </pic:nvPicPr>
                  <pic:blipFill>
                    <a:blip r:embed="rId90"/>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3">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95" name="Picture"/>
            <a:graphic>
              <a:graphicData uri="http://schemas.openxmlformats.org/drawingml/2006/picture">
                <pic:pic>
                  <pic:nvPicPr>
                    <pic:cNvPr descr="content/images/nascr_processing_result.JPG" id="96" name="Picture"/>
                    <pic:cNvPicPr>
                      <a:picLocks noChangeArrowheads="1" noChangeAspect="1"/>
                    </pic:cNvPicPr>
                  </pic:nvPicPr>
                  <pic:blipFill>
                    <a:blip r:embed="rId94"/>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97"/>
    <w:bookmarkEnd w:id="98"/>
    <w:bookmarkStart w:id="113" w:name="backscatter-identification"/>
    <w:p>
      <w:pPr>
        <w:pStyle w:val="Heading1"/>
      </w:pPr>
      <w:r>
        <w:t xml:space="preserve">5. Backscatter Identification</w:t>
      </w:r>
    </w:p>
    <w:p>
      <w:pPr>
        <w:pStyle w:val="FirstParagraph"/>
      </w:pPr>
      <w:r>
        <w:drawing>
          <wp:inline>
            <wp:extent cx="5943600" cy="2980688"/>
            <wp:effectExtent b="0" l="0" r="0" t="0"/>
            <wp:docPr descr="" title="" id="100" name="Picture"/>
            <a:graphic>
              <a:graphicData uri="http://schemas.openxmlformats.org/drawingml/2006/picture">
                <pic:pic>
                  <pic:nvPicPr>
                    <pic:cNvPr descr="content/images/processing-CPS.JPG" id="101" name="Picture"/>
                    <pic:cNvPicPr>
                      <a:picLocks noChangeArrowheads="1" noChangeAspect="1"/>
                    </pic:cNvPicPr>
                  </pic:nvPicPr>
                  <pic:blipFill>
                    <a:blip r:embed="rId99"/>
                    <a:stretch>
                      <a:fillRect/>
                    </a:stretch>
                  </pic:blipFill>
                  <pic:spPr bwMode="auto">
                    <a:xfrm>
                      <a:off x="0" y="0"/>
                      <a:ext cx="5943600" cy="2980688"/>
                    </a:xfrm>
                    <a:prstGeom prst="rect">
                      <a:avLst/>
                    </a:prstGeom>
                    <a:noFill/>
                    <a:ln w="9525">
                      <a:noFill/>
                      <a:headEnd/>
                      <a:tailEnd/>
                    </a:ln>
                  </pic:spPr>
                </pic:pic>
              </a:graphicData>
            </a:graphic>
          </wp:inline>
        </w:drawing>
      </w:r>
    </w:p>
    <w:p>
      <w:pPr>
        <w:pStyle w:val="BodyText"/>
      </w:pPr>
      <w:r>
        <w:t xml:space="preserve">When performing the final step in CPS backscatter processing, there are several assumptions and acoustic characteristics about CPS that allow us to refine our classification. This process aims to distinguish CPS from non-target species from mid-water, demersal, and benthic swim bladder fishes.</w:t>
      </w:r>
    </w:p>
    <w:bookmarkStart w:id="107"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We estimate the dorsal surface area of a swimbladder (swimbladder size) based on a function of fish lengths sampled from nightly trawl catches. Knowing the approximate dorsal surface area of a swimbladder allows us to calcualte an acoustic backscattering coefficeint and derive a target strength for each CPS species.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2">
        <w:r>
          <w:rPr>
            <w:rStyle w:val="Hyperlink"/>
          </w:rPr>
          <w:t xml:space="preserve">here</w:t>
        </w:r>
      </w:hyperlink>
      <w:r>
        <w:t xml:space="preserve">.</w:t>
      </w:r>
    </w:p>
    <w:p>
      <w:pPr>
        <w:pStyle w:val="BodyText"/>
      </w:pPr>
      <w:r>
        <w:t xml:space="preserve">When looking at Echoview echograms of acoustic transects, visually we look for how the volume backscattering strength (</w:t>
      </w:r>
      <w:r>
        <w:rPr>
          <w:rStyle w:val="VerbatimChar"/>
        </w:rPr>
        <w:t xml:space="preserve">Sv)</w:t>
      </w:r>
      <w:r>
        <w:t xml:space="preserve"> </w:t>
      </w:r>
      <w:r>
        <w:t xml:space="preserve">changes over each frequency. We refer to this as the frequency response. Swimbladder fish are expected to have a flat or decreasing frequency response across 38kHz, 70kHz, 120kHz, and 200kHz (cite image).</w:t>
      </w:r>
    </w:p>
    <w:bookmarkStart w:id="106" w:name="frequency"/>
    <w:p>
      <w:pPr>
        <w:pStyle w:val="BodyText"/>
      </w:pPr>
      <w:r>
        <w:drawing>
          <wp:inline>
            <wp:extent cx="5943600" cy="2372310"/>
            <wp:effectExtent b="0" l="0" r="0" t="0"/>
            <wp:docPr descr="" title="" id="104" name="Picture"/>
            <a:graphic>
              <a:graphicData uri="http://schemas.openxmlformats.org/drawingml/2006/picture">
                <pic:pic>
                  <pic:nvPicPr>
                    <pic:cNvPr descr="content/images/CPS-freq-response.JPG" id="105" name="Picture"/>
                    <pic:cNvPicPr>
                      <a:picLocks noChangeArrowheads="1" noChangeAspect="1"/>
                    </pic:cNvPicPr>
                  </pic:nvPicPr>
                  <pic:blipFill>
                    <a:blip r:embed="rId103"/>
                    <a:stretch>
                      <a:fillRect/>
                    </a:stretch>
                  </pic:blipFill>
                  <pic:spPr bwMode="auto">
                    <a:xfrm>
                      <a:off x="0" y="0"/>
                      <a:ext cx="5943600" cy="2372310"/>
                    </a:xfrm>
                    <a:prstGeom prst="rect">
                      <a:avLst/>
                    </a:prstGeom>
                    <a:noFill/>
                    <a:ln w="9525">
                      <a:noFill/>
                      <a:headEnd/>
                      <a:tailEnd/>
                    </a:ln>
                  </pic:spPr>
                </pic:pic>
              </a:graphicData>
            </a:graphic>
          </wp:inline>
        </w:drawing>
      </w:r>
    </w:p>
    <w:bookmarkEnd w:id="106"/>
    <w:bookmarkEnd w:id="107"/>
    <w:bookmarkStart w:id="112" w:name="biological-characteristics-of-cps"/>
    <w:p>
      <w:pPr>
        <w:pStyle w:val="Heading4"/>
      </w:pPr>
      <w:r>
        <w:t xml:space="preserve">5.0.0.2</w:t>
      </w:r>
      <w:r>
        <w:t xml:space="preserve"> </w:t>
      </w:r>
      <w:r>
        <w:rPr>
          <w:b/>
          <w:bCs/>
        </w:rPr>
        <w:t xml:space="preserve">Biological Characteristics of CPS</w:t>
      </w:r>
    </w:p>
    <w:p>
      <w:pPr>
        <w:numPr>
          <w:ilvl w:val="0"/>
          <w:numId w:val="1010"/>
        </w:numPr>
      </w:pPr>
      <w:r>
        <w:t xml:space="preserve">Temperature ranges from 8 deg C to 24 deg C and salinity from 30-38 psu</w:t>
      </w:r>
      <w:r>
        <w:t xml:space="preserve"> </w:t>
      </w:r>
      <w:r>
        <w:t xml:space="preserve">(J. P. Zwolinski et al. 2010)</w:t>
      </w:r>
    </w:p>
    <w:p>
      <w:pPr>
        <w:numPr>
          <w:ilvl w:val="0"/>
          <w:numId w:val="1010"/>
        </w:numPr>
      </w:pPr>
      <w:r>
        <w:t xml:space="preserve">Diffuse schools observed offshore near the surface or deeper than ~250m</w:t>
      </w:r>
    </w:p>
    <w:p>
      <w:pPr>
        <w:numPr>
          <w:ilvl w:val="0"/>
          <w:numId w:val="1010"/>
        </w:numPr>
      </w:pPr>
      <w:r>
        <w:t xml:space="preserve">Rockfish tend to be located in areas where the seabed is hard and rugged</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109" name="Picture"/>
            <a:graphic>
              <a:graphicData uri="http://schemas.openxmlformats.org/drawingml/2006/picture">
                <pic:pic>
                  <pic:nvPicPr>
                    <pic:cNvPr descr="content/images/backscatter_decision_tree.JPG" id="110" name="Picture"/>
                    <pic:cNvPicPr>
                      <a:picLocks noChangeArrowheads="1" noChangeAspect="1"/>
                    </pic:cNvPicPr>
                  </pic:nvPicPr>
                  <pic:blipFill>
                    <a:blip r:embed="rId108"/>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111">
        <w:r>
          <w:rPr>
            <w:rStyle w:val="Hyperlink"/>
          </w:rPr>
          <w:t xml:space="preserve">this google document</w:t>
        </w:r>
      </w:hyperlink>
      <w:r>
        <w:t xml:space="preserve">.</w:t>
      </w:r>
    </w:p>
    <w:bookmarkEnd w:id="112"/>
    <w:bookmarkEnd w:id="113"/>
    <w:bookmarkStart w:id="125"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20"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15" name="Picture"/>
            <a:graphic>
              <a:graphicData uri="http://schemas.openxmlformats.org/drawingml/2006/picture">
                <pic:pic>
                  <pic:nvPicPr>
                    <pic:cNvPr descr="content/images/trawl-selection-plotsurvey-056C.JPG" id="116" name="Picture"/>
                    <pic:cNvPicPr>
                      <a:picLocks noChangeArrowheads="1" noChangeAspect="1"/>
                    </pic:cNvPicPr>
                  </pic:nvPicPr>
                  <pic:blipFill>
                    <a:blip r:embed="rId114"/>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18" name="Picture"/>
            <a:graphic>
              <a:graphicData uri="http://schemas.openxmlformats.org/drawingml/2006/picture">
                <pic:pic>
                  <pic:nvPicPr>
                    <pic:cNvPr descr="content/images/trawl-selection-plotsurvey-backscatter.JPG" id="119" name="Picture"/>
                    <pic:cNvPicPr>
                      <a:picLocks noChangeArrowheads="1" noChangeAspect="1"/>
                    </pic:cNvPicPr>
                  </pic:nvPicPr>
                  <pic:blipFill>
                    <a:blip r:embed="rId117"/>
                    <a:stretch>
                      <a:fillRect/>
                    </a:stretch>
                  </pic:blipFill>
                  <pic:spPr bwMode="auto">
                    <a:xfrm>
                      <a:off x="0" y="0"/>
                      <a:ext cx="3209925" cy="2489798"/>
                    </a:xfrm>
                    <a:prstGeom prst="rect">
                      <a:avLst/>
                    </a:prstGeom>
                    <a:noFill/>
                    <a:ln w="9525">
                      <a:noFill/>
                      <a:headEnd/>
                      <a:tailEnd/>
                    </a:ln>
                  </pic:spPr>
                </pic:pic>
              </a:graphicData>
            </a:graphic>
          </wp:inline>
        </w:drawing>
      </w:r>
    </w:p>
    <w:bookmarkEnd w:id="120"/>
    <w:bookmarkStart w:id="124"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22" name="Picture"/>
            <a:graphic>
              <a:graphicData uri="http://schemas.openxmlformats.org/drawingml/2006/picture">
                <pic:pic>
                  <pic:nvPicPr>
                    <pic:cNvPr descr="content/images/trawl-selection.JPG" id="123" name="Picture"/>
                    <pic:cNvPicPr>
                      <a:picLocks noChangeArrowheads="1" noChangeAspect="1"/>
                    </pic:cNvPicPr>
                  </pic:nvPicPr>
                  <pic:blipFill>
                    <a:blip r:embed="rId121"/>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1"/>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1"/>
        </w:numPr>
      </w:pPr>
      <w:r>
        <w:t xml:space="preserve">Charted bathymetry – Pacific sardines can be found from the ocean surface to ~350m in depth and typically reside around smoother (less rocky) bottom types.</w:t>
      </w:r>
    </w:p>
    <w:p>
      <w:pPr>
        <w:numPr>
          <w:ilvl w:val="0"/>
          <w:numId w:val="1011"/>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24"/>
    <w:bookmarkEnd w:id="125"/>
    <w:bookmarkStart w:id="129" w:name="biomass-calculation"/>
    <w:p>
      <w:pPr>
        <w:pStyle w:val="Heading1"/>
      </w:pPr>
      <w:r>
        <w:t xml:space="preserve">7. Biomass Calculation</w:t>
      </w:r>
    </w:p>
    <w:p>
      <w:pPr>
        <w:pStyle w:val="FirstParagraph"/>
      </w:pPr>
      <w:r>
        <w:drawing>
          <wp:inline>
            <wp:extent cx="5943600" cy="4250629"/>
            <wp:effectExtent b="0" l="0" r="0" t="0"/>
            <wp:docPr descr="" title="" id="127" name="Picture"/>
            <a:graphic>
              <a:graphicData uri="http://schemas.openxmlformats.org/drawingml/2006/picture">
                <pic:pic>
                  <pic:nvPicPr>
                    <pic:cNvPr descr="content/images/estimATM_dataflow.JPG" id="128" name="Picture"/>
                    <pic:cNvPicPr>
                      <a:picLocks noChangeArrowheads="1" noChangeAspect="1"/>
                    </pic:cNvPicPr>
                  </pic:nvPicPr>
                  <pic:blipFill>
                    <a:blip r:embed="rId126"/>
                    <a:stretch>
                      <a:fillRect/>
                    </a:stretch>
                  </pic:blipFill>
                  <pic:spPr bwMode="auto">
                    <a:xfrm>
                      <a:off x="0" y="0"/>
                      <a:ext cx="5943600" cy="4250629"/>
                    </a:xfrm>
                    <a:prstGeom prst="rect">
                      <a:avLst/>
                    </a:prstGeom>
                    <a:noFill/>
                    <a:ln w="9525">
                      <a:noFill/>
                      <a:headEnd/>
                      <a:tailEnd/>
                    </a:ln>
                  </pic:spPr>
                </pic:pic>
              </a:graphicData>
            </a:graphic>
          </wp:inline>
        </w:drawing>
      </w:r>
    </w:p>
    <w:bookmarkEnd w:id="129"/>
    <w:bookmarkStart w:id="145" w:name="references"/>
    <w:p>
      <w:pPr>
        <w:pStyle w:val="Heading1"/>
      </w:pPr>
      <w:r>
        <w:t xml:space="preserve">References</w:t>
      </w:r>
    </w:p>
    <w:bookmarkStart w:id="144" w:name="refs"/>
    <w:bookmarkStart w:id="131"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30">
        <w:r>
          <w:rPr>
            <w:rStyle w:val="Hyperlink"/>
          </w:rPr>
          <w:t xml:space="preserve">https://doi.org/10.1093/icesjms/fsm112</w:t>
        </w:r>
      </w:hyperlink>
      <w:r>
        <w:t xml:space="preserve">.</w:t>
      </w:r>
    </w:p>
    <w:bookmarkEnd w:id="131"/>
    <w:bookmarkStart w:id="133"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32">
        <w:r>
          <w:rPr>
            <w:rStyle w:val="Hyperlink"/>
          </w:rPr>
          <w:t xml:space="preserve">https://doi.org/10.1093/icesjms/fsp054</w:t>
        </w:r>
      </w:hyperlink>
      <w:r>
        <w:t xml:space="preserve">.</w:t>
      </w:r>
    </w:p>
    <w:bookmarkEnd w:id="133"/>
    <w:bookmarkStart w:id="135"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34">
        <w:r>
          <w:rPr>
            <w:rStyle w:val="Hyperlink"/>
          </w:rPr>
          <w:t xml:space="preserve">https://doi.org/10.25923/R2FZ-4Y79</w:t>
        </w:r>
      </w:hyperlink>
      <w:r>
        <w:t xml:space="preserve">.</w:t>
      </w:r>
    </w:p>
    <w:bookmarkEnd w:id="135"/>
    <w:bookmarkStart w:id="137"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36">
        <w:r>
          <w:rPr>
            <w:rStyle w:val="Hyperlink"/>
          </w:rPr>
          <w:t xml:space="preserve">https://doi.org/10.25923/1VGS-SF98</w:t>
        </w:r>
      </w:hyperlink>
      <w:r>
        <w:t xml:space="preserve">.</w:t>
      </w:r>
    </w:p>
    <w:bookmarkEnd w:id="137"/>
    <w:bookmarkStart w:id="139"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38">
        <w:r>
          <w:rPr>
            <w:rStyle w:val="Hyperlink"/>
          </w:rPr>
          <w:t xml:space="preserve">https://doi.org/10.1093/icesjms/fsr038</w:t>
        </w:r>
      </w:hyperlink>
      <w:r>
        <w:t xml:space="preserve">.</w:t>
      </w:r>
    </w:p>
    <w:bookmarkEnd w:id="139"/>
    <w:bookmarkStart w:id="141"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40">
        <w:r>
          <w:rPr>
            <w:rStyle w:val="Hyperlink"/>
          </w:rPr>
          <w:t xml:space="preserve">https://doi.org/10.1093/icesjms/fsq068</w:t>
        </w:r>
      </w:hyperlink>
      <w:r>
        <w:t xml:space="preserve">.</w:t>
      </w:r>
    </w:p>
    <w:bookmarkEnd w:id="141"/>
    <w:bookmarkStart w:id="143"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42">
        <w:r>
          <w:rPr>
            <w:rStyle w:val="Hyperlink"/>
          </w:rPr>
          <w:t xml:space="preserve">https://doi.org/10.5670/oceanog.2014.87</w:t>
        </w:r>
      </w:hyperlink>
      <w:r>
        <w:t xml:space="preserve">.</w:t>
      </w:r>
    </w:p>
    <w:bookmarkEnd w:id="143"/>
    <w:bookmarkEnd w:id="144"/>
    <w:bookmarkEnd w:id="145"/>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3" Target="media/rId103.jpg" /><Relationship Type="http://schemas.openxmlformats.org/officeDocument/2006/relationships/image" Id="rId108" Target="media/rId108.jpg" /><Relationship Type="http://schemas.openxmlformats.org/officeDocument/2006/relationships/image" Id="rId36" Target="media/rId36.png" /><Relationship Type="http://schemas.openxmlformats.org/officeDocument/2006/relationships/image" Id="rId126" Target="media/rId126.jpg" /><Relationship Type="http://schemas.openxmlformats.org/officeDocument/2006/relationships/image" Id="rId81" Target="media/rId81.jpg" /><Relationship Type="http://schemas.openxmlformats.org/officeDocument/2006/relationships/image" Id="rId39" Target="media/rId39.png" /><Relationship Type="http://schemas.openxmlformats.org/officeDocument/2006/relationships/image" Id="rId22" Target="media/rId22.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9" Target="media/rId99.jpg" /><Relationship Type="http://schemas.openxmlformats.org/officeDocument/2006/relationships/image" Id="rId77" Target="media/rId77.jpg" /><Relationship Type="http://schemas.openxmlformats.org/officeDocument/2006/relationships/image" Id="rId61" Target="media/rId61.jpg"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121" Target="media/rId121.jpg" /><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1" Target="https://docs.google.com/document/d/1-YxJs1veotnSZJIWPH6vJjYOA5Dt1iETaqmNv8eNoTk/edit?tab=t.0" TargetMode="External" /><Relationship Type="http://schemas.openxmlformats.org/officeDocument/2006/relationships/hyperlink" Id="rId130" Target="https://doi.org/10.1093/icesjms/fsm112" TargetMode="External" /><Relationship Type="http://schemas.openxmlformats.org/officeDocument/2006/relationships/hyperlink" Id="rId132" Target="https://doi.org/10.1093/icesjms/fsp054" TargetMode="External" /><Relationship Type="http://schemas.openxmlformats.org/officeDocument/2006/relationships/hyperlink" Id="rId140" Target="https://doi.org/10.1093/icesjms/fsq068" TargetMode="External" /><Relationship Type="http://schemas.openxmlformats.org/officeDocument/2006/relationships/hyperlink" Id="rId138" Target="https://doi.org/10.1093/icesjms/fsr038" TargetMode="External" /><Relationship Type="http://schemas.openxmlformats.org/officeDocument/2006/relationships/hyperlink" Id="rId136" Target="https://doi.org/10.25923/1VGS-SF98" TargetMode="External" /><Relationship Type="http://schemas.openxmlformats.org/officeDocument/2006/relationships/hyperlink" Id="rId134" Target="https://doi.org/10.25923/R2FZ-4Y79" TargetMode="External" /><Relationship Type="http://schemas.openxmlformats.org/officeDocument/2006/relationships/hyperlink" Id="rId142"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6"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1" Target="https://docs.google.com/document/d/1-YxJs1veotnSZJIWPH6vJjYOA5Dt1iETaqmNv8eNoTk/edit?tab=t.0" TargetMode="External" /><Relationship Type="http://schemas.openxmlformats.org/officeDocument/2006/relationships/hyperlink" Id="rId130" Target="https://doi.org/10.1093/icesjms/fsm112" TargetMode="External" /><Relationship Type="http://schemas.openxmlformats.org/officeDocument/2006/relationships/hyperlink" Id="rId132" Target="https://doi.org/10.1093/icesjms/fsp054" TargetMode="External" /><Relationship Type="http://schemas.openxmlformats.org/officeDocument/2006/relationships/hyperlink" Id="rId140" Target="https://doi.org/10.1093/icesjms/fsq068" TargetMode="External" /><Relationship Type="http://schemas.openxmlformats.org/officeDocument/2006/relationships/hyperlink" Id="rId138" Target="https://doi.org/10.1093/icesjms/fsr038" TargetMode="External" /><Relationship Type="http://schemas.openxmlformats.org/officeDocument/2006/relationships/hyperlink" Id="rId136" Target="https://doi.org/10.25923/1VGS-SF98" TargetMode="External" /><Relationship Type="http://schemas.openxmlformats.org/officeDocument/2006/relationships/hyperlink" Id="rId134" Target="https://doi.org/10.25923/R2FZ-4Y79" TargetMode="External" /><Relationship Type="http://schemas.openxmlformats.org/officeDocument/2006/relationships/hyperlink" Id="rId142"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6"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2024-12-18T19:02:46Z</dcterms:created>
  <dcterms:modified xsi:type="dcterms:W3CDTF">2024-12-18T19:02:46Z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