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0.jpg" ContentType="image/jpeg"/>
  <Override PartName="/word/media/rId29.png" ContentType="image/png"/>
  <Override PartName="/word/media/rId63.jpg" ContentType="image/jpeg"/>
  <Override PartName="/word/media/rId32.png" ContentType="image/png"/>
  <Override PartName="/word/media/rId72.jpg" ContentType="image/jpeg"/>
  <Override PartName="/word/media/rId75.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2024-12-04 18:49:11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4" w:name="data-acquisition"/>
    <w:p>
      <w:pPr>
        <w:pStyle w:val="Heading1"/>
      </w:pPr>
      <w:r>
        <w:t xml:space="preserve">2. Data Acquisition</w:t>
      </w:r>
    </w:p>
    <w:bookmarkStart w:id="46" w:name="survey-equipment"/>
    <w:p>
      <w:pPr>
        <w:pStyle w:val="Heading2"/>
      </w:pPr>
      <w:r>
        <w:t xml:space="preserve">2.1 Survey Equipment</w:t>
      </w:r>
    </w:p>
    <w:bookmarkStart w:id="44" w:name="acoustic-instruments"/>
    <w:p>
      <w:pPr>
        <w:pStyle w:val="Heading3"/>
      </w:pPr>
      <w:r>
        <w:t xml:space="preserve">2.1.1 Acoustic Instruments</w:t>
      </w:r>
    </w:p>
    <w:p>
      <w:pPr>
        <w:pStyle w:val="CaptionedFigure"/>
      </w:pPr>
      <w:r>
        <w:drawing>
          <wp:inline>
            <wp:extent cx="5895975" cy="3028950"/>
            <wp:effectExtent b="0" l="0" r="0" t="0"/>
            <wp:docPr descr="Transducer locations on the bottom of the centerboard aboard Laske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pStyle w:val="ImageCaption"/>
      </w:pPr>
      <w:r>
        <w:t xml:space="preserve">Transducer locations on the bottom of the centerboard aboard Lasker.</w:t>
      </w:r>
    </w:p>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The keel was retracted (transducers ~5-m depth) during calibration, and extended to the intermediate position (transducers ~7-m depth) during the survey. Exceptions were made during shallow water operations, when the keel was re- 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4"/>
    <w:bookmarkStart w:id="45"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epipelagic CPS reside during the day. These data were also used to estimate the time-averaged sound speed (Demer, 2004), for estimating ranges to the sound scatterers, and frequency-specifc sound absorption coefcients, for compensating signal attenuation of the sound pulse between the transducer and scatterers (Simmonds and MacLennan, 2005).</w:t>
      </w:r>
    </w:p>
    <w:bookmarkEnd w:id="45"/>
    <w:bookmarkEnd w:id="46"/>
    <w:bookmarkStart w:id="52" w:name="software"/>
    <w:p>
      <w:pPr>
        <w:pStyle w:val="Heading2"/>
      </w:pPr>
      <w:r>
        <w:t xml:space="preserve">2.2 Software</w:t>
      </w:r>
    </w:p>
    <w:bookmarkStart w:id="47" w:name="echosounder-software"/>
    <w:p>
      <w:pPr>
        <w:pStyle w:val="Heading3"/>
      </w:pPr>
      <w:r>
        <w:t xml:space="preserve">2.2.1 Echosounder Software</w:t>
      </w:r>
    </w:p>
    <w:p>
      <w:pPr>
        <w:pStyle w:val="FirstParagraph"/>
      </w:pPr>
      <w:r>
        <w:t xml:space="preserve">EK80</w:t>
      </w:r>
    </w:p>
    <w:bookmarkEnd w:id="47"/>
    <w:bookmarkStart w:id="48"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8"/>
    <w:bookmarkStart w:id="50" w:name="eal"/>
    <w:p>
      <w:pPr>
        <w:pStyle w:val="Heading3"/>
      </w:pPr>
      <w:r>
        <w:t xml:space="preserve">2.2.3 EAL</w:t>
      </w:r>
    </w:p>
    <w:p>
      <w:pPr>
        <w:pStyle w:val="FirstParagraph"/>
      </w:pPr>
      <w:r>
        <w:t xml:space="preserve">The 38-, 70-, 120-, 200-, and 333-kHz echosounders were controlled by the EK80 Adaptive Logger (EAL</w:t>
      </w:r>
      <w:hyperlink r:id="rId49">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0"/>
    <w:bookmarkStart w:id="51"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profler and echosounder (Simrad-Kongsberg EC150-3C), multibeam echosounder (Simrad- Kongsberg ME70), imaging sonar (Simrad-Kongsberg MS70), scanning sonar (Simrad-Kongsberg SX90), and a separate acoustic Doppler current profler (Teledyne RD Instruments OS75 ADCP) were triggered using a synchronization system (Simrad K-Sync; Kongsberg). The K-Sync trigger rate, and thus the echosounder ping interval, was modulated by the EAL using the 18-kHz seabed depth provided by the Scientifc Computing System (SCS).</w:t>
      </w:r>
    </w:p>
    <w:bookmarkEnd w:id="51"/>
    <w:bookmarkEnd w:id="52"/>
    <w:bookmarkStart w:id="53"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prefx for each fle name is a concatenation of the survey name (e.g., 2307RL), the operational mode (CW or FM), and the logging commencement date and time from the EK80 software (v21.15.1). For example, a fle generated by the Simrad-Kongsberg EK80 software for a WBT operated in CW mode is named 2307RL_CW-D20220826-T155651.raw.</w:t>
      </w:r>
    </w:p>
    <w:bookmarkEnd w:id="53"/>
    <w:bookmarkEnd w:id="54"/>
    <w:bookmarkStart w:id="56" w:name="data-workflow"/>
    <w:p>
      <w:pPr>
        <w:pStyle w:val="Heading1"/>
      </w:pPr>
      <w:r>
        <w:t xml:space="preserve">3. Data Workflow</w:t>
      </w:r>
    </w:p>
    <w:bookmarkStart w:id="55" w:name="X1e8b470d06c1be8e9e529a5172bdd50e76d24e0"/>
    <w:p>
      <w:pPr>
        <w:pStyle w:val="Heading3"/>
      </w:pPr>
      <w:r>
        <w:t xml:space="preserve">3.0.1 Data pipeline from boat to shore to report</w:t>
      </w:r>
    </w:p>
    <w:bookmarkEnd w:id="55"/>
    <w:bookmarkEnd w:id="56"/>
    <w:bookmarkStart w:id="60" w:name="data-preparation"/>
    <w:p>
      <w:pPr>
        <w:pStyle w:val="Heading1"/>
      </w:pPr>
      <w:r>
        <w:t xml:space="preserve">4. Data Preparation</w:t>
      </w:r>
    </w:p>
    <w:bookmarkStart w:id="59" w:name="select-regions-of-interest"/>
    <w:p>
      <w:pPr>
        <w:pStyle w:val="Heading3"/>
      </w:pPr>
      <w:r>
        <w:t xml:space="preserve">4.0.1 Select regions of interest</w:t>
      </w:r>
    </w:p>
    <w:bookmarkStart w:id="57" w:name="select-data-on-transect-lines"/>
    <w:p>
      <w:pPr>
        <w:pStyle w:val="Heading4"/>
      </w:pPr>
      <w:r>
        <w:t xml:space="preserve">4.0.1.1 Select data on transect lines</w:t>
      </w:r>
    </w:p>
    <w:bookmarkEnd w:id="57"/>
    <w:bookmarkStart w:id="58" w:name="integration-stop-and-start-lines"/>
    <w:p>
      <w:pPr>
        <w:pStyle w:val="Heading4"/>
      </w:pPr>
      <w:r>
        <w:t xml:space="preserve">4.0.1.2 Integration stop and start lines</w:t>
      </w:r>
    </w:p>
    <w:bookmarkEnd w:id="58"/>
    <w:bookmarkEnd w:id="59"/>
    <w:bookmarkEnd w:id="60"/>
    <w:bookmarkStart w:id="79" w:name="data-processing"/>
    <w:p>
      <w:pPr>
        <w:pStyle w:val="Heading1"/>
      </w:pPr>
      <w:r>
        <w:t xml:space="preserve">5. Data Processing</w:t>
      </w:r>
    </w:p>
    <w:p>
      <w:pPr>
        <w:pStyle w:val="FirstParagraph"/>
      </w:pPr>
      <w:r>
        <w:t xml:space="preserve">We identify acoustic echos of schooling CPS using a semi-automated data processing algorithm implemented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1">
        <w:r>
          <w:rPr>
            <w:rStyle w:val="Hyperlink"/>
          </w:rPr>
          <w:t xml:space="preserve">repository</w:t>
        </w:r>
      </w:hyperlink>
      <w:r>
        <w:t xml:space="preserve">. With Echoview we extract all non-seabed backscatter and backscatter of swim bladder fish. The Echoview filters and thresholds were based on a subsample of echoes from randomly selected CPS schools. The aim of the filter criteria is to retain at least 95% of the noise-free backscatter from CPS while rejecting at least 95% of the non-CPS backscatter.With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we keep only the CPS backscatter and remove non-CPS backscatter.</w:t>
      </w:r>
    </w:p>
    <w:bookmarkStart w:id="62" w:name="data-processing-overview"/>
    <w:p>
      <w:pPr>
        <w:pStyle w:val="Heading3"/>
      </w:pPr>
      <w:r>
        <w:t xml:space="preserve">5.0.1 Data Processing Overview</w:t>
      </w:r>
    </w:p>
    <w:p>
      <w:pPr>
        <w:pStyle w:val="FirstParagraph"/>
      </w:pPr>
      <w:r>
        <w:rPr>
          <w:i/>
          <w:iCs/>
        </w:rPr>
        <w:t xml:space="preserve">[Insert image of overview workflow diagram]</w:t>
      </w:r>
    </w:p>
    <w:bookmarkEnd w:id="62"/>
    <w:bookmarkStart w:id="71" w:name="echoview-processing-workflow"/>
    <w:p>
      <w:pPr>
        <w:pStyle w:val="Heading3"/>
      </w:pPr>
      <w:r>
        <w:t xml:space="preserve">5.0.2 Echoview Processing Workflow</w:t>
      </w:r>
    </w:p>
    <w:bookmarkStart w:id="66" w:name="automated-processing-in-echoview"/>
    <w:p>
      <w:pPr>
        <w:pStyle w:val="Heading4"/>
      </w:pPr>
      <w:r>
        <w:t xml:space="preserve">5.0.2.1</w:t>
      </w:r>
      <w:r>
        <w:t xml:space="preserve"> </w:t>
      </w:r>
      <w:r>
        <w:rPr>
          <w:b/>
          <w:bCs/>
          <w:i/>
          <w:iCs/>
        </w:rPr>
        <w:t xml:space="preserve">Automated Processing in Echoview</w:t>
      </w:r>
    </w:p>
    <w:p>
      <w:pPr>
        <w:pStyle w:val="CaptionedFigure"/>
      </w:pPr>
      <w:r>
        <w:drawing>
          <wp:inline>
            <wp:extent cx="5943600" cy="4848192"/>
            <wp:effectExtent b="0" l="0" r="0" t="0"/>
            <wp:docPr descr="Simplified dataflow of processing in Echoview" title="" id="64" name="Picture"/>
            <a:graphic>
              <a:graphicData uri="http://schemas.openxmlformats.org/drawingml/2006/picture">
                <pic:pic>
                  <pic:nvPicPr>
                    <pic:cNvPr descr="content/images/ev-processing.JPG" id="65" name="Picture"/>
                    <pic:cNvPicPr>
                      <a:picLocks noChangeArrowheads="1" noChangeAspect="1"/>
                    </pic:cNvPicPr>
                  </pic:nvPicPr>
                  <pic:blipFill>
                    <a:blip r:embed="rId63"/>
                    <a:stretch>
                      <a:fillRect/>
                    </a:stretch>
                  </pic:blipFill>
                  <pic:spPr bwMode="auto">
                    <a:xfrm>
                      <a:off x="0" y="0"/>
                      <a:ext cx="5943600" cy="4848192"/>
                    </a:xfrm>
                    <a:prstGeom prst="rect">
                      <a:avLst/>
                    </a:prstGeom>
                    <a:noFill/>
                    <a:ln w="9525">
                      <a:noFill/>
                      <a:headEnd/>
                      <a:tailEnd/>
                    </a:ln>
                  </pic:spPr>
                </pic:pic>
              </a:graphicData>
            </a:graphic>
          </wp:inline>
        </w:drawing>
      </w:r>
    </w:p>
    <w:p>
      <w:pPr>
        <w:pStyle w:val="ImageCaption"/>
      </w:pPr>
      <w:r>
        <w:t xml:space="preserve">Simplified dataflow of processing in Echoview</w:t>
      </w:r>
    </w:p>
    <w:bookmarkEnd w:id="66"/>
    <w:bookmarkStart w:id="67" w:name="data-averaging-and-cleaning"/>
    <w:p>
      <w:pPr>
        <w:pStyle w:val="Heading4"/>
      </w:pPr>
      <w:r>
        <w:t xml:space="preserve">5.0.2.2 Data Averaging and Cleaning:</w:t>
      </w:r>
    </w:p>
    <w:p>
      <w:pPr>
        <w:numPr>
          <w:ilvl w:val="0"/>
          <w:numId w:val="1002"/>
        </w:numPr>
      </w:pPr>
      <w:r>
        <w:t xml:space="preserve">Enter RAW EK80 acoustic data into Echoview and load ECS file.</w:t>
      </w:r>
    </w:p>
    <w:p>
      <w:pPr>
        <w:numPr>
          <w:ilvl w:val="0"/>
          <w:numId w:val="1002"/>
        </w:numPr>
      </w:pPr>
      <w:r>
        <w:t xml:space="preserve">Match geometry of all Sv variables to the 38-kHz Sv. This aligns pings from all transducers to 38-kHz.</w:t>
      </w:r>
    </w:p>
    <w:p>
      <w:pPr>
        <w:numPr>
          <w:ilvl w:val="0"/>
          <w:numId w:val="1002"/>
        </w:numPr>
      </w:pPr>
      <w:r>
        <w:t xml:space="preserve">Remove passive-mode pings and background noise:Estimate and subtract background noise using the background noise removal function (De Robertis and Higginbottom, 2007) in Echoview (Figs. 7b, e).</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w:t>
      </w:r>
    </w:p>
    <w:bookmarkEnd w:id="67"/>
    <w:bookmarkStart w:id="68" w:name="calculate-frequency-response"/>
    <w:p>
      <w:pPr>
        <w:pStyle w:val="Heading4"/>
      </w:pPr>
      <w:r>
        <w:t xml:space="preserve">5.0.2.3 Calculate Frequency Response:</w:t>
      </w:r>
    </w:p>
    <w:p>
      <w:pPr>
        <w:numPr>
          <w:ilvl w:val="0"/>
          <w:numId w:val="1003"/>
        </w:numPr>
      </w:pPr>
      <w:r>
        <w:t xml:space="preserve">For each pixel, compute: Sv,200kHz − Sv,38kHz, Sv,120kHz − Sv,38kHz, and Sv,70kHz − Sv,38kHz;</w:t>
      </w:r>
    </w:p>
    <w:p>
      <w:pPr>
        <w:numPr>
          <w:ilvl w:val="0"/>
          <w:numId w:val="1003"/>
        </w:numPr>
      </w:pPr>
      <w:r>
        <w:t xml:space="preserve">Create a Boolean echogram for Sv differences in the CPS range: −13.85 &lt; Sv,70kHz − Sv,38kHz &lt; 9.89 and − 13.5 &lt; Sv,120kHz − Sv,38kHz &lt; 9.37 and − 13.51 &lt; Sv,200kHz − Sv,38kHz &lt; 12.53</w:t>
      </w:r>
    </w:p>
    <w:bookmarkEnd w:id="68"/>
    <w:bookmarkStart w:id="69" w:name="calculate-standard-deviation"/>
    <w:p>
      <w:pPr>
        <w:pStyle w:val="Heading4"/>
      </w:pPr>
      <w:r>
        <w:t xml:space="preserve">5.0.2.4 Calculate Standard Deviation:</w:t>
      </w:r>
    </w:p>
    <w:p>
      <w:pPr>
        <w:numPr>
          <w:ilvl w:val="0"/>
          <w:numId w:val="1004"/>
        </w:numPr>
      </w:pPr>
      <w:r>
        <w:t xml:space="preserve">For 120 and 200 kHz, compute the squared difference between the noise-filtered Sv (Step 3) and averaged Sv (Step 4)</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w:t>
      </w:r>
    </w:p>
    <w:p>
      <w:pPr>
        <w:numPr>
          <w:ilvl w:val="0"/>
          <w:numId w:val="1004"/>
        </w:numPr>
      </w:pPr>
      <w:r>
        <w:t xml:space="preserve">Create a Boolean echogram based on the standard deviations in the CPS range: σ120kHz &gt; -65 dB and σ200kHz &gt; -65 dB. Diffuse backscattering layers have low σ (Zwolinski et al., 2010) 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(Figs. 7c, f );</w:t>
      </w:r>
    </w:p>
    <w:bookmarkEnd w:id="69"/>
    <w:bookmarkStart w:id="70" w:name="manual-processing-in-echoview"/>
    <w:p>
      <w:pPr>
        <w:pStyle w:val="Heading4"/>
      </w:pPr>
      <w:r>
        <w:t xml:space="preserve">5.0.2.5</w:t>
      </w:r>
      <w:r>
        <w:t xml:space="preserve"> </w:t>
      </w:r>
      <w:r>
        <w:rPr>
          <w:b/>
          <w:bCs/>
          <w:i/>
          <w:iCs/>
        </w:rPr>
        <w:t xml:space="preserve">Manual Processing in Echoview</w:t>
      </w:r>
    </w:p>
    <w:p>
      <w:pPr>
        <w:numPr>
          <w:ilvl w:val="0"/>
          <w:numId w:val="1005"/>
        </w:numPr>
      </w:pPr>
      <w:r>
        <w:t xml:space="preserve">Create an integration-start line 5 m below the transducer (~10 m depth);</w:t>
      </w:r>
    </w:p>
    <w:p>
      <w:pPr>
        <w:numPr>
          <w:ilvl w:val="0"/>
          <w:numId w:val="1005"/>
        </w:numPr>
      </w:pPr>
      <w:r>
        <w:t xml:space="preserve">Create an integration-stop line 3 m above the estimated seabed (Demer et al., 2009), or to the maximum logging range (e.g., 350 m), whichever is shallowest;</w:t>
      </w:r>
    </w:p>
    <w:p>
      <w:pPr>
        <w:numPr>
          <w:ilvl w:val="0"/>
          <w:numId w:val="1005"/>
        </w:numPr>
      </w:pPr>
      <w:r>
        <w:t xml:space="preserve">Set the minimum Sv threshold to -60 dB (corresponding to a density of approximately three 20-cm-long Pacific Sardine per 100 m3);</w:t>
      </w:r>
    </w:p>
    <w:p>
      <w:pPr>
        <w:numPr>
          <w:ilvl w:val="0"/>
          <w:numId w:val="1005"/>
        </w:numPr>
      </w:pPr>
      <w:r>
        <w:t xml:space="preserve">Integrate the volume backscattering coefficients (sV , m2 m-3) attributed to CPS over 5-m depths and averaged over 100-m distances;</w:t>
      </w:r>
    </w:p>
    <w:p>
      <w:pPr>
        <w:numPr>
          <w:ilvl w:val="0"/>
          <w:numId w:val="1005"/>
        </w:numPr>
      </w:pPr>
      <w:r>
        <w:t xml:space="preserve">Output the resulting nautical area scattering coefficients (sA; m2 nmi-2) and associated information from each transect and frequency to comma-delimited text (.csv) files.</w:t>
      </w:r>
    </w:p>
    <w:bookmarkEnd w:id="70"/>
    <w:bookmarkEnd w:id="71"/>
    <w:bookmarkStart w:id="78" w:name="posit-processing-workflow"/>
    <w:p>
      <w:pPr>
        <w:pStyle w:val="Heading3"/>
      </w:pPr>
      <w:r>
        <w:t xml:space="preserve">5.0.3</w:t>
      </w:r>
      <w:r>
        <w:t xml:space="preserve"> </w:t>
      </w:r>
      <w:r>
        <w:rPr>
          <w:rStyle w:val="VerbatimChar"/>
        </w:rPr>
        <w:t xml:space="preserve">Posit</w:t>
      </w:r>
      <w:r>
        <w:t xml:space="preserve"> </w:t>
      </w:r>
      <w:r>
        <w:t xml:space="preserve">Processing Workflow</w:t>
      </w:r>
    </w:p>
    <w:p>
      <w:pPr>
        <w:pStyle w:val="FirstParagraph"/>
      </w:pPr>
      <w:r>
        <w:rPr>
          <w:rStyle w:val="VerbatimChar"/>
        </w:rPr>
        <w:t xml:space="preserve">extract_CPS_NASC.R</w:t>
      </w:r>
      <w:r>
        <w:t xml:space="preserve"> </w:t>
      </w:r>
      <w:r>
        <w:t xml:space="preserve">is an R-based tool in the</w:t>
      </w:r>
      <w:r>
        <w:t xml:space="preserve"> </w:t>
      </w:r>
      <w:r>
        <w:rPr>
          <w:rStyle w:val="VerbatimChar"/>
        </w:rPr>
        <w:t xml:space="preserve">estimATM</w:t>
      </w:r>
      <w:r>
        <w:t xml:space="preserve"> </w:t>
      </w:r>
      <w:r>
        <w:t xml:space="preserve">package to retain only CPS backscatter from the integrated Echoview data.</w:t>
      </w:r>
    </w:p>
    <w:p>
      <w:pPr>
        <w:pStyle w:val="BodyText"/>
      </w:pPr>
      <w:r>
        <w:drawing>
          <wp:inline>
            <wp:extent cx="5943600" cy="2790686"/>
            <wp:effectExtent b="0" l="0" r="0" t="0"/>
            <wp:docPr descr="" title="" id="73" name="Picture"/>
            <a:graphic>
              <a:graphicData uri="http://schemas.openxmlformats.org/drawingml/2006/picture">
                <pic:pic>
                  <pic:nvPicPr>
                    <pic:cNvPr descr="content/images/nascr_processing.JPG" id="74" name="Picture"/>
                    <pic:cNvPicPr>
                      <a:picLocks noChangeArrowheads="1" noChangeAspect="1"/>
                    </pic:cNvPicPr>
                  </pic:nvPicPr>
                  <pic:blipFill>
                    <a:blip r:embed="rId72"/>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were excluded. The proximity of the echoes to the seabed was also used to define the lower limit for vertical integration.</w:t>
      </w:r>
    </w:p>
    <w:p>
      <w:pPr>
        <w:pStyle w:val="BodyText"/>
      </w:pPr>
      <w:r>
        <w:t xml:space="preserve">In the plot window, you can now draw new integration stop (green) and start (blue) lines. Use the crosshair cursor to click along the plot to draw a new integration stop line, then right-click and select</w:t>
      </w:r>
      <w:r>
        <w:t xml:space="preserve"> </w:t>
      </w:r>
      <w:r>
        <w:t xml:space="preserve">“Stop”</w:t>
      </w:r>
      <w:r>
        <w:t xml:space="preserve"> </w:t>
      </w:r>
      <w:r>
        <w:t xml:space="preserve">to complete the line. Blue points that fall below this line will be excluded from the resulting CSV file. You want to remove backscatter that you believe are not CPS (e.g., rockfishes, hake) or possibly contain seabed. Next, draw a lnew top integration line (if desired) to remove any surface noise or diffuse scattering layers. If you say no to drawing this line, it will create a line at the surface and include all backscatter below. If you don’t like either line, you can respond</w:t>
      </w:r>
      <w:r>
        <w:t xml:space="preserve"> </w:t>
      </w:r>
      <w:r>
        <w:t xml:space="preserve">“No”</w:t>
      </w:r>
      <w:r>
        <w:t xml:space="preserve"> </w:t>
      </w:r>
      <w:r>
        <w:t xml:space="preserve">when it asks if the line looks good, and redraw the line. Rinse and repeat until you are satisfied.</w:t>
      </w:r>
    </w:p>
    <w:p>
      <w:pPr>
        <w:pStyle w:val="BodyText"/>
      </w:pPr>
      <w:r>
        <w:drawing>
          <wp:inline>
            <wp:extent cx="5943600" cy="2877411"/>
            <wp:effectExtent b="0" l="0" r="0" t="0"/>
            <wp:docPr descr="" title="" id="76" name="Picture"/>
            <a:graphic>
              <a:graphicData uri="http://schemas.openxmlformats.org/drawingml/2006/picture">
                <pic:pic>
                  <pic:nvPicPr>
                    <pic:cNvPr descr="content/images/nascr_processing_result.JPG" id="77" name="Picture"/>
                    <pic:cNvPicPr>
                      <a:picLocks noChangeArrowheads="1" noChangeAspect="1"/>
                    </pic:cNvPicPr>
                  </pic:nvPicPr>
                  <pic:blipFill>
                    <a:blip r:embed="rId75"/>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bookmarkEnd w:id="78"/>
    <w:bookmarkEnd w:id="79"/>
    <w:bookmarkStart w:id="84" w:name="backscatter-identification"/>
    <w:p>
      <w:pPr>
        <w:pStyle w:val="Heading1"/>
      </w:pPr>
      <w:r>
        <w:t xml:space="preserve">6. Backscatter Identification</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1" name="Picture"/>
            <a:graphic>
              <a:graphicData uri="http://schemas.openxmlformats.org/drawingml/2006/picture">
                <pic:pic>
                  <pic:nvPicPr>
                    <pic:cNvPr descr="content/images/backscatter_decision_tree.JPG" id="82" name="Picture"/>
                    <pic:cNvPicPr>
                      <a:picLocks noChangeArrowheads="1" noChangeAspect="1"/>
                    </pic:cNvPicPr>
                  </pic:nvPicPr>
                  <pic:blipFill>
                    <a:blip r:embed="rId80"/>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83">
        <w:r>
          <w:rPr>
            <w:rStyle w:val="Hyperlink"/>
          </w:rPr>
          <w:t xml:space="preserve">this google document</w:t>
        </w:r>
      </w:hyperlink>
      <w:r>
        <w:t xml:space="preserve">.</w:t>
      </w:r>
    </w:p>
    <w:bookmarkEnd w:id="84"/>
    <w:bookmarkStart w:id="85" w:name="biomass-calculation"/>
    <w:p>
      <w:pPr>
        <w:pStyle w:val="Heading1"/>
      </w:pPr>
      <w:r>
        <w:t xml:space="preserve">7. Biomass Calculation</w:t>
      </w:r>
    </w:p>
    <w:bookmarkEnd w:id="85"/>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0" Target="media/rId80.jpg" /><Relationship Type="http://schemas.openxmlformats.org/officeDocument/2006/relationships/image" Id="rId29" Target="media/rId29.png" /><Relationship Type="http://schemas.openxmlformats.org/officeDocument/2006/relationships/image" Id="rId63" Target="media/rId63.jpg" /><Relationship Type="http://schemas.openxmlformats.org/officeDocument/2006/relationships/image" Id="rId32" Target="media/rId32.pn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41" Target="media/rId41.jpg" /><Relationship Type="http://schemas.openxmlformats.org/officeDocument/2006/relationships/hyperlink" Id="rId49" Target="file:///C:/Users/alice.beittel/Downloads/2024Renfree.docx#_bookmark7" TargetMode="External" /><Relationship Type="http://schemas.openxmlformats.org/officeDocument/2006/relationships/hyperlink" Id="rId83" Target="https://docs.google.com/document/d/1-YxJs1veotnSZJIWPH6vJjYOA5Dt1iETaqmNv8eNoTk/edit?tab=t.0"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6"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49" Target="file:///C:/Users/alice.beittel/Downloads/2024Renfree.docx#_bookmark7" TargetMode="External" /><Relationship Type="http://schemas.openxmlformats.org/officeDocument/2006/relationships/hyperlink" Id="rId83" Target="https://docs.google.com/document/d/1-YxJs1veotnSZJIWPH6vJjYOA5Dt1iETaqmNv8eNoTk/edit?tab=t.0"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6"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2024-12-04T18:50:10Z</dcterms:created>
  <dcterms:modified xsi:type="dcterms:W3CDTF">2024-12-04T18:50:10Z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