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9.jpg" ContentType="image/jpeg"/>
  <Override PartName="/word/media/rId131.jpg" ContentType="image/jpeg"/>
  <Override PartName="/word/media/rId116.jpg" ContentType="image/jpeg"/>
  <Override PartName="/word/media/rId122.jpg" ContentType="image/jpeg"/>
  <Override PartName="/word/media/rId128.jpg" ContentType="image/jpeg"/>
  <Override PartName="/word/media/rId125.jpg" ContentType="image/jpeg"/>
  <Override PartName="/word/media/rId105.jpg" ContentType="image/jpeg"/>
  <Override PartName="/word/media/rId41.png" ContentType="image/png"/>
  <Override PartName="/word/media/rId110.jpg" ContentType="image/jpeg"/>
  <Override PartName="/word/media/rId113.jpg" ContentType="image/jpeg"/>
  <Override PartName="/word/media/rId151.jpg" ContentType="image/jpeg"/>
  <Override PartName="/word/media/rId86.jpg" ContentType="image/jpeg"/>
  <Override PartName="/word/media/rId44.png" ContentType="image/png"/>
  <Override PartName="/word/media/rId22.jpg" ContentType="image/jpeg"/>
  <Override PartName="/word/media/rId95.jpg" ContentType="image/jpeg"/>
  <Override PartName="/word/media/rId99.jpg" ContentType="image/jpeg"/>
  <Override PartName="/word/media/rId82.jpg" ContentType="image/jpeg"/>
  <Override PartName="/word/media/rId66.jpg" ContentType="image/jpeg"/>
  <Override PartName="/word/media/rId139.jpg" ContentType="image/jpeg"/>
  <Override PartName="/word/media/rId142.jpg" ContentType="image/jpeg"/>
  <Override PartName="/word/media/rId146.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9" w:name="welcome"/>
    <w:p>
      <w:pPr>
        <w:pStyle w:val="Heading1"/>
      </w:pPr>
      <w:r>
        <w:t xml:space="preserve">Welcome</w:t>
      </w:r>
    </w:p>
    <w:p>
      <w:pPr>
        <w:pStyle w:val="FirstParagraph"/>
      </w:pPr>
      <w:r>
        <w:rPr>
          <w:b/>
          <w:bCs/>
        </w:rPr>
        <w:t xml:space="preserve">Last updated:</w:t>
      </w:r>
      <w:r>
        <w:t xml:space="preserve"> </w:t>
      </w:r>
      <w:r>
        <w:t xml:space="preserve">2025-04-15 23:56:34 UTC</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w:t>
      </w:r>
      <w:r>
        <w:t xml:space="preserve"> </w:t>
      </w:r>
      <w:r>
        <w:t xml:space="preserve">(J. Zwolinski et al. 2014)</w:t>
      </w:r>
      <w:r>
        <w:t xml:space="preserve">. Each year the NOAA Southwest Fisheries Science Center surveys the west coast from Baja Mexico to Vancouver Island, Canada to measure the biomass of 5 key coastal pelagic species:</w:t>
      </w:r>
      <w:r>
        <w:t xml:space="preserve"> </w:t>
      </w:r>
      <w:hyperlink r:id="rId21">
        <w:r>
          <w:rPr>
            <w:rStyle w:val="Hyperlink"/>
          </w:rPr>
          <w:t xml:space="preserve">Pacific Sardine</w:t>
        </w:r>
      </w:hyperlink>
      <w:r>
        <w:t xml:space="preserve"> </w:t>
      </w:r>
      <w:r>
        <w:rPr>
          <w:i/>
          <w:iCs/>
        </w:rPr>
        <w:t xml:space="preserve">Sardinops sagax</w:t>
      </w:r>
      <w:r>
        <w:t xml:space="preserve">, Northern Anchovy</w:t>
      </w:r>
      <w:r>
        <w:t xml:space="preserve"> </w:t>
      </w:r>
      <w:r>
        <w:rPr>
          <w:i/>
          <w:iCs/>
        </w:rPr>
        <w:t xml:space="preserve">Engraulis mordax</w:t>
      </w:r>
      <w:r>
        <w:t xml:space="preserve">, Pacific Mackerel</w:t>
      </w:r>
      <w:r>
        <w:t xml:space="preserve"> </w:t>
      </w:r>
      <w:r>
        <w:rPr>
          <w:i/>
          <w:iCs/>
        </w:rPr>
        <w:t xml:space="preserve">Scomber japonicus,</w:t>
      </w:r>
      <w:r>
        <w:t xml:space="preserve"> </w:t>
      </w:r>
      <w:r>
        <w:t xml:space="preserve">Jack Mackerel</w:t>
      </w:r>
      <w:r>
        <w:t xml:space="preserve"> </w:t>
      </w:r>
      <w:r>
        <w:rPr>
          <w:i/>
          <w:iCs/>
        </w:rPr>
        <w:t xml:space="preserve">Trachurus symmetricus,</w:t>
      </w:r>
      <w:r>
        <w:t xml:space="preserve"> </w:t>
      </w:r>
      <w:r>
        <w:t xml:space="preserve">Pacific Herring</w:t>
      </w:r>
      <w:r>
        <w:t xml:space="preserve"> </w:t>
      </w:r>
      <w:r>
        <w:rPr>
          <w:i/>
          <w:iCs/>
        </w:rPr>
        <w:t xml:space="preserve">Clupea pallasii,</w:t>
      </w:r>
      <w:r>
        <w:t xml:space="preserve"> </w:t>
      </w:r>
      <w:r>
        <w:t xml:space="preserve">and Round Herring</w:t>
      </w:r>
      <w:r>
        <w:t xml:space="preserve"> </w:t>
      </w:r>
      <w:r>
        <w:rPr>
          <w:i/>
          <w:iCs/>
        </w:rPr>
        <w:t xml:space="preserve">Etrumeus acuminatus</w:t>
      </w:r>
      <w:r>
        <w:t xml:space="preserve">. The biomass and abundance estimates derived from the survey are used in stock assessment models to support sustainable fisheries.</w:t>
      </w:r>
    </w:p>
    <w:p>
      <w:pPr>
        <w:pStyle w:val="CaptionedFigure"/>
      </w:pPr>
      <w:r>
        <w:drawing>
          <wp:inline>
            <wp:extent cx="5943600" cy="4457700"/>
            <wp:effectExtent b="0" l="0" r="0" t="0"/>
            <wp:docPr descr="Survey work typically takes place on the NOAA Ship Reuben Lasker with acoustic sampling during the day and trawl sampling at night. Here is the back deck of the NOAA Ship Reuben Lasker at sunset . Inside the ship the biosampling team is getting ready for a night of trawling." title="" id="23" name="Picture"/>
            <a:graphic>
              <a:graphicData uri="http://schemas.openxmlformats.org/drawingml/2006/picture">
                <pic:pic>
                  <pic:nvPicPr>
                    <pic:cNvPr descr="content/images/lasker-sunset.jpg" id="24" name="Picture"/>
                    <pic:cNvPicPr>
                      <a:picLocks noChangeArrowheads="1" noChangeAspect="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Survey work typically takes place on the NOAA Ship Reuben Lasker with acoustic sampling during the day and trawl sampling at night. Here is the back deck of the NOAA Ship Reuben Lasker at sunset . Inside the ship the biosampling team is getting ready for a night of trawling.</w:t>
      </w:r>
    </w:p>
    <w:bookmarkStart w:id="26" w:name="document-objective"/>
    <w:p>
      <w:pPr>
        <w:pStyle w:val="Heading2"/>
      </w:pPr>
      <w:r>
        <w:t xml:space="preserve">Document Objective:</w:t>
      </w:r>
    </w:p>
    <w:p>
      <w:pPr>
        <w:pStyle w:val="FirstParagraph"/>
      </w:pPr>
      <w:r>
        <w:t xml:space="preserve">This resource demonstrate how the SWFSC uses acoustic data generate biomass estimates of Coastal Pelagic Species. As part of our commitment to open science, reproducibility, and transparency, we provide this metadata guide to compliment our public-domain data. Please consider this resource to be a </w:t>
      </w:r>
      <w:r>
        <w:rPr>
          <w:b/>
          <w:bCs/>
        </w:rPr>
        <w:t xml:space="preserve">Living Document</w:t>
      </w:r>
      <w:r>
        <w:t xml:space="preserve">. The code in this repository is regularly being updated and improved. </w:t>
      </w:r>
    </w:p>
    <w:p>
      <w:pPr>
        <w:pStyle w:val="BodyText"/>
      </w:pPr>
      <w:r>
        <w:t xml:space="preserve">Do not hesitate to reach out (to us at either alice.beittel@noaa.gov or </w:t>
      </w:r>
      <w:hyperlink r:id="rId25">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6"/>
    <w:bookmarkStart w:id="29" w:name="user-resources"/>
    <w:p>
      <w:pPr>
        <w:pStyle w:val="Heading2"/>
      </w:pPr>
      <w:r>
        <w:t xml:space="preserve">User Resources</w:t>
      </w:r>
    </w:p>
    <w:p>
      <w:pPr>
        <w:pStyle w:val="FirstParagraph"/>
      </w:pPr>
      <w:r>
        <w:t xml:space="preserve">The survey produces two reports each year: A Survey Report and a Biomass Report. Each can be found at the NOAA Institutional Repository online</w:t>
      </w:r>
    </w:p>
    <w:p>
      <w:pPr>
        <w:numPr>
          <w:ilvl w:val="0"/>
          <w:numId w:val="1001"/>
        </w:numPr>
      </w:pPr>
      <w:hyperlink r:id="rId27">
        <w:r>
          <w:rPr>
            <w:rStyle w:val="Hyperlink"/>
          </w:rPr>
          <w:t xml:space="preserve">2023 Biomass Report</w:t>
        </w:r>
      </w:hyperlink>
      <w:r>
        <w:t xml:space="preserve">:</w:t>
      </w:r>
      <w:r>
        <w:t xml:space="preserve"> </w:t>
      </w:r>
      <w:r>
        <w:rPr>
          <w:i/>
          <w:iCs/>
        </w:rPr>
        <w:t xml:space="preserve">Distribution, biomass, and demographics of coastal pelagic fishes in the California Current Ecosystem during summer 2023 based on acoustic-trawl sampling</w:t>
      </w:r>
    </w:p>
    <w:p>
      <w:pPr>
        <w:numPr>
          <w:ilvl w:val="0"/>
          <w:numId w:val="1001"/>
        </w:numPr>
      </w:pPr>
      <w:hyperlink r:id="rId28">
        <w:r>
          <w:rPr>
            <w:rStyle w:val="Hyperlink"/>
          </w:rPr>
          <w:t xml:space="preserve">2023 Survey Report</w:t>
        </w:r>
      </w:hyperlink>
      <w:r>
        <w:t xml:space="preserve">:</w:t>
      </w:r>
      <w:r>
        <w:t xml:space="preserve"> </w:t>
      </w:r>
      <w:r>
        <w:rPr>
          <w:i/>
          <w:iCs/>
        </w:rPr>
        <w:t xml:space="preserve">Report on the Summer 2023 California Current Ecosystem Survey (CCES) (2307RL), 17 July to 3 November 2023, conducted aboard NOAA Ships Reuben Lasker and Bell M. Shimada, fishing vessels Lisa Marie and Long Beach Carnage, and three uncrewed surface vessels</w:t>
      </w:r>
    </w:p>
    <w:bookmarkEnd w:id="29"/>
    <w:bookmarkStart w:id="35" w:name="how-to-access-our-data"/>
    <w:p>
      <w:pPr>
        <w:pStyle w:val="Heading2"/>
      </w:pPr>
      <w:r>
        <w:t xml:space="preserve">How to Access Our Data</w:t>
      </w:r>
    </w:p>
    <w:p>
      <w:pPr>
        <w:pStyle w:val="FirstParagraph"/>
      </w:pPr>
      <w:r>
        <w:rPr>
          <w:b/>
          <w:bCs/>
        </w:rPr>
        <w:t xml:space="preserve">NOAA Coast Watch ERDDAP:</w:t>
      </w:r>
    </w:p>
    <w:p>
      <w:pPr>
        <w:pStyle w:val="BodyText"/>
      </w:pPr>
      <w:hyperlink r:id="rId30">
        <w:r>
          <w:rPr>
            <w:rStyle w:val="Hyperlink"/>
          </w:rPr>
          <w:t xml:space="preserve">CPS Trawl Haul Catch Data</w:t>
        </w:r>
      </w:hyperlink>
    </w:p>
    <w:p>
      <w:pPr>
        <w:pStyle w:val="BodyText"/>
      </w:pPr>
      <w:hyperlink r:id="rId31">
        <w:r>
          <w:rPr>
            <w:rStyle w:val="Hyperlink"/>
          </w:rPr>
          <w:t xml:space="preserve">CPS Trawl Specimen Data</w:t>
        </w:r>
      </w:hyperlink>
    </w:p>
    <w:p>
      <w:pPr>
        <w:pStyle w:val="BodyText"/>
      </w:pPr>
      <w:hyperlink r:id="rId32">
        <w:r>
          <w:rPr>
            <w:rStyle w:val="Hyperlink"/>
          </w:rPr>
          <w:t xml:space="preserve">NOAA Ship Reuben Lasker Underway Meteorological Data</w:t>
        </w:r>
      </w:hyperlink>
    </w:p>
    <w:p>
      <w:pPr>
        <w:pStyle w:val="BodyText"/>
      </w:pPr>
      <w:r>
        <w:rPr>
          <w:b/>
          <w:bCs/>
        </w:rPr>
        <w:t xml:space="preserve">NOAA National Centers for Environmental Information (NCE):</w:t>
      </w:r>
    </w:p>
    <w:p>
      <w:pPr>
        <w:pStyle w:val="BodyText"/>
      </w:pPr>
      <w:r>
        <w:t xml:space="preserve">Locate raw acoustic data using the</w:t>
      </w:r>
      <w:r>
        <w:t xml:space="preserve"> </w:t>
      </w:r>
      <w:hyperlink r:id="rId33">
        <w:r>
          <w:rPr>
            <w:rStyle w:val="Hyperlink"/>
          </w:rPr>
          <w:t xml:space="preserve">NCEI Water Column Sonar Data Viewer</w:t>
        </w:r>
      </w:hyperlink>
      <w:r>
        <w:t xml:space="preserve">.</w:t>
      </w:r>
    </w:p>
    <w:p>
      <w:pPr>
        <w:pStyle w:val="BodyText"/>
      </w:pPr>
      <w:r>
        <w:t xml:space="preserve">Download raw acoustic data via the viewer or the</w:t>
      </w:r>
      <w:r>
        <w:t xml:space="preserve"> </w:t>
      </w:r>
      <w:hyperlink r:id="rId34">
        <w:r>
          <w:rPr>
            <w:rStyle w:val="Hyperlink"/>
          </w:rPr>
          <w:t xml:space="preserve">AWS NCEI bucket</w:t>
        </w:r>
      </w:hyperlink>
      <w:r>
        <w:t xml:space="preserve">.</w:t>
      </w:r>
    </w:p>
    <w:bookmarkEnd w:id="35"/>
    <w:bookmarkStart w:id="36"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6"/>
    <w:bookmarkStart w:id="38"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pPr>
        <w:pStyle w:val="BodyText"/>
      </w:pPr>
      <w:r>
        <w:t xml:space="preserve">Copyright 2024 SWFSC Advanced Survey Technology Program</w:t>
      </w:r>
      <w:r>
        <w:br/>
      </w:r>
      <w:r>
        <w:br/>
      </w:r>
      <w:r>
        <w:t xml:space="preserve">Licensed under the Apache License, Version 2.0 (the</w:t>
      </w:r>
      <w:r>
        <w:t xml:space="preserve"> </w:t>
      </w:r>
      <w:r>
        <w:t xml:space="preserve">“License”</w:t>
      </w:r>
      <w:r>
        <w:t xml:space="preserve">); you may not use this file except in compliance with the License. You may obtain a copy of the License at</w:t>
      </w:r>
      <w:r>
        <w:t xml:space="preserve"> </w:t>
      </w:r>
      <w:hyperlink r:id="rId37">
        <w:r>
          <w:rPr>
            <w:rStyle w:val="Hyperlink"/>
          </w:rPr>
          <w:t xml:space="preserve">http://www.apache.org/licenses/LICENSE-2.0</w:t>
        </w:r>
      </w:hyperlink>
      <w:r>
        <w:br/>
      </w:r>
      <w:r>
        <w:br/>
      </w:r>
      <w:r>
        <w:t xml:space="preserve">Unless required by applicable law or agreed to in writing, software distributed under the License is distributed on an</w:t>
      </w:r>
      <w:r>
        <w:t xml:space="preserve"> </w:t>
      </w:r>
      <w:r>
        <w:t xml:space="preserve">“AS IS”</w:t>
      </w:r>
      <w:r>
        <w:t xml:space="preserve"> </w:t>
      </w:r>
      <w:r>
        <w:t xml:space="preserve">BASIS, WITHOUT WARRANTIES OR CONDITIONS OF ANY KIND, either express or implied. See the License for the specific language governing permissions and limitations under the License.</w:t>
      </w:r>
    </w:p>
    <w:p>
      <w:r>
        <w:br w:type="page"/>
      </w:r>
    </w:p>
    <w:bookmarkEnd w:id="38"/>
    <w:bookmarkEnd w:id="39"/>
    <w:bookmarkStart w:id="56" w:name="survey-background"/>
    <w:p>
      <w:pPr>
        <w:pStyle w:val="Heading1"/>
      </w:pPr>
      <w:r>
        <w:t xml:space="preserve">1. Survey Background</w:t>
      </w:r>
    </w:p>
    <w:bookmarkStart w:id="40"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40"/>
    <w:bookmarkStart w:id="48" w:name="where-does-the-survey-take-place"/>
    <w:p>
      <w:pPr>
        <w:pStyle w:val="Heading2"/>
      </w:pPr>
      <w:r>
        <w:t xml:space="preserve">1.2 Where does the survey take place?</w:t>
      </w:r>
    </w:p>
    <w:bookmarkStart w:id="47"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42" name="Picture"/>
                  <a:graphic>
                    <a:graphicData uri="http://schemas.openxmlformats.org/drawingml/2006/picture">
                      <pic:pic>
                        <pic:nvPicPr>
                          <pic:cNvPr descr="content/images/clipboard-1472872065.png" id="43" name="Picture"/>
                          <pic:cNvPicPr>
                            <a:picLocks noChangeArrowheads="1" noChangeAspect="1"/>
                          </pic:cNvPicPr>
                        </pic:nvPicPr>
                        <pic:blipFill>
                          <a:blip r:embed="rId41"/>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45" name="Picture"/>
                  <a:graphic>
                    <a:graphicData uri="http://schemas.openxmlformats.org/drawingml/2006/picture">
                      <pic:pic>
                        <pic:nvPicPr>
                          <pic:cNvPr descr="content/images/fig_survey_map.png" id="46" name="Picture"/>
                          <pic:cNvPicPr>
                            <a:picLocks noChangeArrowheads="1" noChangeAspect="1"/>
                          </pic:cNvPicPr>
                        </pic:nvPicPr>
                        <pic:blipFill>
                          <a:blip r:embed="rId44"/>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47"/>
    <w:bookmarkEnd w:id="48"/>
    <w:bookmarkStart w:id="49" w:name="research-objectives"/>
    <w:p>
      <w:pPr>
        <w:pStyle w:val="Heading2"/>
      </w:pPr>
      <w:r>
        <w:t xml:space="preserve">1.3 Research objectives:</w:t>
      </w:r>
    </w:p>
    <w:p>
      <w:pPr>
        <w:pStyle w:val="Compact"/>
        <w:numPr>
          <w:ilvl w:val="0"/>
          <w:numId w:val="1002"/>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2"/>
        </w:numPr>
      </w:pPr>
      <w:r>
        <w:t xml:space="preserve">Characterize and investigate linkages to their biotic and abiotic environments</w:t>
      </w:r>
    </w:p>
    <w:p>
      <w:pPr>
        <w:pStyle w:val="Compact"/>
        <w:numPr>
          <w:ilvl w:val="0"/>
          <w:numId w:val="1002"/>
        </w:numPr>
      </w:pPr>
      <w:r>
        <w:t xml:space="preserve">Gather information regarding their life histories</w:t>
      </w:r>
    </w:p>
    <w:p>
      <w:pPr>
        <w:pStyle w:val="Compact"/>
        <w:numPr>
          <w:ilvl w:val="0"/>
          <w:numId w:val="1002"/>
        </w:numPr>
      </w:pPr>
      <w:r>
        <w:t xml:space="preserve">Compare the species composition and size distributions of trawls and near shore vessel purse seine sets.</w:t>
      </w:r>
    </w:p>
    <w:bookmarkEnd w:id="49"/>
    <w:bookmarkStart w:id="50" w:name="survey-history"/>
    <w:p>
      <w:pPr>
        <w:pStyle w:val="Heading2"/>
      </w:pPr>
      <w:r>
        <w:t xml:space="preserve">1.4 Survey History:</w:t>
      </w:r>
    </w:p>
    <w:p>
      <w:pPr>
        <w:pStyle w:val="FirstParagraph"/>
      </w:pPr>
      <w:r>
        <w:t xml:space="preserve">The SWFSC’s ATM surveys of CPS in the CCE began in 2006 with a focus on the northern stock of Pacific Sardine. Quickly the annual surveys demonstrated valuable ecosystem insights. Since then, they have expanded in scope and objectives to include the larger forage-fish assemblage and krill. This evolution, and the migratory behavior of Pacific Sardine, serve to explain the present survey region and design.</w:t>
      </w:r>
    </w:p>
    <w:p>
      <w:pPr>
        <w:pStyle w:val="BodyText"/>
      </w:pPr>
      <w:r>
        <w:t xml:space="preserve">“Collectively, these annual or bi-annual ATM surveys provide a unique insight into the dynamics of forage fshes in the CCE, including their distributions, abundances, interactions, and environments. For example, results from 2006 through 2013 indicate that Pacifc Sardine dominated the CPS assemblage, but their biomass was declining (Demer and Zwolinski, 2012; Zwolinski and Demer, 2012) and their seasonal migration was contracting (Zwolinski et al., 2014). Meanwhile, harvest rates for the declining stock increased (Demer and Zwolinski, 2017), and the total forage-fsh biomass decreased to less than 200,000 t in 2014 and 2015 (Figs. 36, 37). The U.S. fshery for Pacifc Sardine was closed in 2015 (National Marine Fisheries Service, 2015), and there were reports of mass strandings, deaths, and reproductive failures in Brown Pelicans (Pelecanus occidentalis3), Common Murres (Uria aalge), Brandt’s Cormorants (Phalacrocorax penicillatus), and California sea lions (Zalophus californianus4) (McClatchie et al., 2016), all of which depend on forage species. Since 2016, the forage-fsh biomass has increased, mainly due to resurgences of Jack Mackerel and the now dominant central stock of Northern Anchovy (Figs. 36, 37), whose biomass primarily (2,466,108 t, or 94% of the total estimate biomass) occurred in U.S. waters. Between the summers of 2018 and 2021, the biomass of the southern stock of Pacifc Sardine in U.S. waters has increased from 33,093 to 45,332 t.”</w:t>
      </w:r>
      <w:r>
        <w:t xml:space="preserve">(Stierhoff et al. 2024)</w:t>
      </w:r>
    </w:p>
    <w:bookmarkEnd w:id="50"/>
    <w:bookmarkStart w:id="55" w:name="code-of-conduct"/>
    <w:p>
      <w:pPr>
        <w:pStyle w:val="Heading2"/>
      </w:pPr>
      <w:r>
        <w:t xml:space="preserve">1.5 Code of Conduct</w:t>
      </w:r>
    </w:p>
    <w:bookmarkStart w:id="51" w:name="what-are-codes-of-conduct"/>
    <w:p>
      <w:pPr>
        <w:pStyle w:val="Heading3"/>
      </w:pPr>
      <w:r>
        <w:t xml:space="preserve">1.5.1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‘Code Owner’</w:t>
      </w:r>
      <w:r>
        <w:t xml:space="preserve">) which is representative of a sector (or category of data controllers or processors), with the expert and sectoral knowledge of how to enhance data protection in their area.</w:t>
      </w:r>
    </w:p>
    <w:bookmarkEnd w:id="51"/>
    <w:bookmarkStart w:id="54" w:name="X5c642363704a893a3daf2ea4c1fbd399a9b06a3"/>
    <w:p>
      <w:pPr>
        <w:pStyle w:val="Heading3"/>
      </w:pPr>
      <w:r>
        <w:t xml:space="preserve">1.5.2</w:t>
      </w:r>
      <w:r>
        <w:t xml:space="preserve"> </w:t>
      </w:r>
      <w:hyperlink r:id="rId52">
        <w:r>
          <w:rPr>
            <w:rStyle w:val="Hyperlink"/>
          </w:rPr>
          <w:t xml:space="preserve">Code of Conduct</w:t>
        </w:r>
      </w:hyperlink>
      <w:r>
        <w:t xml:space="preserve"> </w:t>
      </w:r>
      <w:r>
        <w:t xml:space="preserve">from the</w:t>
      </w:r>
      <w:r>
        <w:t xml:space="preserve"> </w:t>
      </w:r>
      <w:hyperlink r:id="rId53">
        <w:r>
          <w:rPr>
            <w:rStyle w:val="Hyperlink"/>
          </w:rPr>
          <w:t xml:space="preserve">nmfs-opensci GitHub</w:t>
        </w:r>
      </w:hyperlink>
      <w:r>
        <w:t xml:space="preserve">.</w:t>
      </w:r>
    </w:p>
    <w:bookmarkEnd w:id="54"/>
    <w:bookmarkEnd w:id="55"/>
    <w:bookmarkEnd w:id="56"/>
    <w:bookmarkStart w:id="65" w:name="X6fd0595446738b21bfd6ac4b4de384119440fe6"/>
    <w:p>
      <w:pPr>
        <w:pStyle w:val="Heading1"/>
      </w:pPr>
      <w:r>
        <w:t xml:space="preserve">2. NOAA Fisheries Open Science Code of Conduct</w:t>
      </w:r>
    </w:p>
    <w:p>
      <w:pPr>
        <w:pStyle w:val="FirstParagraph"/>
      </w:pPr>
      <w:r>
        <w:t xml:space="preserve">This code of conduct was developed and adapted from the Atom code of conduct in October 2021.</w:t>
      </w:r>
    </w:p>
    <w:bookmarkStart w:id="57" w:name="our-pledge"/>
    <w:p>
      <w:pPr>
        <w:pStyle w:val="Heading2"/>
      </w:pPr>
      <w:r>
        <w:t xml:space="preserve">2.1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57"/>
    <w:bookmarkStart w:id="58" w:name="our-standards"/>
    <w:p>
      <w:pPr>
        <w:pStyle w:val="Heading2"/>
      </w:pPr>
      <w:r>
        <w:t xml:space="preserve">2.2 Our Standards</w:t>
      </w:r>
    </w:p>
    <w:p>
      <w:pPr>
        <w:pStyle w:val="FirstParagraph"/>
      </w:pPr>
      <w:r>
        <w:t xml:space="preserve">Examples of behavior that contributes to creating a positive environment include:</w:t>
      </w:r>
    </w:p>
    <w:p>
      <w:pPr>
        <w:pStyle w:val="Compact"/>
        <w:numPr>
          <w:ilvl w:val="0"/>
          <w:numId w:val="1003"/>
        </w:numPr>
      </w:pPr>
      <w:r>
        <w:t xml:space="preserve">Using welcoming and inclusive language</w:t>
      </w:r>
    </w:p>
    <w:p>
      <w:pPr>
        <w:pStyle w:val="Compact"/>
        <w:numPr>
          <w:ilvl w:val="0"/>
          <w:numId w:val="1003"/>
        </w:numPr>
      </w:pPr>
      <w:r>
        <w:t xml:space="preserve">Being respectful of differing viewpoints and experiences</w:t>
      </w:r>
    </w:p>
    <w:p>
      <w:pPr>
        <w:pStyle w:val="Compact"/>
        <w:numPr>
          <w:ilvl w:val="0"/>
          <w:numId w:val="1003"/>
        </w:numPr>
      </w:pPr>
      <w:r>
        <w:t xml:space="preserve">Gracefully accepting constructive criticism</w:t>
      </w:r>
    </w:p>
    <w:p>
      <w:pPr>
        <w:pStyle w:val="Compact"/>
        <w:numPr>
          <w:ilvl w:val="0"/>
          <w:numId w:val="1003"/>
        </w:numPr>
      </w:pPr>
      <w:r>
        <w:t xml:space="preserve">Focusing on what is best for the community</w:t>
      </w:r>
    </w:p>
    <w:p>
      <w:pPr>
        <w:pStyle w:val="Compact"/>
        <w:numPr>
          <w:ilvl w:val="0"/>
          <w:numId w:val="1003"/>
        </w:numPr>
      </w:pPr>
      <w:r>
        <w:t xml:space="preserve">Showing empathy towards other community members</w:t>
      </w:r>
    </w:p>
    <w:p>
      <w:pPr>
        <w:pStyle w:val="FirstParagraph"/>
      </w:pPr>
      <w:r>
        <w:t xml:space="preserve">Examples of unacceptable behavior by participants include:</w:t>
      </w:r>
    </w:p>
    <w:p>
      <w:pPr>
        <w:pStyle w:val="Compact"/>
        <w:numPr>
          <w:ilvl w:val="0"/>
          <w:numId w:val="1004"/>
        </w:numPr>
      </w:pPr>
      <w:r>
        <w:t xml:space="preserve">The use of sexualized language or imagery and unwelcome sexual attention or advances</w:t>
      </w:r>
    </w:p>
    <w:p>
      <w:pPr>
        <w:pStyle w:val="Compact"/>
        <w:numPr>
          <w:ilvl w:val="0"/>
          <w:numId w:val="1004"/>
        </w:numPr>
      </w:pPr>
      <w:r>
        <w:t xml:space="preserve">Trolling, insulting/derogatory comments, and personal or political attacks</w:t>
      </w:r>
    </w:p>
    <w:p>
      <w:pPr>
        <w:pStyle w:val="Compact"/>
        <w:numPr>
          <w:ilvl w:val="0"/>
          <w:numId w:val="1004"/>
        </w:numPr>
      </w:pPr>
      <w:r>
        <w:t xml:space="preserve">Public or private harassment</w:t>
      </w:r>
    </w:p>
    <w:p>
      <w:pPr>
        <w:pStyle w:val="Compact"/>
        <w:numPr>
          <w:ilvl w:val="0"/>
          <w:numId w:val="1004"/>
        </w:numPr>
      </w:pPr>
      <w:r>
        <w:t xml:space="preserve">Publishing others’ private information, such as a physical or electronic address, without explicit permission</w:t>
      </w:r>
    </w:p>
    <w:p>
      <w:pPr>
        <w:pStyle w:val="Compact"/>
        <w:numPr>
          <w:ilvl w:val="0"/>
          <w:numId w:val="1004"/>
        </w:numPr>
      </w:pPr>
      <w:r>
        <w:t xml:space="preserve">Other conduct which could reasonably be considered inappropriate in a professional setting</w:t>
      </w:r>
    </w:p>
    <w:bookmarkEnd w:id="58"/>
    <w:bookmarkStart w:id="59" w:name="our-responsibilities"/>
    <w:p>
      <w:pPr>
        <w:pStyle w:val="Heading2"/>
      </w:pPr>
      <w:r>
        <w:t xml:space="preserve">2.3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59"/>
    <w:bookmarkStart w:id="60" w:name="scope"/>
    <w:p>
      <w:pPr>
        <w:pStyle w:val="Heading2"/>
      </w:pPr>
      <w:r>
        <w:t xml:space="preserve">2.4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60"/>
    <w:bookmarkStart w:id="61" w:name="enforcement"/>
    <w:p>
      <w:pPr>
        <w:pStyle w:val="Heading2"/>
      </w:pPr>
      <w:r>
        <w:t xml:space="preserve">2.5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61"/>
    <w:bookmarkStart w:id="64" w:name="attribution"/>
    <w:p>
      <w:pPr>
        <w:pStyle w:val="Heading2"/>
      </w:pPr>
      <w:r>
        <w:t xml:space="preserve">2.6 Attribution</w:t>
      </w:r>
    </w:p>
    <w:p>
      <w:pPr>
        <w:pStyle w:val="FirstParagraph"/>
      </w:pPr>
      <w:r>
        <w:t xml:space="preserve">This Code of Conduct is adapted from the</w:t>
      </w:r>
      <w:r>
        <w:t xml:space="preserve"> </w:t>
      </w:r>
      <w:hyperlink r:id="rId62">
        <w:r>
          <w:rPr>
            <w:rStyle w:val="Hyperlink"/>
          </w:rPr>
          <w:t xml:space="preserve">Contributor Covenant</w:t>
        </w:r>
      </w:hyperlink>
      <w:r>
        <w:t xml:space="preserve">, version 1.4, available at</w:t>
      </w:r>
      <w:r>
        <w:t xml:space="preserve"> </w:t>
      </w:r>
      <w:hyperlink r:id="rId63">
        <w:r>
          <w:rPr>
            <w:rStyle w:val="Hyperlink"/>
          </w:rPr>
          <w:t xml:space="preserve">https://contributor-covenant.org/version/1/4</w:t>
        </w:r>
      </w:hyperlink>
    </w:p>
    <w:bookmarkEnd w:id="64"/>
    <w:bookmarkEnd w:id="65"/>
    <w:bookmarkStart w:id="80" w:name="data-acquisition"/>
    <w:p>
      <w:pPr>
        <w:pStyle w:val="Heading1"/>
      </w:pPr>
      <w:r>
        <w:t xml:space="preserve">3. Data Acquisition</w:t>
      </w:r>
    </w:p>
    <w:bookmarkStart w:id="72" w:name="survey-equipment"/>
    <w:p>
      <w:pPr>
        <w:pStyle w:val="Heading2"/>
      </w:pPr>
      <w:r>
        <w:t xml:space="preserve">3.1 Survey Equipment</w:t>
      </w:r>
    </w:p>
    <w:bookmarkStart w:id="70" w:name="acoustic-instruments"/>
    <w:p>
      <w:pPr>
        <w:pStyle w:val="Heading3"/>
      </w:pPr>
      <w:r>
        <w:t xml:space="preserve">3.1.1 Acoustic Instruments</w:t>
      </w:r>
    </w:p>
    <w:tbl>
      <w:tblPr>
        <w:tblStyle w:val="Table"/>
        <w:tblW w:type="pct" w:w="5000"/>
        <w:tblLayout w:type="fixed"/>
        <w:tblLook w:firstRow="0" w:lastRow="0" w:firstColumn="0" w:lastColumn="0" w:noHBand="0" w:noVBand="0" w:val="0000"/>
      </w:tblPr>
      <w:tblGrid>
        <w:gridCol w:w="7920"/>
      </w:tblGrid>
      <w:tr>
        <w:tc>
          <w:tcPr/>
          <w:bookmarkStart w:id="69" w:name="fig-transducers"/>
          <w:p>
            <w:pPr>
              <w:pStyle w:val="Compact"/>
              <w:jc w:val="left"/>
            </w:pPr>
            <w:r>
              <w:drawing>
                <wp:inline>
                  <wp:extent cx="5895975" cy="3028950"/>
                  <wp:effectExtent b="0" l="0" r="0" t="0"/>
                  <wp:docPr descr="" title="" id="67" name="Picture"/>
                  <a:graphic>
                    <a:graphicData uri="http://schemas.openxmlformats.org/drawingml/2006/picture">
                      <pic:pic>
                        <pic:nvPicPr>
                          <pic:cNvPr descr="content/images/transducers.jpg" id="68" name="Picture"/>
                          <pic:cNvPicPr>
                            <a:picLocks noChangeArrowheads="1" noChangeAspect="1"/>
                          </pic:cNvPicPr>
                        </pic:nvPicPr>
                        <pic:blipFill>
                          <a:blip r:embed="rId66"/>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3.1: Transducer locations on the bottom of the centerboard aboard Lasker.</w:t>
            </w:r>
          </w:p>
          <w:bookmarkEnd w:id="69"/>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3.1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70"/>
    <w:bookmarkStart w:id="71" w:name="underway-ctd"/>
    <w:p>
      <w:pPr>
        <w:pStyle w:val="Heading3"/>
      </w:pPr>
      <w:r>
        <w:t xml:space="preserve">3.1.2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71"/>
    <w:bookmarkEnd w:id="72"/>
    <w:bookmarkStart w:id="78" w:name="software"/>
    <w:p>
      <w:pPr>
        <w:pStyle w:val="Heading2"/>
      </w:pPr>
      <w:r>
        <w:t xml:space="preserve">3.2 Software</w:t>
      </w:r>
    </w:p>
    <w:bookmarkStart w:id="73" w:name="echosounder-software"/>
    <w:p>
      <w:pPr>
        <w:pStyle w:val="Heading3"/>
      </w:pPr>
      <w:r>
        <w:t xml:space="preserve">3.2.1 Echosounder Software</w:t>
      </w:r>
    </w:p>
    <w:p>
      <w:pPr>
        <w:pStyle w:val="FirstParagraph"/>
      </w:pPr>
      <w:r>
        <w:t xml:space="preserve">EK80</w:t>
      </w:r>
    </w:p>
    <w:bookmarkEnd w:id="73"/>
    <w:bookmarkStart w:id="74" w:name="nettime"/>
    <w:p>
      <w:pPr>
        <w:pStyle w:val="Heading3"/>
      </w:pPr>
      <w:r>
        <w:t xml:space="preserve">3.2.2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74"/>
    <w:bookmarkStart w:id="76" w:name="eal"/>
    <w:p>
      <w:pPr>
        <w:pStyle w:val="Heading3"/>
      </w:pPr>
      <w:r>
        <w:t xml:space="preserve">3.2.3 EAL</w:t>
      </w:r>
    </w:p>
    <w:p>
      <w:pPr>
        <w:pStyle w:val="FirstParagraph"/>
      </w:pPr>
      <w:r>
        <w:t xml:space="preserve">The 38-, 70-, 120-, 200-, and 333-kHz echosounders were controlled by the EK80 Adaptive Logger (EAL</w:t>
      </w:r>
      <w:hyperlink r:id="rId75">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76"/>
    <w:bookmarkStart w:id="77" w:name="k-sync"/>
    <w:p>
      <w:pPr>
        <w:pStyle w:val="Heading3"/>
      </w:pPr>
      <w:r>
        <w:t xml:space="preserve">3.2.4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77"/>
    <w:bookmarkEnd w:id="78"/>
    <w:bookmarkStart w:id="79" w:name="raw-acoustic-data-format"/>
    <w:p>
      <w:pPr>
        <w:pStyle w:val="Heading2"/>
      </w:pPr>
      <w:r>
        <w:t xml:space="preserve">3.3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79"/>
    <w:bookmarkEnd w:id="80"/>
    <w:bookmarkStart w:id="103" w:name="data-processing"/>
    <w:p>
      <w:pPr>
        <w:pStyle w:val="Heading1"/>
      </w:pPr>
      <w:r>
        <w:t xml:space="preserve">4.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81">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85" w:name="data-processing-overview"/>
    <w:p>
      <w:pPr>
        <w:pStyle w:val="Heading3"/>
      </w:pPr>
      <w:r>
        <w:t xml:space="preserve">4.0.1 Data Processing Overview</w:t>
      </w:r>
    </w:p>
    <w:p>
      <w:pPr>
        <w:pStyle w:val="CaptionedFigure"/>
      </w:pPr>
      <w:r>
        <w:drawing>
          <wp:inline>
            <wp:extent cx="5943600" cy="5017604"/>
            <wp:effectExtent b="0" l="0" r="0" t="0"/>
            <wp:docPr descr="Overview of CPS Acoustic Processing. Vessel position and attitude data is used from the POS MV (not shown)." title="" id="83" name="Picture"/>
            <a:graphic>
              <a:graphicData uri="http://schemas.openxmlformats.org/drawingml/2006/picture">
                <pic:pic>
                  <pic:nvPicPr>
                    <pic:cNvPr descr="content/images/processing-overview.JPG" id="84" name="Picture"/>
                    <pic:cNvPicPr>
                      <a:picLocks noChangeArrowheads="1" noChangeAspect="1"/>
                    </pic:cNvPicPr>
                  </pic:nvPicPr>
                  <pic:blipFill>
                    <a:blip r:embed="rId82"/>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85"/>
    <w:bookmarkStart w:id="94" w:name="echoview-processing-workflow"/>
    <w:p>
      <w:pPr>
        <w:pStyle w:val="Heading3"/>
      </w:pPr>
      <w:r>
        <w:t xml:space="preserve">4.0.2 Echoview Processing Workflow</w:t>
      </w:r>
    </w:p>
    <w:p>
      <w:pPr>
        <w:pStyle w:val="FirstParagraph"/>
      </w:pPr>
      <w:r>
        <w:t xml:space="preserve">In Echoview, we organize, clean, and extract acoustic backscatter of swim bladder fish. There are three key steps to this process:</w:t>
      </w:r>
    </w:p>
    <w:p>
      <w:pPr>
        <w:numPr>
          <w:ilvl w:val="0"/>
          <w:numId w:val="1005"/>
        </w:numPr>
      </w:pPr>
      <w:r>
        <w:t xml:space="preserve">Data wrangling, cleaning, and noise removal (including surface noise and seabed removal)</w:t>
      </w:r>
    </w:p>
    <w:p>
      <w:pPr>
        <w:numPr>
          <w:ilvl w:val="0"/>
          <w:numId w:val="1005"/>
        </w:numPr>
      </w:pPr>
      <w:r>
        <w:t xml:space="preserve">Echo classification for swim-bladdred fish</w:t>
      </w:r>
    </w:p>
    <w:p>
      <w:pPr>
        <w:numPr>
          <w:ilvl w:val="0"/>
          <w:numId w:val="1005"/>
        </w:numPr>
      </w:pPr>
      <w:r>
        <w:t xml:space="preserve">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87" name="Picture"/>
            <a:graphic>
              <a:graphicData uri="http://schemas.openxmlformats.org/drawingml/2006/picture">
                <pic:pic>
                  <pic:nvPicPr>
                    <pic:cNvPr descr="content/images/ev-processing.JPG" id="88" name="Picture"/>
                    <pic:cNvPicPr>
                      <a:picLocks noChangeArrowheads="1" noChangeAspect="1"/>
                    </pic:cNvPicPr>
                  </pic:nvPicPr>
                  <pic:blipFill>
                    <a:blip r:embed="rId86"/>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89" w:name="X78088a38697b690d3222d49e1905323bf0727fb"/>
    <w:p>
      <w:pPr>
        <w:pStyle w:val="Heading4"/>
      </w:pPr>
      <w:r>
        <w:t xml:space="preserve">4.0.2.1</w:t>
      </w:r>
      <w:r>
        <w:t xml:space="preserve"> </w:t>
      </w:r>
      <w:r>
        <w:rPr>
          <w:b/>
          <w:bCs/>
        </w:rPr>
        <w:t xml:space="preserve">Section 1) Data Wrangling, Cleaning, and Noise Removal:</w:t>
      </w:r>
    </w:p>
    <w:p>
      <w:pPr>
        <w:numPr>
          <w:ilvl w:val="0"/>
          <w:numId w:val="1006"/>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6"/>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6"/>
        </w:numPr>
      </w:pPr>
      <w:r>
        <w:t xml:space="preserve">Remove passive-mode pings.</w:t>
      </w:r>
    </w:p>
    <w:p>
      <w:pPr>
        <w:numPr>
          <w:ilvl w:val="0"/>
          <w:numId w:val="1006"/>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6"/>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6"/>
        </w:numPr>
      </w:pPr>
      <w:r>
        <w:t xml:space="preserve">Average the noise-free Sv echograms using non-overlapping 11-sample by 3-ping bins.</w:t>
      </w:r>
    </w:p>
    <w:p>
      <w:pPr>
        <w:numPr>
          <w:ilvl w:val="0"/>
          <w:numId w:val="1006"/>
        </w:numPr>
      </w:pPr>
      <w:r>
        <w:t xml:space="preserve">Expand the averaged, noise-reduced Sv echograms with a 7 pixel x 7 pixel dilation. This replaces each averaged datapoint from Step 6 with the maximum datapoint surrounding it in a 7x7 pixel region.</w:t>
      </w:r>
    </w:p>
    <w:bookmarkEnd w:id="89"/>
    <w:bookmarkStart w:id="92" w:name="X9ac12c32254d145b8615f158a53eebaa863fcad"/>
    <w:p>
      <w:pPr>
        <w:pStyle w:val="Heading4"/>
      </w:pPr>
      <w:r>
        <w:t xml:space="preserve">4.0.2.2</w:t>
      </w:r>
      <w:r>
        <w:t xml:space="preserve"> </w:t>
      </w:r>
      <w:r>
        <w:rPr>
          <w:b/>
          <w:bCs/>
        </w:rPr>
        <w:t xml:space="preserve">Section 2) Echo Classification for Swim Bladder Fish</w:t>
      </w:r>
    </w:p>
    <w:bookmarkStart w:id="90" w:name="calculate-frequency-response"/>
    <w:p>
      <w:pPr>
        <w:pStyle w:val="Heading5"/>
      </w:pPr>
      <w:r>
        <w:t xml:space="preserve">4.0.2.2.1</w:t>
      </w:r>
      <w:r>
        <w:t xml:space="preserve"> </w:t>
      </w:r>
      <w:r>
        <w:rPr>
          <w:i/>
          <w:iCs/>
        </w:rPr>
        <w:t xml:space="preserve">Calculate Frequency Response</w:t>
      </w:r>
      <w:r>
        <w:t xml:space="preserve">:</w:t>
      </w:r>
    </w:p>
    <w:p>
      <w:pPr>
        <w:numPr>
          <w:ilvl w:val="0"/>
          <w:numId w:val="1007"/>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7"/>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90"/>
    <w:bookmarkStart w:id="91" w:name="calculate-standard-deviation"/>
    <w:p>
      <w:pPr>
        <w:pStyle w:val="Heading5"/>
      </w:pPr>
      <w:r>
        <w:t xml:space="preserve">4.0.2.2.2</w:t>
      </w:r>
      <w:r>
        <w:t xml:space="preserve"> </w:t>
      </w:r>
      <w:r>
        <w:rPr>
          <w:i/>
          <w:iCs/>
        </w:rPr>
        <w:t xml:space="preserve">Calculate Standard Deviation</w:t>
      </w:r>
      <w:r>
        <w:t xml:space="preserve">:</w:t>
      </w:r>
    </w:p>
    <w:p>
      <w:pPr>
        <w:numPr>
          <w:ilvl w:val="0"/>
          <w:numId w:val="1008"/>
        </w:numPr>
      </w:pPr>
      <w:r>
        <w:t xml:space="preserve">For 120 and 200 kHz, compute the squared difference between the noise-filtered Sv (remove passive pings) and averaged Sv (11-sample x 3 ping bin averages).</w:t>
      </w:r>
    </w:p>
    <w:p>
      <w:pPr>
        <w:numPr>
          <w:ilvl w:val="0"/>
          <w:numId w:val="1008"/>
        </w:numPr>
      </w:pPr>
      <w:r>
        <w:t xml:space="preserve">Average the results using an 11-sample by 3-ping window to derive variance.</w:t>
      </w:r>
    </w:p>
    <w:p>
      <w:pPr>
        <w:numPr>
          <w:ilvl w:val="0"/>
          <w:numId w:val="1008"/>
        </w:numPr>
      </w:pPr>
      <w:r>
        <w:t xml:space="preserve">Compute the square root to derive the 120- and 200-kHz standard deviations (σ120kHz and σ200kHz, respectively).</w:t>
      </w:r>
    </w:p>
    <w:p>
      <w:pPr>
        <w:numPr>
          <w:ilvl w:val="0"/>
          <w:numId w:val="1008"/>
        </w:numPr>
      </w:pPr>
      <w:r>
        <w:t xml:space="preserve">Expand the standard deviation echograms with a 7 pixel x 7 pixel dilation (same step as Section 1, Step 7).</w:t>
      </w:r>
    </w:p>
    <w:p>
      <w:pPr>
        <w:numPr>
          <w:ilvl w:val="0"/>
          <w:numId w:val="1008"/>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(J. P. Zwolinski et al. 2010)</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91"/>
    <w:bookmarkEnd w:id="92"/>
    <w:bookmarkStart w:id="93" w:name="X8c50c5bede4f9057377b03efaf8a39d091374f8"/>
    <w:p>
      <w:pPr>
        <w:pStyle w:val="Heading4"/>
      </w:pPr>
      <w:r>
        <w:t xml:space="preserve">4.0.2.3</w:t>
      </w:r>
      <w:r>
        <w:t xml:space="preserve"> </w:t>
      </w:r>
      <w:r>
        <w:rPr>
          <w:b/>
          <w:bCs/>
        </w:rPr>
        <w:t xml:space="preserve">Section 3) Acoustic Backscatter Integration</w:t>
      </w:r>
    </w:p>
    <w:p>
      <w:pPr>
        <w:pStyle w:val="Compact"/>
        <w:numPr>
          <w:ilvl w:val="0"/>
          <w:numId w:val="1009"/>
        </w:numPr>
      </w:pPr>
      <w:r>
        <w:t xml:space="preserve">Integrate the volume backscattering coefficients (sV , m2 m-3) attributed to CPS over 5-m depths and averaged over 100-m distances;</w:t>
      </w:r>
    </w:p>
    <w:p>
      <w:pPr>
        <w:pStyle w:val="Compact"/>
        <w:numPr>
          <w:ilvl w:val="0"/>
          <w:numId w:val="1009"/>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93"/>
    <w:bookmarkEnd w:id="94"/>
    <w:bookmarkStart w:id="102" w:name="posit-processing-workflow"/>
    <w:p>
      <w:pPr>
        <w:pStyle w:val="Heading3"/>
      </w:pPr>
      <w:r>
        <w:t xml:space="preserve">4.0.3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96" name="Picture"/>
            <a:graphic>
              <a:graphicData uri="http://schemas.openxmlformats.org/drawingml/2006/picture">
                <pic:pic>
                  <pic:nvPicPr>
                    <pic:cNvPr descr="content/images/nascr_processing.JPG" id="97" name="Picture"/>
                    <pic:cNvPicPr>
                      <a:picLocks noChangeArrowheads="1" noChangeAspect="1"/>
                    </pic:cNvPicPr>
                  </pic:nvPicPr>
                  <pic:blipFill>
                    <a:blip r:embed="rId95"/>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98">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100" name="Picture"/>
            <a:graphic>
              <a:graphicData uri="http://schemas.openxmlformats.org/drawingml/2006/picture">
                <pic:pic>
                  <pic:nvPicPr>
                    <pic:cNvPr descr="content/images/nascr_processing_result.JPG" id="101" name="Picture"/>
                    <pic:cNvPicPr>
                      <a:picLocks noChangeArrowheads="1" noChangeAspect="1"/>
                    </pic:cNvPicPr>
                  </pic:nvPicPr>
                  <pic:blipFill>
                    <a:blip r:embed="rId99"/>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102"/>
    <w:bookmarkEnd w:id="103"/>
    <w:bookmarkStart w:id="138" w:name="backscatter-identification"/>
    <w:p>
      <w:pPr>
        <w:pStyle w:val="Heading1"/>
      </w:pPr>
      <w:r>
        <w:t xml:space="preserve">5. Backscatter Identification</w:t>
      </w:r>
    </w:p>
    <w:bookmarkStart w:id="108" w:name="acoustic-characteristics-of-cps"/>
    <w:p>
      <w:pPr>
        <w:pStyle w:val="Heading4"/>
      </w:pPr>
      <w:r>
        <w:t xml:space="preserve">5.0.0.1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During our nightly trawl catches, we measure the standard length for a collection of fish. Using the standard length we estimate the dorsal surface area of a swimbladder (swimbladder size). Knowing the approximate dorsal surface area of a swimbladder allows us to calculate the backscattering cross-section of one bladder and in turn the</w:t>
      </w:r>
      <w:r>
        <w:t xml:space="preserve"> </w:t>
      </w:r>
      <w:r>
        <w:rPr>
          <w:b/>
          <w:bCs/>
        </w:rPr>
        <w:t xml:space="preserve">volume backscattering coefficient</w:t>
      </w:r>
      <w:r>
        <w:t xml:space="preserve"> </w:t>
      </w:r>
      <w:r>
        <w:t xml:space="preserve">(many swim bladders together such as a school of fish). We are able to calculate backscattering coefficients for each CPS species. You may also hear the word Target Strength, which is a logrithmic function of the backscattering cross-section and describes how sound reflects off the swim bladder depending on its size.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104">
        <w:r>
          <w:rPr>
            <w:rStyle w:val="Hyperlink"/>
          </w:rPr>
          <w:t xml:space="preserve">here</w:t>
        </w:r>
      </w:hyperlink>
      <w:r>
        <w:t xml:space="preserve">.</w:t>
      </w:r>
    </w:p>
    <w:p>
      <w:pPr>
        <w:pStyle w:val="BodyText"/>
      </w:pPr>
      <w:r>
        <w:drawing>
          <wp:inline>
            <wp:extent cx="5943600" cy="1402003"/>
            <wp:effectExtent b="0" l="0" r="0" t="0"/>
            <wp:docPr descr="" title="" id="106" name="Picture"/>
            <a:graphic>
              <a:graphicData uri="http://schemas.openxmlformats.org/drawingml/2006/picture">
                <pic:pic>
                  <pic:nvPicPr>
                    <pic:cNvPr descr="content/images/Sv.JPG" id="107" name="Picture"/>
                    <pic:cNvPicPr>
                      <a:picLocks noChangeArrowheads="1" noChangeAspect="1"/>
                    </pic:cNvPicPr>
                  </pic:nvPicPr>
                  <pic:blipFill>
                    <a:blip r:embed="rId105"/>
                    <a:stretch>
                      <a:fillRect/>
                    </a:stretch>
                  </pic:blipFill>
                  <pic:spPr bwMode="auto">
                    <a:xfrm>
                      <a:off x="0" y="0"/>
                      <a:ext cx="5943600" cy="1402003"/>
                    </a:xfrm>
                    <a:prstGeom prst="rect">
                      <a:avLst/>
                    </a:prstGeom>
                    <a:noFill/>
                    <a:ln w="9525">
                      <a:noFill/>
                      <a:headEnd/>
                      <a:tailEnd/>
                    </a:ln>
                  </pic:spPr>
                </pic:pic>
              </a:graphicData>
            </a:graphic>
          </wp:inline>
        </w:drawing>
      </w:r>
    </w:p>
    <w:p>
      <w:pPr>
        <w:pStyle w:val="BodyText"/>
      </w:pPr>
      <w:r>
        <w:rPr>
          <w:rStyle w:val="VerbatimChar"/>
          <w:b/>
          <w:bCs/>
        </w:rPr>
        <w:t xml:space="preserve">Sv</w:t>
      </w:r>
      <w:r>
        <w:rPr>
          <w:b/>
          <w:bCs/>
        </w:rPr>
        <w:t xml:space="preserve"> </w:t>
      </w:r>
      <w:r>
        <w:rPr>
          <w:b/>
          <w:bCs/>
        </w:rPr>
        <w:t xml:space="preserve">differences in the CPS range:</w:t>
      </w:r>
    </w:p>
    <w:p>
      <w:pPr>
        <w:pStyle w:val="BodyText"/>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pStyle w:val="BodyText"/>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pStyle w:val="BodyText"/>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108"/>
    <w:bookmarkStart w:id="109" w:name="X5167a55b6a853c457a66b566692d0ab872c8fc5"/>
    <w:p>
      <w:pPr>
        <w:pStyle w:val="Heading4"/>
      </w:pPr>
      <w:r>
        <w:t xml:space="preserve">5.0.0.2</w:t>
      </w:r>
      <w:r>
        <w:t xml:space="preserve"> </w:t>
      </w:r>
      <w:r>
        <w:rPr>
          <w:b/>
          <w:bCs/>
        </w:rPr>
        <w:t xml:space="preserve">The automated CPS processing in</w:t>
      </w:r>
      <w:r>
        <w:rPr>
          <w:b/>
          <w:bCs/>
        </w:rPr>
        <w:t xml:space="preserve"> </w:t>
      </w:r>
      <w:r>
        <w:rPr>
          <w:b/>
          <w:bCs/>
        </w:rPr>
        <w:t xml:space="preserve">‘Echoview’</w:t>
      </w:r>
      <w:r>
        <w:rPr>
          <w:b/>
          <w:bCs/>
        </w:rPr>
        <w:t xml:space="preserve"> </w:t>
      </w:r>
      <w:r>
        <w:rPr>
          <w:b/>
          <w:bCs/>
        </w:rPr>
        <w:t xml:space="preserve">filters for all CPS meeting the criteria above, however some non-CPS targets still pass through the filter, specifically fishes like rockfish. To remove these CPS-like targets, we manually review each exported Echoview echogram.</w:t>
      </w:r>
    </w:p>
    <w:bookmarkEnd w:id="109"/>
    <w:bookmarkStart w:id="137" w:name="below-is-how-we-do-that."/>
    <w:p>
      <w:pPr>
        <w:pStyle w:val="Heading4"/>
      </w:pPr>
      <w:r>
        <w:t xml:space="preserve">5.0.0.3</w:t>
      </w:r>
      <w:r>
        <w:t xml:space="preserve"> </w:t>
      </w:r>
      <w:r>
        <w:rPr>
          <w:b/>
          <w:bCs/>
        </w:rPr>
        <w:t xml:space="preserve">Below is how we do that.</w:t>
      </w:r>
    </w:p>
    <w:p>
      <w:pPr>
        <w:pStyle w:val="FirstParagraph"/>
      </w:pPr>
      <w:r>
        <w:t xml:space="preserve">Using the</w:t>
      </w:r>
      <w:r>
        <w:t xml:space="preserve"> </w:t>
      </w:r>
      <w:r>
        <w:t xml:space="preserve">‘extract_CPS_NASC.R’</w:t>
      </w:r>
      <w:r>
        <w:t xml:space="preserve">, an R-based tool in the</w:t>
      </w:r>
      <w:r>
        <w:t xml:space="preserve"> </w:t>
      </w:r>
      <w:r>
        <w:t xml:space="preserve">‘estimATM’</w:t>
      </w:r>
      <w:r>
        <w:t xml:space="preserve"> </w:t>
      </w:r>
      <w:r>
        <w:t xml:space="preserve">package, we remove non-CPS targets from final echograms. This process aims to distinguish CPS from non-target species from mid-water, demersal, and benthic swim bladder fishes.</w:t>
      </w:r>
    </w:p>
    <w:p>
      <w:pPr>
        <w:pStyle w:val="BodyText"/>
      </w:pPr>
      <w:r>
        <w:drawing>
          <wp:inline>
            <wp:extent cx="3829050" cy="1920251"/>
            <wp:effectExtent b="0" l="0" r="0" t="0"/>
            <wp:docPr descr="" title="" id="111" name="Picture"/>
            <a:graphic>
              <a:graphicData uri="http://schemas.openxmlformats.org/drawingml/2006/picture">
                <pic:pic>
                  <pic:nvPicPr>
                    <pic:cNvPr descr="content/images/clipboard-1812046072.jpeg" id="112" name="Picture"/>
                    <pic:cNvPicPr>
                      <a:picLocks noChangeArrowheads="1" noChangeAspect="1"/>
                    </pic:cNvPicPr>
                  </pic:nvPicPr>
                  <pic:blipFill>
                    <a:blip r:embed="rId110"/>
                    <a:stretch>
                      <a:fillRect/>
                    </a:stretch>
                  </pic:blipFill>
                  <pic:spPr bwMode="auto">
                    <a:xfrm>
                      <a:off x="0" y="0"/>
                      <a:ext cx="3829050" cy="1920251"/>
                    </a:xfrm>
                    <a:prstGeom prst="rect">
                      <a:avLst/>
                    </a:prstGeom>
                    <a:noFill/>
                    <a:ln w="9525">
                      <a:noFill/>
                      <a:headEnd/>
                      <a:tailEnd/>
                    </a:ln>
                  </pic:spPr>
                </pic:pic>
              </a:graphicData>
            </a:graphic>
          </wp:inline>
        </w:drawing>
      </w:r>
    </w:p>
    <w:p>
      <w:pPr>
        <w:pStyle w:val="BodyText"/>
      </w:pPr>
      <w:r>
        <w:t xml:space="preserve">We follow a decision guide to help distinguish CPS and retain the backscatter that meets the criteria in green.</w:t>
      </w:r>
    </w:p>
    <w:p>
      <w:pPr>
        <w:pStyle w:val="BodyText"/>
      </w:pPr>
      <w:r>
        <w:drawing>
          <wp:inline>
            <wp:extent cx="5943600" cy="3487204"/>
            <wp:effectExtent b="0" l="0" r="0" t="0"/>
            <wp:docPr descr="" title="" id="114" name="Picture"/>
            <a:graphic>
              <a:graphicData uri="http://schemas.openxmlformats.org/drawingml/2006/picture">
                <pic:pic>
                  <pic:nvPicPr>
                    <pic:cNvPr descr="content/images/clipboard-2573637158.jpeg" id="115" name="Picture"/>
                    <pic:cNvPicPr>
                      <a:picLocks noChangeArrowheads="1" noChangeAspect="1"/>
                    </pic:cNvPicPr>
                  </pic:nvPicPr>
                  <pic:blipFill>
                    <a:blip r:embed="rId113"/>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Below is an example of a well defined school with high Sv. CPS schools can occur in near the surface, mid-water column, or compressed to the seabed (especially in shallow waters during the day).</w:t>
      </w:r>
    </w:p>
    <w:p>
      <w:pPr>
        <w:pStyle w:val="CaptionedFigure"/>
      </w:pPr>
      <w:r>
        <w:drawing>
          <wp:inline>
            <wp:extent cx="2674620" cy="1965960"/>
            <wp:effectExtent b="0" l="0" r="0" t="0"/>
            <wp:docPr descr="CPS near sea surface" title="" id="117" name="Picture"/>
            <a:graphic>
              <a:graphicData uri="http://schemas.openxmlformats.org/drawingml/2006/picture">
                <pic:pic>
                  <pic:nvPicPr>
                    <pic:cNvPr descr="content/images/CPS-surface.JPG" id="118" name="Picture"/>
                    <pic:cNvPicPr>
                      <a:picLocks noChangeArrowheads="1" noChangeAspect="1"/>
                    </pic:cNvPicPr>
                  </pic:nvPicPr>
                  <pic:blipFill>
                    <a:blip r:embed="rId116"/>
                    <a:stretch>
                      <a:fillRect/>
                    </a:stretch>
                  </pic:blipFill>
                  <pic:spPr bwMode="auto">
                    <a:xfrm>
                      <a:off x="0" y="0"/>
                      <a:ext cx="2674620" cy="1965960"/>
                    </a:xfrm>
                    <a:prstGeom prst="rect">
                      <a:avLst/>
                    </a:prstGeom>
                    <a:noFill/>
                    <a:ln w="9525">
                      <a:noFill/>
                      <a:headEnd/>
                      <a:tailEnd/>
                    </a:ln>
                  </pic:spPr>
                </pic:pic>
              </a:graphicData>
            </a:graphic>
          </wp:inline>
        </w:drawing>
      </w:r>
    </w:p>
    <w:p>
      <w:pPr>
        <w:pStyle w:val="ImageCaption"/>
      </w:pPr>
      <w:r>
        <w:t xml:space="preserve">CPS near sea surface</w:t>
      </w:r>
    </w:p>
    <w:p>
      <w:pPr>
        <w:pStyle w:val="CaptionedFigure"/>
      </w:pPr>
      <w:r>
        <w:drawing>
          <wp:inline>
            <wp:extent cx="2743200" cy="1706880"/>
            <wp:effectExtent b="0" l="0" r="0" t="0"/>
            <wp:docPr descr="CPS near seafloor" title="" id="120" name="Picture"/>
            <a:graphic>
              <a:graphicData uri="http://schemas.openxmlformats.org/drawingml/2006/picture">
                <pic:pic>
                  <pic:nvPicPr>
                    <pic:cNvPr descr="content/images/CPS-bottom.JPG" id="121" name="Picture"/>
                    <pic:cNvPicPr>
                      <a:picLocks noChangeArrowheads="1" noChangeAspect="1"/>
                    </pic:cNvPicPr>
                  </pic:nvPicPr>
                  <pic:blipFill>
                    <a:blip r:embed="rId119"/>
                    <a:stretch>
                      <a:fillRect/>
                    </a:stretch>
                  </pic:blipFill>
                  <pic:spPr bwMode="auto">
                    <a:xfrm>
                      <a:off x="0" y="0"/>
                      <a:ext cx="2743200" cy="1706880"/>
                    </a:xfrm>
                    <a:prstGeom prst="rect">
                      <a:avLst/>
                    </a:prstGeom>
                    <a:noFill/>
                    <a:ln w="9525">
                      <a:noFill/>
                      <a:headEnd/>
                      <a:tailEnd/>
                    </a:ln>
                  </pic:spPr>
                </pic:pic>
              </a:graphicData>
            </a:graphic>
          </wp:inline>
        </w:drawing>
      </w:r>
    </w:p>
    <w:p>
      <w:pPr>
        <w:pStyle w:val="ImageCaption"/>
      </w:pPr>
      <w:r>
        <w:t xml:space="preserve">CPS near seafloor</w:t>
      </w:r>
    </w:p>
    <w:p>
      <w:pPr>
        <w:pStyle w:val="BodyText"/>
      </w:pPr>
      <w:r>
        <w:t xml:space="preserve">Below are examples of non-CPS that we manually using</w:t>
      </w:r>
      <w:r>
        <w:t xml:space="preserve"> </w:t>
      </w:r>
      <w:r>
        <w:t xml:space="preserve">‘extract_CPS_NASC.R’</w:t>
      </w:r>
      <w:r>
        <w:t xml:space="preserve">.</w:t>
      </w:r>
    </w:p>
    <w:p>
      <w:pPr>
        <w:pStyle w:val="CaptionedFigure"/>
      </w:pPr>
      <w:r>
        <w:drawing>
          <wp:inline>
            <wp:extent cx="3362325" cy="2253312"/>
            <wp:effectExtent b="0" l="0" r="0" t="0"/>
            <wp:docPr descr="Diffuse biological layer. Diffuse schools will often be observed offshore near the surface, near a shelf break, or deeper than ~250m" title="" id="123" name="Picture"/>
            <a:graphic>
              <a:graphicData uri="http://schemas.openxmlformats.org/drawingml/2006/picture">
                <pic:pic>
                  <pic:nvPicPr>
                    <pic:cNvPr descr="content/images/Diffuse.JPG" id="124" name="Picture"/>
                    <pic:cNvPicPr>
                      <a:picLocks noChangeArrowheads="1" noChangeAspect="1"/>
                    </pic:cNvPicPr>
                  </pic:nvPicPr>
                  <pic:blipFill>
                    <a:blip r:embed="rId122"/>
                    <a:stretch>
                      <a:fillRect/>
                    </a:stretch>
                  </pic:blipFill>
                  <pic:spPr bwMode="auto">
                    <a:xfrm>
                      <a:off x="0" y="0"/>
                      <a:ext cx="3362325" cy="2253312"/>
                    </a:xfrm>
                    <a:prstGeom prst="rect">
                      <a:avLst/>
                    </a:prstGeom>
                    <a:noFill/>
                    <a:ln w="9525">
                      <a:noFill/>
                      <a:headEnd/>
                      <a:tailEnd/>
                    </a:ln>
                  </pic:spPr>
                </pic:pic>
              </a:graphicData>
            </a:graphic>
          </wp:inline>
        </w:drawing>
      </w:r>
    </w:p>
    <w:p>
      <w:pPr>
        <w:pStyle w:val="ImageCaption"/>
      </w:pPr>
      <w:r>
        <w:t xml:space="preserve">Diffuse biological layer. Diffuse schools will often be observed offshore near the surface, near a shelf break, or deeper than ~250m</w:t>
      </w:r>
    </w:p>
    <w:p>
      <w:pPr>
        <w:pStyle w:val="CaptionedFigure"/>
      </w:pPr>
      <w:r>
        <w:drawing>
          <wp:inline>
            <wp:extent cx="3381375" cy="3417475"/>
            <wp:effectExtent b="0" l="0" r="0" t="0"/>
            <wp:docPr descr="Rockfish on a seamount. Rockfish often will be observed near rugged or rocky seabed." title="" id="126" name="Picture"/>
            <a:graphic>
              <a:graphicData uri="http://schemas.openxmlformats.org/drawingml/2006/picture">
                <pic:pic>
                  <pic:nvPicPr>
                    <pic:cNvPr descr="content/images/Rockfish.JPG" id="127" name="Picture"/>
                    <pic:cNvPicPr>
                      <a:picLocks noChangeArrowheads="1" noChangeAspect="1"/>
                    </pic:cNvPicPr>
                  </pic:nvPicPr>
                  <pic:blipFill>
                    <a:blip r:embed="rId125"/>
                    <a:stretch>
                      <a:fillRect/>
                    </a:stretch>
                  </pic:blipFill>
                  <pic:spPr bwMode="auto">
                    <a:xfrm>
                      <a:off x="0" y="0"/>
                      <a:ext cx="3381375" cy="3417475"/>
                    </a:xfrm>
                    <a:prstGeom prst="rect">
                      <a:avLst/>
                    </a:prstGeom>
                    <a:noFill/>
                    <a:ln w="9525">
                      <a:noFill/>
                      <a:headEnd/>
                      <a:tailEnd/>
                    </a:ln>
                  </pic:spPr>
                </pic:pic>
              </a:graphicData>
            </a:graphic>
          </wp:inline>
        </w:drawing>
      </w:r>
    </w:p>
    <w:p>
      <w:pPr>
        <w:pStyle w:val="ImageCaption"/>
      </w:pPr>
      <w:r>
        <w:t xml:space="preserve">Rockfish on a seamount. Rockfish often will be observed near rugged or rocky seabed.</w:t>
      </w:r>
    </w:p>
    <w:p>
      <w:pPr>
        <w:pStyle w:val="CaptionedFigure"/>
      </w:pPr>
      <w:r>
        <w:drawing>
          <wp:inline>
            <wp:extent cx="4838700" cy="2217737"/>
            <wp:effectExtent b="0" l="0" r="0" t="0"/>
            <wp:docPr descr="The hake snake. Hake tend to be mid-water column and in a snaking schooling behavior." title="" id="129" name="Picture"/>
            <a:graphic>
              <a:graphicData uri="http://schemas.openxmlformats.org/drawingml/2006/picture">
                <pic:pic>
                  <pic:nvPicPr>
                    <pic:cNvPr descr="content/images/Hake.JPG" id="130" name="Picture"/>
                    <pic:cNvPicPr>
                      <a:picLocks noChangeArrowheads="1" noChangeAspect="1"/>
                    </pic:cNvPicPr>
                  </pic:nvPicPr>
                  <pic:blipFill>
                    <a:blip r:embed="rId128"/>
                    <a:stretch>
                      <a:fillRect/>
                    </a:stretch>
                  </pic:blipFill>
                  <pic:spPr bwMode="auto">
                    <a:xfrm>
                      <a:off x="0" y="0"/>
                      <a:ext cx="4838700" cy="2217737"/>
                    </a:xfrm>
                    <a:prstGeom prst="rect">
                      <a:avLst/>
                    </a:prstGeom>
                    <a:noFill/>
                    <a:ln w="9525">
                      <a:noFill/>
                      <a:headEnd/>
                      <a:tailEnd/>
                    </a:ln>
                  </pic:spPr>
                </pic:pic>
              </a:graphicData>
            </a:graphic>
          </wp:inline>
        </w:drawing>
      </w:r>
    </w:p>
    <w:p>
      <w:pPr>
        <w:pStyle w:val="ImageCaption"/>
      </w:pPr>
      <w:r>
        <w:t xml:space="preserve">The hake snake. Hake tend to be mid-water column and in a snaking schooling behavior.</w:t>
      </w:r>
    </w:p>
    <w:p>
      <w:pPr>
        <w:pStyle w:val="BodyText"/>
      </w:pPr>
      <w:r>
        <w:t xml:space="preserve">When looking at Echoview echograms of acoustic transects, if there are areas where we are unsure if the backscatter is CPS or not CPS based on visual inspection, we dig deeper and examine how the</w:t>
      </w:r>
      <w:r>
        <w:t xml:space="preserve"> </w:t>
      </w:r>
      <w:r>
        <w:rPr>
          <w:b/>
          <w:bCs/>
        </w:rPr>
        <w:t xml:space="preserve">volume backscattering coefficient (</w:t>
      </w:r>
      <w:r>
        <w:rPr>
          <w:rStyle w:val="VerbatimChar"/>
          <w:b/>
          <w:bCs/>
        </w:rPr>
        <w:t xml:space="preserve">Sv)</w:t>
      </w:r>
      <w:r>
        <w:t xml:space="preserve"> </w:t>
      </w:r>
      <w:r>
        <w:t xml:space="preserve">changes over each frequency. We refer to this as the frequency response. Swimbladder fish are expected to have a flat or decreasing frequency response across 38kHz, 70kHz, 120kHz, and 200kHz (</w:t>
      </w:r>
      <w:hyperlink w:anchor="fig-frequency">
        <w:r>
          <w:rPr>
            <w:rStyle w:val="Hyperlink"/>
          </w:rPr>
          <w:t xml:space="preserve">Figure 5.1</w:t>
        </w:r>
      </w:hyperlink>
      <w:r>
        <w:t xml:space="preserve">) with the decrease or flattening occurring between 120kHz and 200kHz.</w:t>
      </w:r>
    </w:p>
    <w:tbl>
      <w:tblPr>
        <w:tblStyle w:val="Table"/>
        <w:tblW w:type="pct" w:w="5000"/>
        <w:tblLayout w:type="fixed"/>
        <w:tblLook w:firstRow="0" w:lastRow="0" w:firstColumn="0" w:lastColumn="0" w:noHBand="0" w:noVBand="0" w:val="0000"/>
      </w:tblPr>
      <w:tblGrid>
        <w:gridCol w:w="7920"/>
      </w:tblGrid>
      <w:tr>
        <w:tc>
          <w:tcPr/>
          <w:bookmarkStart w:id="135" w:name="fig-frequency"/>
          <w:p>
            <w:pPr>
              <w:pStyle w:val="Compact"/>
              <w:jc w:val="left"/>
            </w:pPr>
            <w:bookmarkStart w:id="134" w:name="fig-frequency"/>
            <w:r>
              <w:drawing>
                <wp:inline>
                  <wp:extent cx="5943600" cy="2372310"/>
                  <wp:effectExtent b="0" l="0" r="0" t="0"/>
                  <wp:docPr descr="" title="" id="132" name="Picture"/>
                  <a:graphic>
                    <a:graphicData uri="http://schemas.openxmlformats.org/drawingml/2006/picture">
                      <pic:pic>
                        <pic:nvPicPr>
                          <pic:cNvPr descr="content/images/CPS-freq-response.JPG" id="133" name="Picture"/>
                          <pic:cNvPicPr>
                            <a:picLocks noChangeArrowheads="1" noChangeAspect="1"/>
                          </pic:cNvPicPr>
                        </pic:nvPicPr>
                        <pic:blipFill>
                          <a:blip r:embed="rId131"/>
                          <a:stretch>
                            <a:fillRect/>
                          </a:stretch>
                        </pic:blipFill>
                        <pic:spPr bwMode="auto">
                          <a:xfrm>
                            <a:off x="0" y="0"/>
                            <a:ext cx="5943600" cy="2372310"/>
                          </a:xfrm>
                          <a:prstGeom prst="rect">
                            <a:avLst/>
                          </a:prstGeom>
                          <a:noFill/>
                          <a:ln w="9525">
                            <a:noFill/>
                            <a:headEnd/>
                            <a:tailEnd/>
                          </a:ln>
                        </pic:spPr>
                      </pic:pic>
                    </a:graphicData>
                  </a:graphic>
                </wp:inline>
              </w:drawing>
            </w:r>
            <w:bookmarkEnd w:id="134"/>
          </w:p>
          <w:p>
            <w:pPr>
              <w:jc w:val="left"/>
            </w:pPr>
            <w:pPr>
              <w:jc w:val="start"/>
              <w:spacing w:before="200"/>
              <w:pStyle w:val="ImageCaption"/>
            </w:pPr>
            <w:r>
              <w:t xml:space="preserve">Figure 5.1</w:t>
            </w:r>
          </w:p>
          <w:bookmarkEnd w:id="135"/>
        </w:tc>
      </w:tr>
    </w:tbl>
    <w:p>
      <w:pPr>
        <w:pStyle w:val="BodyText"/>
      </w:pPr>
      <w:r>
        <w:rPr>
          <w:i/>
          <w:iCs/>
        </w:rPr>
        <w:t xml:space="preserve">Reference: Content is adapted from</w:t>
      </w:r>
      <w:r>
        <w:rPr>
          <w:i/>
          <w:iCs/>
        </w:rPr>
        <w:t xml:space="preserve"> </w:t>
      </w:r>
      <w:hyperlink r:id="rId136">
        <w:r>
          <w:rPr>
            <w:rStyle w:val="Hyperlink"/>
            <w:i/>
            <w:iCs/>
          </w:rPr>
          <w:t xml:space="preserve">this google document: Name that Backscatter!</w:t>
        </w:r>
      </w:hyperlink>
    </w:p>
    <w:bookmarkEnd w:id="137"/>
    <w:bookmarkEnd w:id="138"/>
    <w:bookmarkStart w:id="150" w:name="trawl-selection"/>
    <w:p>
      <w:pPr>
        <w:pStyle w:val="Heading1"/>
      </w:pPr>
      <w:r>
        <w:t xml:space="preserve">6. Trawl Selection</w:t>
      </w:r>
    </w:p>
    <w:p>
      <w:pPr>
        <w:pStyle w:val="FirstParagraph"/>
      </w:pPr>
      <w:r>
        <w:t xml:space="preserve">Acoustic transects are processed for CPS backscatter on the day of acquisition and used to determine nightly trawl locations. This page will walk through the process of trawl selection.</w:t>
      </w:r>
    </w:p>
    <w:bookmarkStart w:id="145" w:name="visual-comparison"/>
    <w:p>
      <w:pPr>
        <w:pStyle w:val="Heading3"/>
      </w:pPr>
      <w:r>
        <w:t xml:space="preserve">6.0.1</w:t>
      </w:r>
      <w:r>
        <w:t xml:space="preserve"> </w:t>
      </w:r>
      <w:r>
        <w:rPr>
          <w:b/>
          <w:bCs/>
        </w:rPr>
        <w:t xml:space="preserve">1. Visual Comparison</w:t>
      </w:r>
    </w:p>
    <w:p>
      <w:pPr>
        <w:pStyle w:val="FirstParagraph"/>
      </w:pPr>
      <w:r>
        <w:t xml:space="preserve">The acoustics technician on watch completes a visual comparison between an in-house published map (plotSurvey) of backscatter results and the transect acoustic echogram. Dense schools of CPS seen in the echogram will correlate to colorful bubbles on plotSurvey.</w:t>
      </w:r>
    </w:p>
    <w:p>
      <w:pPr>
        <w:pStyle w:val="BodyText"/>
      </w:pPr>
      <w:r>
        <w:drawing>
          <wp:inline>
            <wp:extent cx="5153025" cy="5863539"/>
            <wp:effectExtent b="0" l="0" r="0" t="0"/>
            <wp:docPr descr="" title="" id="140" name="Picture"/>
            <a:graphic>
              <a:graphicData uri="http://schemas.openxmlformats.org/drawingml/2006/picture">
                <pic:pic>
                  <pic:nvPicPr>
                    <pic:cNvPr descr="content/images/trawl-selection-plotsurvey-056C.JPG" id="141" name="Picture"/>
                    <pic:cNvPicPr>
                      <a:picLocks noChangeArrowheads="1" noChangeAspect="1"/>
                    </pic:cNvPicPr>
                  </pic:nvPicPr>
                  <pic:blipFill>
                    <a:blip r:embed="rId139"/>
                    <a:stretch>
                      <a:fillRect/>
                    </a:stretch>
                  </pic:blipFill>
                  <pic:spPr bwMode="auto">
                    <a:xfrm>
                      <a:off x="0" y="0"/>
                      <a:ext cx="5153025" cy="5863539"/>
                    </a:xfrm>
                    <a:prstGeom prst="rect">
                      <a:avLst/>
                    </a:prstGeom>
                    <a:noFill/>
                    <a:ln w="9525">
                      <a:noFill/>
                      <a:headEnd/>
                      <a:tailEnd/>
                    </a:ln>
                  </pic:spPr>
                </pic:pic>
              </a:graphicData>
            </a:graphic>
          </wp:inline>
        </w:drawing>
      </w:r>
    </w:p>
    <w:p>
      <w:pPr>
        <w:pStyle w:val="BodyText"/>
      </w:pPr>
      <w:r>
        <w:t xml:space="preserve">Clicking on summarized acoustic points shows a popup that contains the time and distance interval over which those data were summarized, allowing you to scrutinize the results of Echoview processing. We make sure to cross-reference backscatter spots on plotSurvey with the exported image from Echoview to make an informed trawl-location decision.</w:t>
      </w:r>
    </w:p>
    <w:p>
      <w:pPr>
        <w:pStyle w:val="BodyText"/>
      </w:pPr>
      <w:r>
        <w:drawing>
          <wp:inline>
            <wp:extent cx="3209925" cy="2489798"/>
            <wp:effectExtent b="0" l="0" r="0" t="0"/>
            <wp:docPr descr="" title="" id="143" name="Picture"/>
            <a:graphic>
              <a:graphicData uri="http://schemas.openxmlformats.org/drawingml/2006/picture">
                <pic:pic>
                  <pic:nvPicPr>
                    <pic:cNvPr descr="content/images/trawl-selection-plotsurvey-backscatter.JPG" id="144" name="Picture"/>
                    <pic:cNvPicPr>
                      <a:picLocks noChangeArrowheads="1" noChangeAspect="1"/>
                    </pic:cNvPicPr>
                  </pic:nvPicPr>
                  <pic:blipFill>
                    <a:blip r:embed="rId142"/>
                    <a:stretch>
                      <a:fillRect/>
                    </a:stretch>
                  </pic:blipFill>
                  <pic:spPr bwMode="auto">
                    <a:xfrm>
                      <a:off x="0" y="0"/>
                      <a:ext cx="3209925" cy="2489798"/>
                    </a:xfrm>
                    <a:prstGeom prst="rect">
                      <a:avLst/>
                    </a:prstGeom>
                    <a:noFill/>
                    <a:ln w="9525">
                      <a:noFill/>
                      <a:headEnd/>
                      <a:tailEnd/>
                    </a:ln>
                  </pic:spPr>
                </pic:pic>
              </a:graphicData>
            </a:graphic>
          </wp:inline>
        </w:drawing>
      </w:r>
    </w:p>
    <w:bookmarkEnd w:id="145"/>
    <w:bookmarkStart w:id="149" w:name="best-judgement"/>
    <w:p>
      <w:pPr>
        <w:pStyle w:val="Heading3"/>
      </w:pPr>
      <w:r>
        <w:t xml:space="preserve">6.0.2 2. Best Judgement</w:t>
      </w:r>
    </w:p>
    <w:p>
      <w:pPr>
        <w:pStyle w:val="FirstParagraph"/>
      </w:pPr>
      <w:r>
        <w:t xml:space="preserve">The acoustics technician will select 2-3 trawls each night based on the backscatter observed during the daytime acoustic transect, operational efficiency, and expected CPS habitat. If no CPS backscatter is observed, trawl locations will default to using expected CPS habitat information and operational efficiency.</w:t>
      </w:r>
    </w:p>
    <w:p>
      <w:pPr>
        <w:pStyle w:val="BodyText"/>
      </w:pPr>
      <w:r>
        <w:drawing>
          <wp:inline>
            <wp:extent cx="5943600" cy="5116951"/>
            <wp:effectExtent b="0" l="0" r="0" t="0"/>
            <wp:docPr descr="" title="" id="147" name="Picture"/>
            <a:graphic>
              <a:graphicData uri="http://schemas.openxmlformats.org/drawingml/2006/picture">
                <pic:pic>
                  <pic:nvPicPr>
                    <pic:cNvPr descr="content/images/trawl-selection.JPG" id="148" name="Picture"/>
                    <pic:cNvPicPr>
                      <a:picLocks noChangeArrowheads="1" noChangeAspect="1"/>
                    </pic:cNvPicPr>
                  </pic:nvPicPr>
                  <pic:blipFill>
                    <a:blip r:embed="rId146"/>
                    <a:stretch>
                      <a:fillRect/>
                    </a:stretch>
                  </pic:blipFill>
                  <pic:spPr bwMode="auto">
                    <a:xfrm>
                      <a:off x="0" y="0"/>
                      <a:ext cx="5943600" cy="5116951"/>
                    </a:xfrm>
                    <a:prstGeom prst="rect">
                      <a:avLst/>
                    </a:prstGeom>
                    <a:noFill/>
                    <a:ln w="9525">
                      <a:noFill/>
                      <a:headEnd/>
                      <a:tailEnd/>
                    </a:ln>
                  </pic:spPr>
                </pic:pic>
              </a:graphicData>
            </a:graphic>
          </wp:inline>
        </w:drawing>
      </w:r>
    </w:p>
    <w:p>
      <w:pPr>
        <w:pStyle w:val="BodyText"/>
      </w:pPr>
      <w:r>
        <w:t xml:space="preserve">Expected CPS habitat is derived from prior survey results and models:</w:t>
      </w:r>
    </w:p>
    <w:p>
      <w:pPr>
        <w:numPr>
          <w:ilvl w:val="0"/>
          <w:numId w:val="1010"/>
        </w:numPr>
      </w:pPr>
      <w:r>
        <w:t xml:space="preserve">Sardine habitat based on a 12-year data set of sardine eggs, remotely sensed oceanographic variables, sea surface temperature, chlorophyll</w:t>
      </w:r>
      <w:r>
        <w:t xml:space="preserve"> </w:t>
      </w:r>
      <w:r>
        <w:rPr>
          <w:i/>
          <w:iCs/>
        </w:rPr>
        <w:t xml:space="preserve">a</w:t>
      </w:r>
      <w:r>
        <w:t xml:space="preserve"> </w:t>
      </w:r>
      <w:r>
        <w:t xml:space="preserve">concentrations, sea surface altitude</w:t>
      </w:r>
      <w:r>
        <w:t xml:space="preserve"> </w:t>
      </w:r>
      <w:r>
        <w:t xml:space="preserve">(J. P. Zwolinski, Emmett, and Demer 2011)</w:t>
      </w:r>
      <w:r>
        <w:t xml:space="preserve">.</w:t>
      </w:r>
    </w:p>
    <w:p>
      <w:pPr>
        <w:numPr>
          <w:ilvl w:val="0"/>
          <w:numId w:val="1010"/>
        </w:numPr>
      </w:pPr>
      <w:r>
        <w:t xml:space="preserve">Charted bathymetry – Pacific sardines can be found from the ocean surface to ~350m in depth and typically reside around smoother (less rocky) bottom types.</w:t>
      </w:r>
    </w:p>
    <w:p>
      <w:pPr>
        <w:numPr>
          <w:ilvl w:val="0"/>
          <w:numId w:val="1010"/>
        </w:numPr>
      </w:pPr>
      <w:r>
        <w:t xml:space="preserve">Sardine eggs are most abundant at sea-surface temperatures of 13 to 15 ∘C, and larvae are most abundant at 13 to 16 ∘C. Temperature is a primary driver of the spatial and seasonal distribution of spawning. During warm ocean conditions, sardine spawning shifts northward concentrating in offshore regions and north of Point Conception to San Francisco and in some years is observed as far north as Oregon</w:t>
      </w:r>
      <w:r>
        <w:t xml:space="preserve"> </w:t>
      </w:r>
      <w:r>
        <w:t xml:space="preserve">(Kuriyama, Zwolinski, and Hill 2020)</w:t>
      </w:r>
      <w:r>
        <w:t xml:space="preserve">.</w:t>
      </w:r>
    </w:p>
    <w:bookmarkEnd w:id="149"/>
    <w:bookmarkEnd w:id="150"/>
    <w:bookmarkStart w:id="154" w:name="reporting"/>
    <w:p>
      <w:pPr>
        <w:pStyle w:val="Heading1"/>
      </w:pPr>
      <w:r>
        <w:t xml:space="preserve">7. Reporting</w:t>
      </w:r>
    </w:p>
    <w:p>
      <w:pPr>
        <w:pStyle w:val="FirstParagraph"/>
      </w:pPr>
      <w:r>
        <w:t xml:space="preserve">Using the r package</w:t>
      </w:r>
      <w:r>
        <w:t xml:space="preserve"> </w:t>
      </w:r>
      <w:r>
        <w:t xml:space="preserve">‘estimATM’</w:t>
      </w:r>
      <w:r>
        <w:t xml:space="preserve"> </w:t>
      </w:r>
      <w:r>
        <w:t xml:space="preserve">several reports are generating using the final processed acoustic data.</w:t>
      </w:r>
    </w:p>
    <w:p>
      <w:pPr>
        <w:pStyle w:val="BodyText"/>
      </w:pPr>
      <w:r>
        <w:drawing>
          <wp:inline>
            <wp:extent cx="5943600" cy="4250629"/>
            <wp:effectExtent b="0" l="0" r="0" t="0"/>
            <wp:docPr descr="" title="" id="152" name="Picture"/>
            <a:graphic>
              <a:graphicData uri="http://schemas.openxmlformats.org/drawingml/2006/picture">
                <pic:pic>
                  <pic:nvPicPr>
                    <pic:cNvPr descr="content/images/estimATM_dataflow.JPG" id="153" name="Picture"/>
                    <pic:cNvPicPr>
                      <a:picLocks noChangeArrowheads="1" noChangeAspect="1"/>
                    </pic:cNvPicPr>
                  </pic:nvPicPr>
                  <pic:blipFill>
                    <a:blip r:embed="rId151"/>
                    <a:stretch>
                      <a:fillRect/>
                    </a:stretch>
                  </pic:blipFill>
                  <pic:spPr bwMode="auto">
                    <a:xfrm>
                      <a:off x="0" y="0"/>
                      <a:ext cx="5943600" cy="4250629"/>
                    </a:xfrm>
                    <a:prstGeom prst="rect">
                      <a:avLst/>
                    </a:prstGeom>
                    <a:noFill/>
                    <a:ln w="9525">
                      <a:noFill/>
                      <a:headEnd/>
                      <a:tailEnd/>
                    </a:ln>
                  </pic:spPr>
                </pic:pic>
              </a:graphicData>
            </a:graphic>
          </wp:inline>
        </w:drawing>
      </w:r>
    </w:p>
    <w:bookmarkEnd w:id="154"/>
    <w:bookmarkStart w:id="170" w:name="references"/>
    <w:p>
      <w:pPr>
        <w:pStyle w:val="Heading1"/>
      </w:pPr>
      <w:r>
        <w:t xml:space="preserve">References</w:t>
      </w:r>
    </w:p>
    <w:bookmarkStart w:id="169" w:name="refs"/>
    <w:bookmarkStart w:id="156"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155">
        <w:r>
          <w:rPr>
            <w:rStyle w:val="Hyperlink"/>
          </w:rPr>
          <w:t xml:space="preserve">https://doi.org/10.1093/icesjms/fsm112</w:t>
        </w:r>
      </w:hyperlink>
      <w:r>
        <w:t xml:space="preserve">.</w:t>
      </w:r>
    </w:p>
    <w:bookmarkEnd w:id="156"/>
    <w:bookmarkStart w:id="158"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57">
        <w:r>
          <w:rPr>
            <w:rStyle w:val="Hyperlink"/>
          </w:rPr>
          <w:t xml:space="preserve">https://doi.org/10.1093/icesjms/fsp054</w:t>
        </w:r>
      </w:hyperlink>
      <w:r>
        <w:t xml:space="preserve">.</w:t>
      </w:r>
    </w:p>
    <w:bookmarkEnd w:id="158"/>
    <w:bookmarkStart w:id="160" w:name="ref-kuriyama2020"/>
    <w:p>
      <w:pPr>
        <w:pStyle w:val="Bibliography"/>
      </w:pPr>
      <w:r>
        <w:t xml:space="preserve">Kuriyama, Peter T., Juan P. Zwolinski, and Kevin T. Hill. 2020.</w:t>
      </w:r>
      <w:r>
        <w:t xml:space="preserve"> </w:t>
      </w:r>
      <w:r>
        <w:t xml:space="preserve">“Assessment of the Pacific Sardine Resource in 2020 for u.s. Management in 2020-2021.”</w:t>
      </w:r>
      <w:r>
        <w:t xml:space="preserve"> </w:t>
      </w:r>
      <w:r>
        <w:rPr>
          <w:i/>
          <w:iCs/>
        </w:rPr>
        <w:t xml:space="preserve">Southwest Fisheries Science Center (U.S.)</w:t>
      </w:r>
      <w:r>
        <w:t xml:space="preserve">.</w:t>
      </w:r>
      <w:r>
        <w:t xml:space="preserve"> </w:t>
      </w:r>
      <w:hyperlink r:id="rId159">
        <w:r>
          <w:rPr>
            <w:rStyle w:val="Hyperlink"/>
          </w:rPr>
          <w:t xml:space="preserve">https://doi.org/10.25923/R2FZ-4Y79</w:t>
        </w:r>
      </w:hyperlink>
      <w:r>
        <w:t xml:space="preserve">.</w:t>
      </w:r>
    </w:p>
    <w:bookmarkEnd w:id="160"/>
    <w:bookmarkStart w:id="162" w:name="ref-stierhoff2024"/>
    <w:p>
      <w:pPr>
        <w:pStyle w:val="Bibliography"/>
      </w:pPr>
      <w:r>
        <w:t xml:space="preserve">Stierhoff, Kevin L., Juan P. Zwolinski, Josiah S. Renfree, and David A. Demer. 2024.</w:t>
      </w:r>
      <w:r>
        <w:t xml:space="preserve"> </w:t>
      </w:r>
      <w:r>
        <w:t xml:space="preserve">“Distribution, Biomass, and Demographics of Coastal Pelagic Fishes in the California Current Ecosystem During Summer 2023 Based on Acoustic Trawl Sampling.”</w:t>
      </w:r>
      <w:r>
        <w:t xml:space="preserve"> </w:t>
      </w:r>
      <w:r>
        <w:rPr>
          <w:i/>
          <w:iCs/>
        </w:rPr>
        <w:t xml:space="preserve">NOAA National Marine Fisheries Service Southwest Fisheries Science Center</w:t>
      </w:r>
      <w:r>
        <w:t xml:space="preserve">.</w:t>
      </w:r>
      <w:r>
        <w:t xml:space="preserve"> </w:t>
      </w:r>
      <w:hyperlink r:id="rId161">
        <w:r>
          <w:rPr>
            <w:rStyle w:val="Hyperlink"/>
          </w:rPr>
          <w:t xml:space="preserve">https://doi.org/10.25923/1VGS-SF98</w:t>
        </w:r>
      </w:hyperlink>
      <w:r>
        <w:t xml:space="preserve">.</w:t>
      </w:r>
    </w:p>
    <w:bookmarkEnd w:id="162"/>
    <w:bookmarkStart w:id="164" w:name="ref-zwolinski2011"/>
    <w:p>
      <w:pPr>
        <w:pStyle w:val="Bibliography"/>
      </w:pPr>
      <w:r>
        <w:t xml:space="preserve">Zwolinski, Juan P., Robert L. Emmett, and David A. Demer. 2011.</w:t>
      </w:r>
      <w:r>
        <w:t xml:space="preserve"> </w:t>
      </w:r>
      <w:r>
        <w:t xml:space="preserve">“Predicting Habitat to Optimize Sampling of Pacific Sardine (Sardinops Sagax).”</w:t>
      </w:r>
      <w:r>
        <w:t xml:space="preserve"> </w:t>
      </w:r>
      <w:r>
        <w:rPr>
          <w:i/>
          <w:iCs/>
        </w:rPr>
        <w:t xml:space="preserve">ICES Journal of Marine Science</w:t>
      </w:r>
      <w:r>
        <w:t xml:space="preserve"> </w:t>
      </w:r>
      <w:r>
        <w:t xml:space="preserve">68 (5): 867–79.</w:t>
      </w:r>
      <w:r>
        <w:t xml:space="preserve"> </w:t>
      </w:r>
      <w:hyperlink r:id="rId163">
        <w:r>
          <w:rPr>
            <w:rStyle w:val="Hyperlink"/>
          </w:rPr>
          <w:t xml:space="preserve">https://doi.org/10.1093/icesjms/fsr038</w:t>
        </w:r>
      </w:hyperlink>
      <w:r>
        <w:t xml:space="preserve">.</w:t>
      </w:r>
    </w:p>
    <w:bookmarkEnd w:id="164"/>
    <w:bookmarkStart w:id="166" w:name="ref-zwolinski2010"/>
    <w:p>
      <w:pPr>
        <w:pStyle w:val="Bibliography"/>
      </w:pPr>
      <w:r>
        <w:t xml:space="preserve">Zwolinski, Juan P., Paulo B. Oliveira, Victor Quintino, and Yorgos Stratoudakis. 2010.</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65">
        <w:r>
          <w:rPr>
            <w:rStyle w:val="Hyperlink"/>
          </w:rPr>
          <w:t xml:space="preserve">https://doi.org/10.1093/icesjms/fsq068</w:t>
        </w:r>
      </w:hyperlink>
      <w:r>
        <w:t xml:space="preserve">.</w:t>
      </w:r>
    </w:p>
    <w:bookmarkEnd w:id="166"/>
    <w:bookmarkStart w:id="168" w:name="ref-Zwolinski2014"/>
    <w:p>
      <w:pPr>
        <w:pStyle w:val="Bibliography"/>
      </w:pPr>
      <w:r>
        <w:t xml:space="preserve">Zwolinski, Juan, David Demer, George Cutter, Kevin Stierhoff, and Beverly Macewicz. 2014.</w:t>
      </w:r>
      <w:r>
        <w:t xml:space="preserve"> </w:t>
      </w:r>
      <w:r>
        <w:t xml:space="preserve">“Building on Fisheries Acoustics for Marine Ecosystem Surveys.”</w:t>
      </w:r>
      <w:r>
        <w:t xml:space="preserve"> </w:t>
      </w:r>
      <w:r>
        <w:rPr>
          <w:i/>
          <w:iCs/>
        </w:rPr>
        <w:t xml:space="preserve">Oceanography</w:t>
      </w:r>
      <w:r>
        <w:t xml:space="preserve"> </w:t>
      </w:r>
      <w:r>
        <w:t xml:space="preserve">27 (4): 68–79.</w:t>
      </w:r>
      <w:r>
        <w:t xml:space="preserve"> </w:t>
      </w:r>
      <w:hyperlink r:id="rId167">
        <w:r>
          <w:rPr>
            <w:rStyle w:val="Hyperlink"/>
          </w:rPr>
          <w:t xml:space="preserve">https://doi.org/10.5670/oceanog.2014.87</w:t>
        </w:r>
      </w:hyperlink>
      <w:r>
        <w:t xml:space="preserve">.</w:t>
      </w:r>
    </w:p>
    <w:bookmarkEnd w:id="168"/>
    <w:bookmarkEnd w:id="169"/>
    <w:bookmarkEnd w:id="17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9" Target="media/rId119.jpg" /><Relationship Type="http://schemas.openxmlformats.org/officeDocument/2006/relationships/image" Id="rId131" Target="media/rId131.jpg" /><Relationship Type="http://schemas.openxmlformats.org/officeDocument/2006/relationships/image" Id="rId116" Target="media/rId116.jpg" /><Relationship Type="http://schemas.openxmlformats.org/officeDocument/2006/relationships/image" Id="rId122" Target="media/rId122.jpg" /><Relationship Type="http://schemas.openxmlformats.org/officeDocument/2006/relationships/image" Id="rId128" Target="media/rId128.jpg" /><Relationship Type="http://schemas.openxmlformats.org/officeDocument/2006/relationships/image" Id="rId125" Target="media/rId125.jpg" /><Relationship Type="http://schemas.openxmlformats.org/officeDocument/2006/relationships/image" Id="rId105" Target="media/rId105.jpg" /><Relationship Type="http://schemas.openxmlformats.org/officeDocument/2006/relationships/image" Id="rId41" Target="media/rId41.pn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51" Target="media/rId151.jpg" /><Relationship Type="http://schemas.openxmlformats.org/officeDocument/2006/relationships/image" Id="rId86" Target="media/rId86.jpg" /><Relationship Type="http://schemas.openxmlformats.org/officeDocument/2006/relationships/image" Id="rId44" Target="media/rId44.png" /><Relationship Type="http://schemas.openxmlformats.org/officeDocument/2006/relationships/image" Id="rId22" Target="media/rId22.jp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82" Target="media/rId82.jpg" /><Relationship Type="http://schemas.openxmlformats.org/officeDocument/2006/relationships/image" Id="rId66" Target="media/rId66.jpg" /><Relationship Type="http://schemas.openxmlformats.org/officeDocument/2006/relationships/image" Id="rId139" Target="media/rId139.jpg" /><Relationship Type="http://schemas.openxmlformats.org/officeDocument/2006/relationships/image" Id="rId142" Target="media/rId142.jpg" /><Relationship Type="http://schemas.openxmlformats.org/officeDocument/2006/relationships/image" Id="rId146" Target="media/rId146.jpg" /><Relationship Type="http://schemas.openxmlformats.org/officeDocument/2006/relationships/hyperlink" Id="rId104" Target="chrome-extension://efaidnbmnnnibpcajpcglclefindmkaj/https://swfsc-publications.fisheries.noaa.gov/publications/CR/2024/2024Stierhoff.pdf" TargetMode="External" /><Relationship Type="http://schemas.openxmlformats.org/officeDocument/2006/relationships/hyperlink" Id="rId75" Target="file:///C:/Users/alice.beittel/Downloads/2024Renfree.docx#_bookmark7" TargetMode="External" /><Relationship Type="http://schemas.openxmlformats.org/officeDocument/2006/relationships/hyperlink" Id="rId37" Target="http://www.apache.org/licenses/LICENSE-2.0" TargetMode="External" /><Relationship Type="http://schemas.openxmlformats.org/officeDocument/2006/relationships/hyperlink" Id="rId30" Target="https://coastwatch.pfeg.noaa.gov/erddap/tabledap/FRDCPSTrawlLHHaulCatch.html" TargetMode="External" /><Relationship Type="http://schemas.openxmlformats.org/officeDocument/2006/relationships/hyperlink" Id="rId31" Target="https://coastwatch.pfeg.noaa.gov/erddap/tabledap/FRDCPSTrawlLHSpecimen.html" TargetMode="External" /><Relationship Type="http://schemas.openxmlformats.org/officeDocument/2006/relationships/hyperlink" Id="rId32" Target="https://coastwatch.pfeg.noaa.gov/erddap/tabledap/fsuNoaaShipWTEG.html" TargetMode="External" /><Relationship Type="http://schemas.openxmlformats.org/officeDocument/2006/relationships/hyperlink" Id="rId62" Target="https://contributor-covenant.org" TargetMode="External" /><Relationship Type="http://schemas.openxmlformats.org/officeDocument/2006/relationships/hyperlink" Id="rId63" Target="https://contributor-covenant.org/version/1/4/" TargetMode="External" /><Relationship Type="http://schemas.openxmlformats.org/officeDocument/2006/relationships/hyperlink" Id="rId136" Target="https://docs.google.com/document/d/1-YxJs1veotnSZJIWPH6vJjYOA5Dt1iETaqmNv8eNoTk/edit?tab=t.0" TargetMode="External" /><Relationship Type="http://schemas.openxmlformats.org/officeDocument/2006/relationships/hyperlink" Id="rId155" Target="https://doi.org/10.1093/icesjms/fsm112" TargetMode="External" /><Relationship Type="http://schemas.openxmlformats.org/officeDocument/2006/relationships/hyperlink" Id="rId157" Target="https://doi.org/10.1093/icesjms/fsp054" TargetMode="External" /><Relationship Type="http://schemas.openxmlformats.org/officeDocument/2006/relationships/hyperlink" Id="rId165" Target="https://doi.org/10.1093/icesjms/fsq068" TargetMode="External" /><Relationship Type="http://schemas.openxmlformats.org/officeDocument/2006/relationships/hyperlink" Id="rId163" Target="https://doi.org/10.1093/icesjms/fsr038" TargetMode="External" /><Relationship Type="http://schemas.openxmlformats.org/officeDocument/2006/relationships/hyperlink" Id="rId161" Target="https://doi.org/10.25923/1VGS-SF98" TargetMode="External" /><Relationship Type="http://schemas.openxmlformats.org/officeDocument/2006/relationships/hyperlink" Id="rId159" Target="https://doi.org/10.25923/R2FZ-4Y79" TargetMode="External" /><Relationship Type="http://schemas.openxmlformats.org/officeDocument/2006/relationships/hyperlink" Id="rId167" Target="https://doi.org/10.5670/oceanog.2014.87" TargetMode="External" /><Relationship Type="http://schemas.openxmlformats.org/officeDocument/2006/relationships/hyperlink" Id="rId81" Target="https://github.com/kstierhoff/estimATM" TargetMode="External" /><Relationship Type="http://schemas.openxmlformats.org/officeDocument/2006/relationships/hyperlink" Id="rId52"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53" Target="https://nmfs-opensci.github.io/" TargetMode="External" /><Relationship Type="http://schemas.openxmlformats.org/officeDocument/2006/relationships/hyperlink" Id="rId98" Target="https://nmfs-swfsc-ast.github.io/echo-class/content/identification.html" TargetMode="External" /><Relationship Type="http://schemas.openxmlformats.org/officeDocument/2006/relationships/hyperlink" Id="rId34" Target="https://noaa-wcsd-pds.s3.amazonaws.com/index.html#data/raw/" TargetMode="External" /><Relationship Type="http://schemas.openxmlformats.org/officeDocument/2006/relationships/hyperlink" Id="rId171"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 Type="http://schemas.openxmlformats.org/officeDocument/2006/relationships/hyperlink" Id="rId33" Target="https://www.ncei.noaa.gov/maps/water-column-sonar/" TargetMode="External" /></Relationships>
</file>

<file path=word/_rels/footnotes.xml.rels><?xml version="1.0" encoding="UTF-8"?><Relationships xmlns="http://schemas.openxmlformats.org/package/2006/relationships"><Relationship Type="http://schemas.openxmlformats.org/officeDocument/2006/relationships/hyperlink" Id="rId104" Target="chrome-extension://efaidnbmnnnibpcajpcglclefindmkaj/https://swfsc-publications.fisheries.noaa.gov/publications/CR/2024/2024Stierhoff.pdf" TargetMode="External" /><Relationship Type="http://schemas.openxmlformats.org/officeDocument/2006/relationships/hyperlink" Id="rId75" Target="file:///C:/Users/alice.beittel/Downloads/2024Renfree.docx#_bookmark7" TargetMode="External" /><Relationship Type="http://schemas.openxmlformats.org/officeDocument/2006/relationships/hyperlink" Id="rId37" Target="http://www.apache.org/licenses/LICENSE-2.0" TargetMode="External" /><Relationship Type="http://schemas.openxmlformats.org/officeDocument/2006/relationships/hyperlink" Id="rId30" Target="https://coastwatch.pfeg.noaa.gov/erddap/tabledap/FRDCPSTrawlLHHaulCatch.html" TargetMode="External" /><Relationship Type="http://schemas.openxmlformats.org/officeDocument/2006/relationships/hyperlink" Id="rId31" Target="https://coastwatch.pfeg.noaa.gov/erddap/tabledap/FRDCPSTrawlLHSpecimen.html" TargetMode="External" /><Relationship Type="http://schemas.openxmlformats.org/officeDocument/2006/relationships/hyperlink" Id="rId32" Target="https://coastwatch.pfeg.noaa.gov/erddap/tabledap/fsuNoaaShipWTEG.html" TargetMode="External" /><Relationship Type="http://schemas.openxmlformats.org/officeDocument/2006/relationships/hyperlink" Id="rId62" Target="https://contributor-covenant.org" TargetMode="External" /><Relationship Type="http://schemas.openxmlformats.org/officeDocument/2006/relationships/hyperlink" Id="rId63" Target="https://contributor-covenant.org/version/1/4/" TargetMode="External" /><Relationship Type="http://schemas.openxmlformats.org/officeDocument/2006/relationships/hyperlink" Id="rId136" Target="https://docs.google.com/document/d/1-YxJs1veotnSZJIWPH6vJjYOA5Dt1iETaqmNv8eNoTk/edit?tab=t.0" TargetMode="External" /><Relationship Type="http://schemas.openxmlformats.org/officeDocument/2006/relationships/hyperlink" Id="rId155" Target="https://doi.org/10.1093/icesjms/fsm112" TargetMode="External" /><Relationship Type="http://schemas.openxmlformats.org/officeDocument/2006/relationships/hyperlink" Id="rId157" Target="https://doi.org/10.1093/icesjms/fsp054" TargetMode="External" /><Relationship Type="http://schemas.openxmlformats.org/officeDocument/2006/relationships/hyperlink" Id="rId165" Target="https://doi.org/10.1093/icesjms/fsq068" TargetMode="External" /><Relationship Type="http://schemas.openxmlformats.org/officeDocument/2006/relationships/hyperlink" Id="rId163" Target="https://doi.org/10.1093/icesjms/fsr038" TargetMode="External" /><Relationship Type="http://schemas.openxmlformats.org/officeDocument/2006/relationships/hyperlink" Id="rId161" Target="https://doi.org/10.25923/1VGS-SF98" TargetMode="External" /><Relationship Type="http://schemas.openxmlformats.org/officeDocument/2006/relationships/hyperlink" Id="rId159" Target="https://doi.org/10.25923/R2FZ-4Y79" TargetMode="External" /><Relationship Type="http://schemas.openxmlformats.org/officeDocument/2006/relationships/hyperlink" Id="rId167" Target="https://doi.org/10.5670/oceanog.2014.87" TargetMode="External" /><Relationship Type="http://schemas.openxmlformats.org/officeDocument/2006/relationships/hyperlink" Id="rId81" Target="https://github.com/kstierhoff/estimATM" TargetMode="External" /><Relationship Type="http://schemas.openxmlformats.org/officeDocument/2006/relationships/hyperlink" Id="rId52"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53" Target="https://nmfs-opensci.github.io/" TargetMode="External" /><Relationship Type="http://schemas.openxmlformats.org/officeDocument/2006/relationships/hyperlink" Id="rId98" Target="https://nmfs-swfsc-ast.github.io/echo-class/content/identification.html" TargetMode="External" /><Relationship Type="http://schemas.openxmlformats.org/officeDocument/2006/relationships/hyperlink" Id="rId34" Target="https://noaa-wcsd-pds.s3.amazonaws.com/index.html#data/raw/" TargetMode="External" /><Relationship Type="http://schemas.openxmlformats.org/officeDocument/2006/relationships/hyperlink" Id="rId171"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 Type="http://schemas.openxmlformats.org/officeDocument/2006/relationships/hyperlink" Id="rId33" Target="https://www.ncei.noaa.gov/maps/water-column-son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2025-04-15T23:57:48Z</dcterms:created>
  <dcterms:modified xsi:type="dcterms:W3CDTF">2025-04-15T23:57:48Z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