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61.png" ContentType="image/png"/>
  <Override PartName="/word/media/rId2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CPS</w:t>
      </w:r>
      <w:r>
        <w:t xml:space="preserve"> </w:t>
      </w:r>
      <w:r>
        <w:t xml:space="preserve">Acoustic</w:t>
      </w:r>
      <w:r>
        <w:t xml:space="preserve"> </w:t>
      </w:r>
      <w:r>
        <w:t xml:space="preserve">Classification</w:t>
      </w:r>
    </w:p>
    <w:p>
      <w:pPr>
        <w:pStyle w:val="Author"/>
      </w:pPr>
      <w:r>
        <w:t xml:space="preserve">Alice</w:t>
      </w:r>
      <w:r>
        <w:t xml:space="preserve"> </w:t>
      </w:r>
      <w:r>
        <w:t xml:space="preserve">Beittel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how-do-we-use-sound-to-count-fish"/>
    <w:p>
      <w:pPr>
        <w:pStyle w:val="Heading1"/>
      </w:pPr>
      <w:r>
        <w:t xml:space="preserve">How do we use sound to count fish?</w:t>
      </w:r>
    </w:p>
    <w:p>
      <w:pPr>
        <w:pStyle w:val="FirstParagraph"/>
      </w:pPr>
      <w:r>
        <w:rPr>
          <w:b/>
          <w:bCs/>
        </w:rPr>
        <w:t xml:space="preserve">Last updated:</w:t>
      </w:r>
      <w:r>
        <w:t xml:space="preserve"> </w:t>
      </w:r>
      <w:r>
        <w:t xml:space="preserve">2024-11-07 20:19:06 UTC</w:t>
      </w:r>
    </w:p>
    <w:p>
      <w:pPr>
        <w:pStyle w:val="BodyText"/>
      </w:pPr>
      <w:r>
        <w:rPr>
          <w:b/>
          <w:bCs/>
        </w:rPr>
        <w:t xml:space="preserve">Document Objective:</w:t>
      </w:r>
      <w:r>
        <w:t xml:space="preserve"> </w:t>
      </w:r>
      <w:r>
        <w:t xml:space="preserve">This resource will serve as a tutorial to demonstrate how the SWFSC uses acoustic data generate biomass estimates of Coastal Pelagic Species from Baja, Mexico to Vancouver, Canada.</w:t>
      </w:r>
    </w:p>
    <w:p>
      <w:pPr>
        <w:pStyle w:val="BodyText"/>
      </w:pPr>
      <w:r>
        <w:t xml:space="preserve">As part of our commitment to open science, reproducibility, and transparency, we provide this metadata guide to compliment our public-domain data.</w:t>
      </w:r>
      <w:r>
        <w:br/>
      </w:r>
      <w:r>
        <w:br/>
      </w:r>
      <w:r>
        <w:t xml:space="preserve">Please consider this resource to be a </w:t>
      </w:r>
      <w:r>
        <w:rPr>
          <w:b/>
          <w:bCs/>
        </w:rPr>
        <w:t xml:space="preserve">Living Document</w:t>
      </w:r>
      <w:r>
        <w:t xml:space="preserve">. The code in this repository is regularly being updated and improved. </w:t>
      </w:r>
      <w:r>
        <w:br/>
      </w:r>
      <w:r>
        <w:br/>
      </w:r>
      <w:r>
        <w:t xml:space="preserve">Do not hesitate to reach out (to us at either alice.beittel@noaa.gov or </w:t>
      </w:r>
      <w:hyperlink r:id="rId20">
        <w:r>
          <w:rPr>
            <w:rStyle w:val="Hyperlink"/>
          </w:rPr>
          <w:t xml:space="preserve">GitHub issues</w:t>
        </w:r>
      </w:hyperlink>
      <w:r>
        <w:t xml:space="preserve">, especially if you find discrepancies in the data or want to suggest improvements to infrastructure. Thank you in advance for your collaboration and partnership with us as we develop our future data universe.</w:t>
      </w:r>
    </w:p>
    <w:bookmarkStart w:id="21" w:name="short-and-sweet-overview-of-survey"/>
    <w:p>
      <w:pPr>
        <w:pStyle w:val="Heading2"/>
      </w:pPr>
      <w:r>
        <w:t xml:space="preserve">Short and sweet overview of survey</w:t>
      </w:r>
    </w:p>
    <w:p>
      <w:pPr>
        <w:pStyle w:val="FirstParagraph"/>
      </w:pPr>
      <w:r>
        <w:t xml:space="preserve">The SWFSC’s ATM surveys of CPS in the CCE began in 2006 with a focus on the northern stock of Pacific Sardine. Since then, we have expanded in scope and objectives to include the larger forage-fish assemblage and krill. This evolution, and the migratory behavior of Pacific Sardine, serve to explain the present survey region and design.</w:t>
      </w:r>
    </w:p>
    <w:bookmarkEnd w:id="21"/>
    <w:bookmarkStart w:id="22" w:name="cite-this-data"/>
    <w:p>
      <w:pPr>
        <w:pStyle w:val="Heading2"/>
      </w:pPr>
      <w:r>
        <w:t xml:space="preserve">Cite This Data</w:t>
      </w:r>
    </w:p>
    <w:p>
      <w:pPr>
        <w:pStyle w:val="FirstParagraph"/>
      </w:pPr>
      <w:r>
        <w:t xml:space="preserve">[enter text on how to do this]</w:t>
      </w:r>
    </w:p>
    <w:bookmarkEnd w:id="22"/>
    <w:bookmarkStart w:id="23" w:name="noaa-readme"/>
    <w:p>
      <w:pPr>
        <w:pStyle w:val="Heading2"/>
      </w:pPr>
      <w:r>
        <w:rPr>
          <w:b/>
          <w:bCs/>
        </w:rPr>
        <w:t xml:space="preserve">NOAA README</w:t>
      </w:r>
    </w:p>
    <w:p>
      <w:pPr>
        <w:pStyle w:val="FirstParagraph"/>
      </w:pPr>
      <w:r>
        <w:t xml:space="preserve">This repository is a scientific product and is not official communication of the National Oceanic and Atmospheric Administration, or the United States Department of Commerce. All NOAA GitHub project code is provided on an</w:t>
      </w:r>
      <w:r>
        <w:t xml:space="preserve"> </w:t>
      </w:r>
      <w:r>
        <w:t xml:space="preserve">‘</w:t>
      </w:r>
      <w:r>
        <w:t xml:space="preserve">as is</w:t>
      </w:r>
      <w:r>
        <w:t xml:space="preserve">’</w:t>
      </w:r>
      <w:r>
        <w:t xml:space="preserve"> </w:t>
      </w:r>
      <w:r>
        <w:t xml:space="preserve">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bookmarkEnd w:id="23"/>
    <w:bookmarkStart w:id="24" w:name="noaa-license"/>
    <w:p>
      <w:pPr>
        <w:pStyle w:val="Heading2"/>
      </w:pPr>
      <w:r>
        <w:rPr>
          <w:b/>
          <w:bCs/>
        </w:rPr>
        <w:t xml:space="preserve">NOAA License</w:t>
      </w:r>
    </w:p>
    <w:p>
      <w:pPr>
        <w:pStyle w:val="FirstParagraph"/>
      </w:pPr>
      <w:r>
        <w:t xml:space="preserve">Software code created by U.S. Government employees is not subject to copyright in the United States (17 U.S.C. §105). The United States/Department of Commerce reserve all rights to seek and obtain copyright protection in countries other than the United States for Software authored in its entirety by the Department of Commerce. To this end, the Department of Commerce hereby grants to Recipient a royalty-free, nonexclusive license to use, copy, and create derivative works of the Software outside of the United States.</w:t>
      </w:r>
    </w:p>
    <w:p>
      <w:r>
        <w:br w:type="page"/>
      </w:r>
    </w:p>
    <w:bookmarkEnd w:id="24"/>
    <w:bookmarkEnd w:id="25"/>
    <w:bookmarkStart w:id="27" w:name="survey-background"/>
    <w:p>
      <w:pPr>
        <w:pStyle w:val="Heading1"/>
      </w:pPr>
      <w:r>
        <w:t xml:space="preserve">1. Survey Background</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6"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6"/>
    <w:bookmarkEnd w:id="27"/>
    <w:bookmarkStart w:id="42" w:name="data-acquisition"/>
    <w:p>
      <w:pPr>
        <w:pStyle w:val="Heading1"/>
      </w:pPr>
      <w:r>
        <w:t xml:space="preserve">2. Data Acquisition</w:t>
      </w:r>
    </w:p>
    <w:bookmarkStart w:id="28" w:name="survey-design"/>
    <w:p>
      <w:pPr>
        <w:pStyle w:val="Heading2"/>
      </w:pPr>
      <w:r>
        <w:t xml:space="preserve">2.1 Survey Design</w:t>
      </w:r>
    </w:p>
    <w:bookmarkEnd w:id="28"/>
    <w:bookmarkStart w:id="34" w:name="survey-equipment"/>
    <w:p>
      <w:pPr>
        <w:pStyle w:val="Heading2"/>
      </w:pPr>
      <w:r>
        <w:t xml:space="preserve">2.2 Survey Equipment</w:t>
      </w:r>
    </w:p>
    <w:bookmarkStart w:id="32" w:name="acoustic-instruments"/>
    <w:p>
      <w:pPr>
        <w:pStyle w:val="Heading3"/>
      </w:pPr>
      <w:r>
        <w:t xml:space="preserve">2.2.1 Acoustic Instruments</w:t>
      </w:r>
    </w:p>
    <w:p>
      <w:pPr>
        <w:pStyle w:val="CaptionedFigure"/>
      </w:pPr>
      <w:r>
        <w:drawing>
          <wp:inline>
            <wp:extent cx="5895975" cy="3028950"/>
            <wp:effectExtent b="0" l="0" r="0" t="0"/>
            <wp:docPr descr="Transducer locations on the bottom of the centerboard aboard Lasker." title="" id="30" name="Picture"/>
            <a:graphic>
              <a:graphicData uri="http://schemas.openxmlformats.org/drawingml/2006/picture">
                <pic:pic>
                  <pic:nvPicPr>
                    <pic:cNvPr descr="content/images/transducers.jpg" id="31" name="Picture"/>
                    <pic:cNvPicPr>
                      <a:picLocks noChangeArrowheads="1" noChangeAspect="1"/>
                    </pic:cNvPicPr>
                  </pic:nvPicPr>
                  <pic:blipFill>
                    <a:blip r:embed="rId29"/>
                    <a:stretch>
                      <a:fillRect/>
                    </a:stretch>
                  </pic:blipFill>
                  <pic:spPr bwMode="auto">
                    <a:xfrm>
                      <a:off x="0" y="0"/>
                      <a:ext cx="5895975" cy="3028950"/>
                    </a:xfrm>
                    <a:prstGeom prst="rect">
                      <a:avLst/>
                    </a:prstGeom>
                    <a:noFill/>
                    <a:ln w="9525">
                      <a:noFill/>
                      <a:headEnd/>
                      <a:tailEnd/>
                    </a:ln>
                  </pic:spPr>
                </pic:pic>
              </a:graphicData>
            </a:graphic>
          </wp:inline>
        </w:drawing>
      </w:r>
    </w:p>
    <w:p>
      <w:pPr>
        <w:pStyle w:val="ImageCaption"/>
      </w:pPr>
      <w:r>
        <w:t xml:space="preserve">Transducer locations on the bottom of the centerboard aboard Lasker.</w:t>
      </w:r>
    </w:p>
    <w:p>
      <w:pPr>
        <w:pStyle w:val="BodyText"/>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multi-frequency Wideband Transceivers (Simrad EK80 WBTs; Kongsberg) were confgured with split-beam transducers (Simrad ES18, ES38-7, ES70-7C, ES120-7C, ES200-7C, and ES333- 7C on</w:t>
      </w:r>
      <w:r>
        <w:t xml:space="preserve"> </w:t>
      </w:r>
      <w:r>
        <w:rPr>
          <w:i/>
          <w:iCs/>
        </w:rPr>
        <w:t xml:space="preserve">Lasker</w:t>
      </w:r>
      <w:r>
        <w:t xml:space="preserve"> </w:t>
      </w:r>
      <w:r>
        <w:t xml:space="preserve">and ES18, ES38B, ES70-7C, ES120-7C, and ES200-7C on</w:t>
      </w:r>
      <w:r>
        <w:t xml:space="preserve"> </w:t>
      </w:r>
      <w:r>
        <w:rPr>
          <w:i/>
          <w:iCs/>
        </w:rPr>
        <w:t xml:space="preserve">Shimada</w:t>
      </w:r>
      <w:r>
        <w:t xml:space="preserve">; Kongsberg). The transducers were mounted on the bottom of a retractable keel or</w:t>
      </w:r>
      <w:r>
        <w:t xml:space="preserve"> </w:t>
      </w:r>
      <w:r>
        <w:t xml:space="preserve">“</w:t>
      </w:r>
      <w:r>
        <w:t xml:space="preserve">centerboard</w:t>
      </w:r>
      <w:r>
        <w:t xml:space="preserve">”</w:t>
      </w:r>
      <w:r>
        <w:t xml:space="preserve">. The keel was retracted (transducers ~5-m depth) during calibration, and extended to the intermediate position (transducers ~7-m depth) during the survey. Exceptions were made during shallow water operations, when the keel was re- tracted; or during times of heavy weather, when the keel was extended (transducers ~9-m depth) to provide extra stability and reduce the efect of weather-generated noise. Transducer position and motion were measured at 5 Hz using an inertial motion unit (Applanix POS-MV; Trimble).</w:t>
      </w:r>
    </w:p>
    <w:bookmarkEnd w:id="32"/>
    <w:bookmarkStart w:id="33" w:name="underway-ctd"/>
    <w:p>
      <w:pPr>
        <w:pStyle w:val="Heading3"/>
      </w:pPr>
      <w:r>
        <w:t xml:space="preserve">2.2.2 Underway CTD</w:t>
      </w:r>
    </w:p>
    <w:p>
      <w:pPr>
        <w:pStyle w:val="FirstParagraph"/>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conductivity and temperature profiles were measured down to 300 m using calibrated sensors on a probe cast from the vessel while underway (UnderwayCTD, or UCTD; Teledyne Ocean- science). Casts were typically conducted between two to four times along each transect. These data indicate the depth of the surface mixed layer, above which most epipelagic CPS reside during the day. These data were also used to estimate the time-averaged sound speed (Demer, 2004), for estimating ranges to the sound scatterers, and frequency-specifc sound absorption coefcients, for compensating signal attenuation of the sound pulse between the transducer and scatterers (Simmonds and MacLennan, 2005).</w:t>
      </w:r>
    </w:p>
    <w:bookmarkEnd w:id="33"/>
    <w:bookmarkEnd w:id="34"/>
    <w:bookmarkStart w:id="40" w:name="software"/>
    <w:p>
      <w:pPr>
        <w:pStyle w:val="Heading2"/>
      </w:pPr>
      <w:r>
        <w:t xml:space="preserve">2.3 Software</w:t>
      </w:r>
    </w:p>
    <w:bookmarkStart w:id="35" w:name="echosounder-software"/>
    <w:p>
      <w:pPr>
        <w:pStyle w:val="Heading3"/>
      </w:pPr>
      <w:r>
        <w:t xml:space="preserve">2.3.1 Echosounder Software</w:t>
      </w:r>
    </w:p>
    <w:p>
      <w:pPr>
        <w:pStyle w:val="FirstParagraph"/>
      </w:pPr>
      <w:r>
        <w:t xml:space="preserve">EK80</w:t>
      </w:r>
    </w:p>
    <w:bookmarkEnd w:id="35"/>
    <w:bookmarkStart w:id="36" w:name="nettime"/>
    <w:p>
      <w:pPr>
        <w:pStyle w:val="Heading3"/>
      </w:pPr>
      <w:r>
        <w:t xml:space="preserve">2.3.2 NetTime</w:t>
      </w:r>
    </w:p>
    <w:p>
      <w:pPr>
        <w:pStyle w:val="FirstParagraph"/>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the computer clocks were synchronized with the GPS clock (UTC) using a synchronization software called NetTime.</w:t>
      </w:r>
    </w:p>
    <w:bookmarkEnd w:id="36"/>
    <w:bookmarkStart w:id="38" w:name="eal"/>
    <w:p>
      <w:pPr>
        <w:pStyle w:val="Heading3"/>
      </w:pPr>
      <w:r>
        <w:t xml:space="preserve">2.3.3 EAL</w:t>
      </w:r>
    </w:p>
    <w:p>
      <w:pPr>
        <w:pStyle w:val="FirstParagraph"/>
      </w:pPr>
      <w:r>
        <w:t xml:space="preserve">The 38-, 70-, 120-, 200-, and 333-kHz echosounders were controlled by the EK80 Adaptive Logger (EAL</w:t>
      </w:r>
      <w:hyperlink r:id="rId37">
        <w:r>
          <w:rPr>
            <w:rStyle w:val="Hyperlink"/>
          </w:rPr>
          <w:t xml:space="preserve">2</w:t>
        </w:r>
      </w:hyperlink>
      <w:r>
        <w:t xml:space="preserve">, Renfree and Demer, 2016). The EAL optimizes the pulse interval based on the seabed depth, while avoiding aliased seabed echoes, and was programmed such that once an hour the echosounders would record three pings in passive mode, for obtaining estimates of the background noise level.</w:t>
      </w:r>
    </w:p>
    <w:bookmarkEnd w:id="38"/>
    <w:bookmarkStart w:id="39" w:name="k-sync"/>
    <w:p>
      <w:pPr>
        <w:pStyle w:val="Heading3"/>
      </w:pPr>
      <w:r>
        <w:t xml:space="preserve">2.3.4 K Sync</w:t>
      </w:r>
    </w:p>
    <w:p>
      <w:pPr>
        <w:pStyle w:val="FirstParagraph"/>
      </w:pPr>
      <w:r>
        <w:t xml:space="preserve">To minimize acoustic interference on</w:t>
      </w:r>
      <w:r>
        <w:t xml:space="preserve"> </w:t>
      </w:r>
      <w:r>
        <w:rPr>
          <w:i/>
          <w:iCs/>
        </w:rPr>
        <w:t xml:space="preserve">Lasker</w:t>
      </w:r>
      <w:r>
        <w:t xml:space="preserve"> </w:t>
      </w:r>
      <w:r>
        <w:t xml:space="preserve">and</w:t>
      </w:r>
      <w:r>
        <w:t xml:space="preserve"> </w:t>
      </w:r>
      <w:r>
        <w:rPr>
          <w:i/>
          <w:iCs/>
        </w:rPr>
        <w:t xml:space="preserve">Shimada</w:t>
      </w:r>
      <w:r>
        <w:t xml:space="preserve">, transmit pulses from the EK80s, acoustic Doppler current profler and echosounder (Simrad-Kongsberg EC150-3C), multibeam echosounder (Simrad- Kongsberg ME70), imaging sonar (Simrad-Kongsberg MS70), scanning sonar (Simrad-Kongsberg SX90), and a separate acoustic Doppler current profler (Teledyne RD Instruments OS75 ADCP) were triggered using a synchronization system (Simrad K-Sync; Kongsberg). The K-Sync trigger rate, and thus the echosounder ping interval, was modulated by the EAL using the 18-kHz seabed depth provided by the Scientifc Computing System (SCS).</w:t>
      </w:r>
    </w:p>
    <w:bookmarkEnd w:id="39"/>
    <w:bookmarkEnd w:id="40"/>
    <w:bookmarkStart w:id="41" w:name="raw-acoustic-data-format"/>
    <w:p>
      <w:pPr>
        <w:pStyle w:val="Heading2"/>
      </w:pPr>
      <w:r>
        <w:t xml:space="preserve">2.4 Raw Acoustic Data Format</w:t>
      </w:r>
    </w:p>
    <w:p>
      <w:pPr>
        <w:pStyle w:val="FirstParagraph"/>
      </w:pPr>
      <w:r>
        <w:t xml:space="preserve">Measurements of volume backscattering strength (</w:t>
      </w:r>
      <w:r>
        <w:rPr>
          <w:i/>
          <w:iCs/>
        </w:rPr>
        <w:t xml:space="preserve">S</w:t>
      </w:r>
      <w:r>
        <w:rPr>
          <w:i/>
          <w:iCs/>
          <w:vertAlign w:val="subscript"/>
        </w:rPr>
        <w:t xml:space="preserve">v</w:t>
      </w:r>
      <w:r>
        <w:t xml:space="preserve">; dB re 1 m2 m-3) and target strength (</w:t>
      </w:r>
      <w:r>
        <w:rPr>
          <w:i/>
          <w:iCs/>
        </w:rPr>
        <w:t xml:space="preserve">TS</w:t>
      </w:r>
      <w:r>
        <w:t xml:space="preserve">; dB re 1 m2), indexed by time and geographic positions provided by GPS receivers, were stored in Simrad-Kongsberg .raw format with a 1-GB maximum fle size. During daytime, the echosounders operated in CW mode and logged to 60 m beyond the detected seabed range or to a maximum range of 500, 500, 500, 300, and 150 m for 38, 70, 120, 200, and 333 kHz, respectively. During nighttime, the echosounders operated in FM mode and logged to 100 m. For each acoustic instrument, the prefx for each fle name is a concatenation of the survey name (e.g., 2307RL), the operational mode (CW or FM), and the logging commencement date and time from the EK80 software (v21.15.1). For example, a fle generated by the Simrad-Kongsberg EK80 software for a WBT operated in CW mode is named 2307RL_CW-D20220826-T155651.raw.</w:t>
      </w:r>
    </w:p>
    <w:bookmarkEnd w:id="41"/>
    <w:bookmarkEnd w:id="42"/>
    <w:bookmarkStart w:id="43" w:name="data-workflow"/>
    <w:p>
      <w:pPr>
        <w:pStyle w:val="Heading1"/>
      </w:pPr>
      <w:r>
        <w:t xml:space="preserve">3. Data Workflow</w:t>
      </w:r>
    </w:p>
    <w:bookmarkEnd w:id="43"/>
    <w:bookmarkStart w:id="46" w:name="customize"/>
    <w:p>
      <w:pPr>
        <w:pStyle w:val="Heading1"/>
      </w:pPr>
      <w:r>
        <w:t xml:space="preserve">4. Customize</w:t>
      </w:r>
    </w:p>
    <w:bookmarkStart w:id="44" w:name="edit-and-add-your-pages"/>
    <w:p>
      <w:pPr>
        <w:pStyle w:val="Heading2"/>
      </w:pPr>
      <w:r>
        <w:t xml:space="preserve">4.1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44"/>
    <w:bookmarkStart w:id="45" w:name="add-your-pages-the-project"/>
    <w:p>
      <w:pPr>
        <w:pStyle w:val="Heading2"/>
      </w:pPr>
      <w:r>
        <w:t xml:space="preserve">4.2 Add your pages the project</w:t>
      </w:r>
    </w:p>
    <w:p>
      <w:pPr>
        <w:pStyle w:val="Compact"/>
        <w:numPr>
          <w:ilvl w:val="0"/>
          <w:numId w:val="1002"/>
        </w:numPr>
      </w:pPr>
      <w:r>
        <w:t xml:space="preserve">Add the files to</w:t>
      </w:r>
      <w:r>
        <w:t xml:space="preserve"> </w:t>
      </w:r>
      <w:r>
        <w:rPr>
          <w:rStyle w:val="VerbatimChar"/>
        </w:rPr>
        <w:t xml:space="preserve">_quarto.yml</w:t>
      </w:r>
    </w:p>
    <w:bookmarkEnd w:id="45"/>
    <w:bookmarkEnd w:id="46"/>
    <w:bookmarkStart w:id="54" w:name="customization"/>
    <w:p>
      <w:pPr>
        <w:pStyle w:val="Heading1"/>
      </w:pPr>
      <w:r>
        <w:t xml:space="preserve">5. Customization</w:t>
      </w:r>
    </w:p>
    <w:bookmarkStart w:id="48" w:name="quarto-documentation"/>
    <w:p>
      <w:pPr>
        <w:pStyle w:val="Heading2"/>
      </w:pPr>
      <w:r>
        <w:t xml:space="preserve">5.1 Quarto documentation</w:t>
      </w:r>
    </w:p>
    <w:p>
      <w:pPr>
        <w:pStyle w:val="FirstParagraph"/>
      </w:pPr>
      <w:r>
        <w:t xml:space="preserve">Quarto allow many bells and whistles to make nice output. Read the documentation here</w:t>
      </w:r>
      <w:r>
        <w:t xml:space="preserve"> </w:t>
      </w:r>
      <w:hyperlink r:id="rId47">
        <w:r>
          <w:rPr>
            <w:rStyle w:val="Hyperlink"/>
          </w:rPr>
          <w:t xml:space="preserve">Quarto documentation</w:t>
        </w:r>
      </w:hyperlink>
      <w:r>
        <w:t xml:space="preserve">.</w:t>
      </w:r>
    </w:p>
    <w:bookmarkEnd w:id="48"/>
    <w:bookmarkStart w:id="53" w:name="examples"/>
    <w:p>
      <w:pPr>
        <w:pStyle w:val="Heading2"/>
      </w:pPr>
      <w:r>
        <w:t xml:space="preserve">5.2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49">
        <w:r>
          <w:rPr>
            <w:rStyle w:val="Hyperlink"/>
          </w:rPr>
          <w:t xml:space="preserve">Quarto gallery</w:t>
        </w:r>
      </w:hyperlink>
    </w:p>
    <w:p>
      <w:pPr>
        <w:pStyle w:val="Compact"/>
        <w:numPr>
          <w:ilvl w:val="0"/>
          <w:numId w:val="1003"/>
        </w:numPr>
      </w:pPr>
      <w:hyperlink r:id="rId50">
        <w:r>
          <w:rPr>
            <w:rStyle w:val="Hyperlink"/>
          </w:rPr>
          <w:t xml:space="preserve">nmfs-openscapes</w:t>
        </w:r>
      </w:hyperlink>
    </w:p>
    <w:p>
      <w:pPr>
        <w:pStyle w:val="Compact"/>
        <w:numPr>
          <w:ilvl w:val="0"/>
          <w:numId w:val="1003"/>
        </w:numPr>
      </w:pPr>
      <w:hyperlink r:id="rId51">
        <w:r>
          <w:rPr>
            <w:rStyle w:val="Hyperlink"/>
          </w:rPr>
          <w:t xml:space="preserve">Faye lab manual</w:t>
        </w:r>
      </w:hyperlink>
    </w:p>
    <w:p>
      <w:pPr>
        <w:pStyle w:val="Compact"/>
        <w:numPr>
          <w:ilvl w:val="0"/>
          <w:numId w:val="1003"/>
        </w:numPr>
      </w:pPr>
      <w:hyperlink r:id="rId52">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53"/>
    <w:bookmarkEnd w:id="54"/>
    <w:bookmarkStart w:id="58" w:name="rendering"/>
    <w:p>
      <w:pPr>
        <w:pStyle w:val="Heading1"/>
      </w:pPr>
      <w:r>
        <w:t xml:space="preserve">6.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55" w:name="X17131cd5d27ceabf38a6ff11ba610d89760f521"/>
    <w:p>
      <w:pPr>
        <w:pStyle w:val="Heading2"/>
      </w:pPr>
      <w:r>
        <w:t xml:space="preserve">6.1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55"/>
    <w:bookmarkStart w:id="56" w:name="step-2.-clone-and-create-rstudio-project"/>
    <w:p>
      <w:pPr>
        <w:pStyle w:val="Heading2"/>
      </w:pPr>
      <w:r>
        <w:t xml:space="preserve">6.2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56"/>
    <w:bookmarkStart w:id="57" w:name="step-3.-render-within-rstudio"/>
    <w:p>
      <w:pPr>
        <w:pStyle w:val="Heading2"/>
      </w:pPr>
      <w:r>
        <w:t xml:space="preserve">6.3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57"/>
    <w:bookmarkEnd w:id="58"/>
    <w:bookmarkStart w:id="68" w:name="figures-and-tables"/>
    <w:p>
      <w:pPr>
        <w:pStyle w:val="Heading1"/>
      </w:pPr>
      <w:r>
        <w:t xml:space="preserve">7. Figures and Tables</w:t>
      </w:r>
    </w:p>
    <w:p>
      <w:pPr>
        <w:pStyle w:val="FirstParagraph"/>
      </w:pPr>
      <w:r>
        <w:t xml:space="preserve">Markdown is a simple formatting syntax for authoring HTML, PDF, and MS Word documents. For more details on using R Markdown see</w:t>
      </w:r>
      <w:r>
        <w:t xml:space="preserve"> </w:t>
      </w:r>
      <w:hyperlink r:id="rId59">
        <w:r>
          <w:rPr>
            <w:rStyle w:val="Hyperlink"/>
          </w:rPr>
          <w:t xml:space="preserve">http://rmarkdown.rstudio.com</w:t>
        </w:r>
      </w:hyperlink>
      <w:r>
        <w:t xml:space="preserve">.</w:t>
      </w:r>
    </w:p>
    <w:bookmarkStart w:id="60" w:name="code"/>
    <w:p>
      <w:pPr>
        <w:pStyle w:val="Heading2"/>
      </w:pPr>
      <w:r>
        <w:t xml:space="preserve">7.1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60"/>
    <w:bookmarkStart w:id="65" w:name="including-plots"/>
    <w:p>
      <w:pPr>
        <w:pStyle w:val="Heading2"/>
      </w:pPr>
      <w:r>
        <w:t xml:space="preserve">7.2 Including Plots</w:t>
      </w:r>
    </w:p>
    <w:p>
      <w:pPr>
        <w:pStyle w:val="FirstParagraph"/>
      </w:pPr>
      <w:r>
        <w:t xml:space="preserve">You can also embed plots and reference them, like so</w:t>
      </w:r>
      <w:r>
        <w:t xml:space="preserve"> </w:t>
      </w:r>
      <w:hyperlink w:anchor="fig-pressure">
        <w:r>
          <w:rPr>
            <w:rStyle w:val="Hyperlink"/>
          </w:rPr>
          <w:t xml:space="preserve">Figure 7.1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4" w:name="fig-pressure"/>
          <w:p>
            <w:pPr>
              <w:pStyle w:val="Compact"/>
              <w:jc w:val="center"/>
            </w:pPr>
            <w:r>
              <w:drawing>
                <wp:inline>
                  <wp:extent cx="4620126" cy="3696101"/>
                  <wp:effectExtent b="0" l="0" r="0" t="0"/>
                  <wp:docPr descr="" title="" id="62" name="Picture"/>
                  <a:graphic>
                    <a:graphicData uri="http://schemas.openxmlformats.org/drawingml/2006/picture">
                      <pic:pic>
                        <pic:nvPicPr>
                          <pic:cNvPr descr="content/figures_and_tables_files/figure-docx/fig-pressure-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Plot of pressure</w:t>
            </w:r>
          </w:p>
          <w:bookmarkEnd w:id="64"/>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65"/>
    <w:bookmarkStart w:id="67" w:name="including-tables"/>
    <w:p>
      <w:pPr>
        <w:pStyle w:val="Heading2"/>
      </w:pPr>
      <w:r>
        <w:t xml:space="preserve">7.3 Including Tables</w:t>
      </w:r>
    </w:p>
    <w:p>
      <w:pPr>
        <w:pStyle w:val="FirstParagraph"/>
      </w:pPr>
      <w:r>
        <w:t xml:space="preserve">You can also embed tables and reference them with</w:t>
      </w:r>
      <w:r>
        <w:t xml:space="preserve"> </w:t>
      </w:r>
      <w:hyperlink w:anchor="tbl-iris">
        <w:r>
          <w:rPr>
            <w:rStyle w:val="Hyperlink"/>
          </w:rPr>
          <w:t xml:space="preserve">Table 7.1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66" w:name="tbl-iris"/>
          <w:p>
            <w:pPr>
              <w:jc w:val="center"/>
            </w:pPr>
            <w:pPr>
              <w:jc w:val="start"/>
              <w:spacing w:before="200"/>
              <w:pStyle w:val="ImageCaption"/>
            </w:pPr>
            <w:r>
              <w:t xml:space="preserve">Table 7.1: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66"/>
          <w:p/>
        </w:tc>
      </w:tr>
    </w:tbl>
    <w:bookmarkEnd w:id="67"/>
    <w:bookmarkEnd w:id="68"/>
    <w:bookmarkStart w:id="71" w:name="rendering-with-code"/>
    <w:p>
      <w:pPr>
        <w:pStyle w:val="Heading1"/>
      </w:pPr>
      <w:r>
        <w:t xml:space="preserve">8.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69" w:name="modify-the-github-action"/>
    <w:p>
      <w:pPr>
        <w:pStyle w:val="Heading2"/>
      </w:pPr>
      <w:r>
        <w:t xml:space="preserve">8.1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69"/>
    <w:bookmarkStart w:id="70" w:name="Xdf814e872f4053be69b75e0c2edcd5f91cea468"/>
    <w:p>
      <w:pPr>
        <w:pStyle w:val="Heading2"/>
      </w:pPr>
      <w:r>
        <w:t xml:space="preserve">8.2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70"/>
    <w:bookmarkEnd w:id="71"/>
    <w:bookmarkStart w:id="73" w:name="references"/>
    <w:p>
      <w:pPr>
        <w:pStyle w:val="Heading1"/>
      </w:pPr>
      <w:r>
        <w:t xml:space="preserve">9.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7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73"/>
    <w:bookmarkStart w:id="76" w:name="references-1"/>
    <w:p>
      <w:pPr>
        <w:pStyle w:val="Heading1"/>
      </w:pPr>
      <w:r>
        <w:t xml:space="preserve">References</w:t>
      </w:r>
    </w:p>
    <w:bookmarkStart w:id="75" w:name="refs"/>
    <w:bookmarkStart w:id="7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74"/>
    <w:bookmarkEnd w:id="75"/>
    <w:bookmarkEnd w:id="7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61" Target="media/rId61.png" /><Relationship Type="http://schemas.openxmlformats.org/officeDocument/2006/relationships/image" Id="rId29" Target="media/rId29.jpg" /><Relationship Type="http://schemas.openxmlformats.org/officeDocument/2006/relationships/hyperlink" Id="rId37" Target="file:///C:/Users/alice.beittel/Downloads/2024Renfree.docx#_bookmark7" TargetMode="External" /><Relationship Type="http://schemas.openxmlformats.org/officeDocument/2006/relationships/hyperlink" Id="rId59" Target="http://rmarkdown.rstudio.com" TargetMode="External" /><Relationship Type="http://schemas.openxmlformats.org/officeDocument/2006/relationships/hyperlink" Id="rId20" Target="https://github.com/nmfs-swfsc-ast/echo-class/issues" TargetMode="External" /><Relationship Type="http://schemas.openxmlformats.org/officeDocument/2006/relationships/hyperlink" Id="rId50" Target="https://nmfs-openscapes.github.io/" TargetMode="External" /><Relationship Type="http://schemas.openxmlformats.org/officeDocument/2006/relationships/hyperlink" Id="rId52" Target="https://nmfs-opensci.github.io/quarto_titlepages/" TargetMode="External" /><Relationship Type="http://schemas.openxmlformats.org/officeDocument/2006/relationships/hyperlink" Id="rId49" Target="https://quarto.org/docs/gallery/" TargetMode="External" /><Relationship Type="http://schemas.openxmlformats.org/officeDocument/2006/relationships/hyperlink" Id="rId47" Target="https://quarto.org/docs/guide/" TargetMode="External" /><Relationship Type="http://schemas.openxmlformats.org/officeDocument/2006/relationships/hyperlink" Id="rId72" Target="https://quarto.org/docs/visual-editor/technical.html#citations" TargetMode="External" /><Relationship Type="http://schemas.openxmlformats.org/officeDocument/2006/relationships/hyperlink" Id="rId51"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7" Target="file:///C:/Users/alice.beittel/Downloads/2024Renfree.docx#_bookmark7" TargetMode="External" /><Relationship Type="http://schemas.openxmlformats.org/officeDocument/2006/relationships/hyperlink" Id="rId59" Target="http://rmarkdown.rstudio.com" TargetMode="External" /><Relationship Type="http://schemas.openxmlformats.org/officeDocument/2006/relationships/hyperlink" Id="rId20" Target="https://github.com/nmfs-swfsc-ast/echo-class/issues" TargetMode="External" /><Relationship Type="http://schemas.openxmlformats.org/officeDocument/2006/relationships/hyperlink" Id="rId50" Target="https://nmfs-openscapes.github.io/" TargetMode="External" /><Relationship Type="http://schemas.openxmlformats.org/officeDocument/2006/relationships/hyperlink" Id="rId52" Target="https://nmfs-opensci.github.io/quarto_titlepages/" TargetMode="External" /><Relationship Type="http://schemas.openxmlformats.org/officeDocument/2006/relationships/hyperlink" Id="rId49" Target="https://quarto.org/docs/gallery/" TargetMode="External" /><Relationship Type="http://schemas.openxmlformats.org/officeDocument/2006/relationships/hyperlink" Id="rId47" Target="https://quarto.org/docs/guide/" TargetMode="External" /><Relationship Type="http://schemas.openxmlformats.org/officeDocument/2006/relationships/hyperlink" Id="rId72" Target="https://quarto.org/docs/visual-editor/technical.html#citations" TargetMode="External" /><Relationship Type="http://schemas.openxmlformats.org/officeDocument/2006/relationships/hyperlink" Id="rId51"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 Acoustic Classification</dc:title>
  <dc:creator>Alice Beittel</dc:creator>
  <cp:keywords/>
  <dcterms:created xsi:type="dcterms:W3CDTF">2024-11-07T20:20:07Z</dcterms:created>
  <dcterms:modified xsi:type="dcterms:W3CDTF">2024-11-07T20:20:07Z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