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3.jpg" ContentType="image/jpeg"/>
  <Override PartName="/word/media/rId88.jpg" ContentType="image/jpeg"/>
  <Override PartName="/word/media/rId29.png" ContentType="image/png"/>
  <Override PartName="/word/media/rId94.jpg" ContentType="image/jpeg"/>
  <Override PartName="/word/media/rId61.jpg" ContentType="image/jpeg"/>
  <Override PartName="/word/media/rId32.png" ContentType="image/png"/>
  <Override PartName="/word/media/rId70.jpg" ContentType="image/jpeg"/>
  <Override PartName="/word/media/rId74.jpg" ContentType="image/jpeg"/>
  <Override PartName="/word/media/rId79.jpg" ContentType="image/jpeg"/>
  <Override PartName="/word/media/rId57.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2024-12-17 23:50:49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forage-fish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5" w:name="data-acquisition"/>
    <w:p>
      <w:pPr>
        <w:pStyle w:val="Heading1"/>
      </w:pPr>
      <w:r>
        <w:t xml:space="preserve">2. Data Acquisition</w:t>
      </w:r>
    </w:p>
    <w:bookmarkStart w:id="47" w:name="survey-equipment"/>
    <w:p>
      <w:pPr>
        <w:pStyle w:val="Heading2"/>
      </w:pPr>
      <w:r>
        <w:t xml:space="preserve">2.1 Survey Equipment</w:t>
      </w:r>
    </w:p>
    <w:bookmarkStart w:id="45" w:name="acoustic-instruments"/>
    <w:p>
      <w:pPr>
        <w:pStyle w:val="Heading3"/>
      </w:pPr>
      <w:r>
        <w:t xml:space="preserve">2.1.1 Acoustic Instruments</w:t>
      </w:r>
    </w:p>
    <w:tbl>
      <w:tblPr>
        <w:tblStyle w:val="Table"/>
        <w:tblW w:type="pct" w:w="5000"/>
        <w:tblLayout w:type="fixed"/>
        <w:tblLook w:firstRow="0" w:lastRow="0" w:firstColumn="0" w:lastColumn="0" w:noHBand="0" w:noVBand="0" w:val="0000"/>
      </w:tblPr>
      <w:tblGrid>
        <w:gridCol w:w="7920"/>
      </w:tblGrid>
      <w:tr>
        <w:tc>
          <w:tcPr/>
          <w:bookmarkStart w:id="44" w:name="fig-transducers"/>
          <w:p>
            <w:pPr>
              <w:pStyle w:val="Compact"/>
              <w:jc w:val="left"/>
            </w:pPr>
            <w:r>
              <w:drawing>
                <wp:inline>
                  <wp:extent cx="5895975" cy="3028950"/>
                  <wp:effectExtent b="0" l="0" r="0" t="0"/>
                  <wp:docPr desc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Transducer locations on the bottom of the centerboard aboard Lasker.</w:t>
            </w:r>
          </w:p>
          <w:bookmarkEnd w:id="4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2.1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5"/>
    <w:bookmarkStart w:id="46"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46"/>
    <w:bookmarkEnd w:id="47"/>
    <w:bookmarkStart w:id="53" w:name="software"/>
    <w:p>
      <w:pPr>
        <w:pStyle w:val="Heading2"/>
      </w:pPr>
      <w:r>
        <w:t xml:space="preserve">2.2 Software</w:t>
      </w:r>
    </w:p>
    <w:bookmarkStart w:id="48" w:name="echosounder-software"/>
    <w:p>
      <w:pPr>
        <w:pStyle w:val="Heading3"/>
      </w:pPr>
      <w:r>
        <w:t xml:space="preserve">2.2.1 Echosounder Software</w:t>
      </w:r>
    </w:p>
    <w:p>
      <w:pPr>
        <w:pStyle w:val="FirstParagraph"/>
      </w:pPr>
      <w:r>
        <w:t xml:space="preserve">EK80</w:t>
      </w:r>
    </w:p>
    <w:bookmarkEnd w:id="48"/>
    <w:bookmarkStart w:id="49"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9"/>
    <w:bookmarkStart w:id="51" w:name="eal"/>
    <w:p>
      <w:pPr>
        <w:pStyle w:val="Heading3"/>
      </w:pPr>
      <w:r>
        <w:t xml:space="preserve">2.2.3 EAL</w:t>
      </w:r>
    </w:p>
    <w:p>
      <w:pPr>
        <w:pStyle w:val="FirstParagraph"/>
      </w:pPr>
      <w:r>
        <w:t xml:space="preserve">The 38-, 70-, 120-, 200-, and 333-kHz echosounders were controlled by the EK80 Adaptive Logger (EAL</w:t>
      </w:r>
      <w:hyperlink r:id="rId5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1"/>
    <w:bookmarkStart w:id="52"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52"/>
    <w:bookmarkEnd w:id="53"/>
    <w:bookmarkStart w:id="54"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54"/>
    <w:bookmarkEnd w:id="55"/>
    <w:bookmarkStart w:id="78" w:name="data-processing"/>
    <w:p>
      <w:pPr>
        <w:pStyle w:val="Heading1"/>
      </w:pPr>
      <w:r>
        <w:t xml:space="preserve">3.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56">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60" w:name="data-processing-overview"/>
    <w:p>
      <w:pPr>
        <w:pStyle w:val="Heading3"/>
      </w:pPr>
      <w:r>
        <w:t xml:space="preserve">3.0.1 Data Processing Overview</w:t>
      </w:r>
    </w:p>
    <w:p>
      <w:pPr>
        <w:pStyle w:val="CaptionedFigure"/>
      </w:pPr>
      <w:r>
        <w:drawing>
          <wp:inline>
            <wp:extent cx="5943600" cy="5017604"/>
            <wp:effectExtent b="0" l="0" r="0" t="0"/>
            <wp:docPr descr="Overview of CPS Acoustic Processing. Vessel position and attitude data is used from the POS MV (not shown)." title="" id="58" name="Picture"/>
            <a:graphic>
              <a:graphicData uri="http://schemas.openxmlformats.org/drawingml/2006/picture">
                <pic:pic>
                  <pic:nvPicPr>
                    <pic:cNvPr descr="content/images/processing-overview.JPG" id="59" name="Picture"/>
                    <pic:cNvPicPr>
                      <a:picLocks noChangeArrowheads="1" noChangeAspect="1"/>
                    </pic:cNvPicPr>
                  </pic:nvPicPr>
                  <pic:blipFill>
                    <a:blip r:embed="rId57"/>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60"/>
    <w:bookmarkStart w:id="69" w:name="echoview-processing-workflow"/>
    <w:p>
      <w:pPr>
        <w:pStyle w:val="Heading3"/>
      </w:pPr>
      <w:r>
        <w:t xml:space="preserve">3.0.2 Echoview Processing Workflow</w:t>
      </w:r>
    </w:p>
    <w:p>
      <w:pPr>
        <w:pStyle w:val="FirstParagraph"/>
      </w:pPr>
      <w:r>
        <w:t xml:space="preserve">In Echoview, we organize, clean, and extract acoustic backscatter of swim bladder fish. There are three key steps to this process: 1) Data wrangling, cleaning, and noise removal (including surface noise and seabed removal), 2) Echo classification for swim-bladdred fish, and 3) 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62" name="Picture"/>
            <a:graphic>
              <a:graphicData uri="http://schemas.openxmlformats.org/drawingml/2006/picture">
                <pic:pic>
                  <pic:nvPicPr>
                    <pic:cNvPr descr="content/images/ev-processing.JPG" id="63" name="Picture"/>
                    <pic:cNvPicPr>
                      <a:picLocks noChangeArrowheads="1" noChangeAspect="1"/>
                    </pic:cNvPicPr>
                  </pic:nvPicPr>
                  <pic:blipFill>
                    <a:blip r:embed="rId61"/>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64" w:name="X78088a38697b690d3222d49e1905323bf0727fb"/>
    <w:p>
      <w:pPr>
        <w:pStyle w:val="Heading4"/>
      </w:pPr>
      <w:r>
        <w:t xml:space="preserve">3.0.2.1</w:t>
      </w:r>
      <w:r>
        <w:t xml:space="preserve"> </w:t>
      </w:r>
      <w:r>
        <w:rPr>
          <w:b/>
          <w:bCs/>
        </w:rPr>
        <w:t xml:space="preserve">Section 1) Data Wrangling, Cleaning, and Noise Removal:</w:t>
      </w:r>
    </w:p>
    <w:p>
      <w:pPr>
        <w:numPr>
          <w:ilvl w:val="0"/>
          <w:numId w:val="1002"/>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2"/>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2"/>
        </w:numPr>
      </w:pPr>
      <w:r>
        <w:t xml:space="preserve">Remove passive-mode pings.</w:t>
      </w:r>
    </w:p>
    <w:p>
      <w:pPr>
        <w:numPr>
          <w:ilvl w:val="0"/>
          <w:numId w:val="1002"/>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2"/>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 This replaces each averaged datapoint from Step 6 with the maximum datapoint surrounding it in a 7x7 pixel region.</w:t>
      </w:r>
    </w:p>
    <w:bookmarkEnd w:id="64"/>
    <w:bookmarkStart w:id="67" w:name="X9ac12c32254d145b8615f158a53eebaa863fcad"/>
    <w:p>
      <w:pPr>
        <w:pStyle w:val="Heading4"/>
      </w:pPr>
      <w:r>
        <w:t xml:space="preserve">3.0.2.2</w:t>
      </w:r>
      <w:r>
        <w:t xml:space="preserve"> </w:t>
      </w:r>
      <w:r>
        <w:rPr>
          <w:b/>
          <w:bCs/>
        </w:rPr>
        <w:t xml:space="preserve">Section 2) Echo Classification for Swim Bladder Fish</w:t>
      </w:r>
    </w:p>
    <w:bookmarkStart w:id="65" w:name="calculate-frequency-response"/>
    <w:p>
      <w:pPr>
        <w:pStyle w:val="Heading5"/>
      </w:pPr>
      <w:r>
        <w:t xml:space="preserve">3.0.2.2.1</w:t>
      </w:r>
      <w:r>
        <w:t xml:space="preserve"> </w:t>
      </w:r>
      <w:r>
        <w:rPr>
          <w:i/>
          <w:iCs/>
        </w:rPr>
        <w:t xml:space="preserve">Calculate Frequency Response</w:t>
      </w:r>
      <w:r>
        <w:t xml:space="preserve">:</w:t>
      </w:r>
    </w:p>
    <w:p>
      <w:pPr>
        <w:numPr>
          <w:ilvl w:val="0"/>
          <w:numId w:val="1003"/>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3"/>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65"/>
    <w:bookmarkStart w:id="66" w:name="calculate-standard-deviation"/>
    <w:p>
      <w:pPr>
        <w:pStyle w:val="Heading5"/>
      </w:pPr>
      <w:r>
        <w:t xml:space="preserve">3.0.2.2.2</w:t>
      </w:r>
      <w:r>
        <w:t xml:space="preserve"> </w:t>
      </w:r>
      <w:r>
        <w:rPr>
          <w:i/>
          <w:iCs/>
        </w:rPr>
        <w:t xml:space="preserve">Calculate Standard Deviation</w:t>
      </w:r>
      <w:r>
        <w:t xml:space="preserve">:</w:t>
      </w:r>
    </w:p>
    <w:p>
      <w:pPr>
        <w:numPr>
          <w:ilvl w:val="0"/>
          <w:numId w:val="1004"/>
        </w:numPr>
      </w:pPr>
      <w:r>
        <w:t xml:space="preserve">For 120 and 200 kHz, compute the squared difference between the noise-filtered Sv (remove passive pings) and averaged Sv (11-sample x 3 ping bin averages).</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 (same step as Section 1, Step 7).</w:t>
      </w:r>
    </w:p>
    <w:p>
      <w:pPr>
        <w:numPr>
          <w:ilvl w:val="0"/>
          <w:numId w:val="1004"/>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(Zwolinski et al. 2010a)</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66"/>
    <w:bookmarkEnd w:id="67"/>
    <w:bookmarkStart w:id="68" w:name="X8c50c5bede4f9057377b03efaf8a39d091374f8"/>
    <w:p>
      <w:pPr>
        <w:pStyle w:val="Heading4"/>
      </w:pPr>
      <w:r>
        <w:t xml:space="preserve">3.0.2.3</w:t>
      </w:r>
      <w:r>
        <w:t xml:space="preserve"> </w:t>
      </w:r>
      <w:r>
        <w:rPr>
          <w:b/>
          <w:bCs/>
        </w:rPr>
        <w:t xml:space="preserve">Section 3) Acoustic Backscatter Integration</w:t>
      </w:r>
    </w:p>
    <w:p>
      <w:pPr>
        <w:pStyle w:val="Compact"/>
        <w:numPr>
          <w:ilvl w:val="0"/>
          <w:numId w:val="1005"/>
        </w:numPr>
      </w:pPr>
      <w:r>
        <w:t xml:space="preserve">Integrate the volume backscattering coefficients (sV , m2 m-3) attributed to CPS over 5-m depths and averaged over 100-m distances;</w:t>
      </w:r>
    </w:p>
    <w:p>
      <w:pPr>
        <w:pStyle w:val="Compact"/>
        <w:numPr>
          <w:ilvl w:val="0"/>
          <w:numId w:val="1005"/>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68"/>
    <w:bookmarkEnd w:id="69"/>
    <w:bookmarkStart w:id="77" w:name="posit-processing-workflow"/>
    <w:p>
      <w:pPr>
        <w:pStyle w:val="Heading3"/>
      </w:pPr>
      <w:r>
        <w:t xml:space="preserve">3.0.3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71" name="Picture"/>
            <a:graphic>
              <a:graphicData uri="http://schemas.openxmlformats.org/drawingml/2006/picture">
                <pic:pic>
                  <pic:nvPicPr>
                    <pic:cNvPr descr="content/images/nascr_processing.JPG" id="72" name="Picture"/>
                    <pic:cNvPicPr>
                      <a:picLocks noChangeArrowheads="1" noChangeAspect="1"/>
                    </pic:cNvPicPr>
                  </pic:nvPicPr>
                  <pic:blipFill>
                    <a:blip r:embed="rId70"/>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73">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75" name="Picture"/>
            <a:graphic>
              <a:graphicData uri="http://schemas.openxmlformats.org/drawingml/2006/picture">
                <pic:pic>
                  <pic:nvPicPr>
                    <pic:cNvPr descr="content/images/nascr_processing_result.JPG" id="76" name="Picture"/>
                    <pic:cNvPicPr>
                      <a:picLocks noChangeArrowheads="1" noChangeAspect="1"/>
                    </pic:cNvPicPr>
                  </pic:nvPicPr>
                  <pic:blipFill>
                    <a:blip r:embed="rId74"/>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77"/>
    <w:bookmarkEnd w:id="78"/>
    <w:bookmarkStart w:id="93" w:name="backscatter-identification"/>
    <w:p>
      <w:pPr>
        <w:pStyle w:val="Heading1"/>
      </w:pPr>
      <w:r>
        <w:t xml:space="preserve">4. Backscatter Identification</w:t>
      </w:r>
    </w:p>
    <w:p>
      <w:pPr>
        <w:pStyle w:val="FirstParagraph"/>
      </w:pPr>
      <w:r>
        <w:drawing>
          <wp:inline>
            <wp:extent cx="5943600" cy="2980688"/>
            <wp:effectExtent b="0" l="0" r="0" t="0"/>
            <wp:docPr descr="" title="" id="80" name="Picture"/>
            <a:graphic>
              <a:graphicData uri="http://schemas.openxmlformats.org/drawingml/2006/picture">
                <pic:pic>
                  <pic:nvPicPr>
                    <pic:cNvPr descr="content/images/processing-CPS.JPG" id="81" name="Picture"/>
                    <pic:cNvPicPr>
                      <a:picLocks noChangeArrowheads="1" noChangeAspect="1"/>
                    </pic:cNvPicPr>
                  </pic:nvPicPr>
                  <pic:blipFill>
                    <a:blip r:embed="rId79"/>
                    <a:stretch>
                      <a:fillRect/>
                    </a:stretch>
                  </pic:blipFill>
                  <pic:spPr bwMode="auto">
                    <a:xfrm>
                      <a:off x="0" y="0"/>
                      <a:ext cx="5943600" cy="2980688"/>
                    </a:xfrm>
                    <a:prstGeom prst="rect">
                      <a:avLst/>
                    </a:prstGeom>
                    <a:noFill/>
                    <a:ln w="9525">
                      <a:noFill/>
                      <a:headEnd/>
                      <a:tailEnd/>
                    </a:ln>
                  </pic:spPr>
                </pic:pic>
              </a:graphicData>
            </a:graphic>
          </wp:inline>
        </w:drawing>
      </w:r>
    </w:p>
    <w:p>
      <w:pPr>
        <w:pStyle w:val="BodyText"/>
      </w:pPr>
      <w:r>
        <w:t xml:space="preserve">When performing the final step in CPS backscatter processing, there are several assumptions and acoustic characteristics about CPS that allow us to refine our classification. This process aims to distinguish CPS from non-target species from mid-water, demersal, and benthic swim bladder fishes.</w:t>
      </w:r>
    </w:p>
    <w:bookmarkStart w:id="87" w:name="acoustic-characteristics-of-cps"/>
    <w:p>
      <w:pPr>
        <w:pStyle w:val="Heading4"/>
      </w:pPr>
      <w:r>
        <w:t xml:space="preserve">4.0.0.1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We estimate the dorsal surface area of a swimbladder (swimbladder size) based on a function of fish lengths sampled from nightly trawl catches. Knowing the approximate dorsal surface area of a swimbladder allows us to calcualte an acoustic backscattering coefficeint and derive a target strength for each CPS species.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82">
        <w:r>
          <w:rPr>
            <w:rStyle w:val="Hyperlink"/>
          </w:rPr>
          <w:t xml:space="preserve">here</w:t>
        </w:r>
      </w:hyperlink>
      <w:r>
        <w:t xml:space="preserve">.</w:t>
      </w:r>
    </w:p>
    <w:p>
      <w:pPr>
        <w:pStyle w:val="BodyText"/>
      </w:pPr>
      <w:r>
        <w:t xml:space="preserve">When looking at Echoview echograms of acoustic transects, visually we look for how the volume backscattering strength (</w:t>
      </w:r>
      <w:r>
        <w:rPr>
          <w:rStyle w:val="VerbatimChar"/>
        </w:rPr>
        <w:t xml:space="preserve">Sv)</w:t>
      </w:r>
      <w:r>
        <w:t xml:space="preserve"> </w:t>
      </w:r>
      <w:r>
        <w:t xml:space="preserve">changes over each frequency. We refer to this as the frequency response. Swimbladder fish are expected to have a flat or decreasing frequency response across 38kHz, 70kHz, 120kHz, and 200kHz (cite image).</w:t>
      </w:r>
    </w:p>
    <w:bookmarkStart w:id="86" w:name="frequency"/>
    <w:p>
      <w:pPr>
        <w:pStyle w:val="BodyText"/>
      </w:pPr>
      <w:r>
        <w:drawing>
          <wp:inline>
            <wp:extent cx="5943600" cy="2372310"/>
            <wp:effectExtent b="0" l="0" r="0" t="0"/>
            <wp:docPr descr="" title="" id="84" name="Picture"/>
            <a:graphic>
              <a:graphicData uri="http://schemas.openxmlformats.org/drawingml/2006/picture">
                <pic:pic>
                  <pic:nvPicPr>
                    <pic:cNvPr descr="content/images/CPS-freq-response.JPG" id="85" name="Picture"/>
                    <pic:cNvPicPr>
                      <a:picLocks noChangeArrowheads="1" noChangeAspect="1"/>
                    </pic:cNvPicPr>
                  </pic:nvPicPr>
                  <pic:blipFill>
                    <a:blip r:embed="rId83"/>
                    <a:stretch>
                      <a:fillRect/>
                    </a:stretch>
                  </pic:blipFill>
                  <pic:spPr bwMode="auto">
                    <a:xfrm>
                      <a:off x="0" y="0"/>
                      <a:ext cx="5943600" cy="2372310"/>
                    </a:xfrm>
                    <a:prstGeom prst="rect">
                      <a:avLst/>
                    </a:prstGeom>
                    <a:noFill/>
                    <a:ln w="9525">
                      <a:noFill/>
                      <a:headEnd/>
                      <a:tailEnd/>
                    </a:ln>
                  </pic:spPr>
                </pic:pic>
              </a:graphicData>
            </a:graphic>
          </wp:inline>
        </w:drawing>
      </w:r>
    </w:p>
    <w:bookmarkEnd w:id="86"/>
    <w:bookmarkEnd w:id="87"/>
    <w:bookmarkStart w:id="92" w:name="biological-characteristics-of-cps"/>
    <w:p>
      <w:pPr>
        <w:pStyle w:val="Heading4"/>
      </w:pPr>
      <w:r>
        <w:t xml:space="preserve">4.0.0.2</w:t>
      </w:r>
      <w:r>
        <w:t xml:space="preserve"> </w:t>
      </w:r>
      <w:r>
        <w:rPr>
          <w:b/>
          <w:bCs/>
        </w:rPr>
        <w:t xml:space="preserve">Biological Characteristics of CPS</w:t>
      </w:r>
    </w:p>
    <w:p>
      <w:pPr>
        <w:numPr>
          <w:ilvl w:val="0"/>
          <w:numId w:val="1006"/>
        </w:numPr>
      </w:pPr>
      <w:r>
        <w:t xml:space="preserve">Temperature ranges from 8 deg C to 24 deg C and salinity from 30-38 psu</w:t>
      </w:r>
      <w:r>
        <w:t xml:space="preserve"> </w:t>
      </w:r>
      <w:r>
        <w:t xml:space="preserve">(Zwolinski et al. 2010b)</w:t>
      </w:r>
    </w:p>
    <w:p>
      <w:pPr>
        <w:numPr>
          <w:ilvl w:val="0"/>
          <w:numId w:val="1006"/>
        </w:numPr>
      </w:pPr>
      <w:r>
        <w:t xml:space="preserve">Diffuse schools observed offshore near the surface or deeper than ~250m</w:t>
      </w:r>
    </w:p>
    <w:p>
      <w:pPr>
        <w:numPr>
          <w:ilvl w:val="0"/>
          <w:numId w:val="1006"/>
        </w:numPr>
      </w:pPr>
      <w:r>
        <w:t xml:space="preserve">Rockfish tend to be located in areas where the seabed is hard and rugged</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9" name="Picture"/>
            <a:graphic>
              <a:graphicData uri="http://schemas.openxmlformats.org/drawingml/2006/picture">
                <pic:pic>
                  <pic:nvPicPr>
                    <pic:cNvPr descr="content/images/backscatter_decision_tree.JPG" id="90" name="Picture"/>
                    <pic:cNvPicPr>
                      <a:picLocks noChangeArrowheads="1" noChangeAspect="1"/>
                    </pic:cNvPicPr>
                  </pic:nvPicPr>
                  <pic:blipFill>
                    <a:blip r:embed="rId88"/>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91">
        <w:r>
          <w:rPr>
            <w:rStyle w:val="Hyperlink"/>
          </w:rPr>
          <w:t xml:space="preserve">this google document</w:t>
        </w:r>
      </w:hyperlink>
      <w:r>
        <w:t xml:space="preserve">.</w:t>
      </w:r>
    </w:p>
    <w:bookmarkEnd w:id="92"/>
    <w:bookmarkEnd w:id="93"/>
    <w:bookmarkStart w:id="97" w:name="biomass-calculation"/>
    <w:p>
      <w:pPr>
        <w:pStyle w:val="Heading1"/>
      </w:pPr>
      <w:r>
        <w:t xml:space="preserve">5. Biomass Calculation</w:t>
      </w:r>
    </w:p>
    <w:p>
      <w:pPr>
        <w:pStyle w:val="FirstParagraph"/>
      </w:pPr>
      <w:r>
        <w:drawing>
          <wp:inline>
            <wp:extent cx="5943600" cy="4250629"/>
            <wp:effectExtent b="0" l="0" r="0" t="0"/>
            <wp:docPr descr="" title="" id="95" name="Picture"/>
            <a:graphic>
              <a:graphicData uri="http://schemas.openxmlformats.org/drawingml/2006/picture">
                <pic:pic>
                  <pic:nvPicPr>
                    <pic:cNvPr descr="content/images/estimATM_dataflow.JPG" id="96" name="Picture"/>
                    <pic:cNvPicPr>
                      <a:picLocks noChangeArrowheads="1" noChangeAspect="1"/>
                    </pic:cNvPicPr>
                  </pic:nvPicPr>
                  <pic:blipFill>
                    <a:blip r:embed="rId94"/>
                    <a:stretch>
                      <a:fillRect/>
                    </a:stretch>
                  </pic:blipFill>
                  <pic:spPr bwMode="auto">
                    <a:xfrm>
                      <a:off x="0" y="0"/>
                      <a:ext cx="5943600" cy="4250629"/>
                    </a:xfrm>
                    <a:prstGeom prst="rect">
                      <a:avLst/>
                    </a:prstGeom>
                    <a:noFill/>
                    <a:ln w="9525">
                      <a:noFill/>
                      <a:headEnd/>
                      <a:tailEnd/>
                    </a:ln>
                  </pic:spPr>
                </pic:pic>
              </a:graphicData>
            </a:graphic>
          </wp:inline>
        </w:drawing>
      </w:r>
    </w:p>
    <w:bookmarkEnd w:id="97"/>
    <w:bookmarkStart w:id="106" w:name="references"/>
    <w:p>
      <w:pPr>
        <w:pStyle w:val="Heading1"/>
      </w:pPr>
      <w:r>
        <w:t xml:space="preserve">References</w:t>
      </w:r>
    </w:p>
    <w:bookmarkStart w:id="105" w:name="refs"/>
    <w:bookmarkStart w:id="99"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98">
        <w:r>
          <w:rPr>
            <w:rStyle w:val="Hyperlink"/>
          </w:rPr>
          <w:t xml:space="preserve">https://doi.org/10.1093/icesjms/fsm112</w:t>
        </w:r>
      </w:hyperlink>
      <w:r>
        <w:t xml:space="preserve">.</w:t>
      </w:r>
    </w:p>
    <w:bookmarkEnd w:id="99"/>
    <w:bookmarkStart w:id="101"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00">
        <w:r>
          <w:rPr>
            <w:rStyle w:val="Hyperlink"/>
          </w:rPr>
          <w:t xml:space="preserve">https://doi.org/10.1093/icesjms/fsp054</w:t>
        </w:r>
      </w:hyperlink>
      <w:r>
        <w:t xml:space="preserve">.</w:t>
      </w:r>
    </w:p>
    <w:bookmarkEnd w:id="101"/>
    <w:bookmarkStart w:id="103" w:name="ref-zwolinski2010"/>
    <w:p>
      <w:pPr>
        <w:pStyle w:val="Bibliography"/>
      </w:pPr>
      <w:r>
        <w:t xml:space="preserve">Zwolinski, Juan P., Paulo B. Oliveira, Victor Quintino, and Yorgos Stratoudakis. 2010a.</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02">
        <w:r>
          <w:rPr>
            <w:rStyle w:val="Hyperlink"/>
          </w:rPr>
          <w:t xml:space="preserve">https://doi.org/10.1093/icesjms/fsq068</w:t>
        </w:r>
      </w:hyperlink>
      <w:r>
        <w:t xml:space="preserve">.</w:t>
      </w:r>
    </w:p>
    <w:bookmarkEnd w:id="103"/>
    <w:bookmarkStart w:id="104" w:name="ref-zwolinski2010a"/>
    <w:p>
      <w:pPr>
        <w:pStyle w:val="Bibliography"/>
      </w:pPr>
      <w:r>
        <w:t xml:space="preserve">———. 2010b.</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02">
        <w:r>
          <w:rPr>
            <w:rStyle w:val="Hyperlink"/>
          </w:rPr>
          <w:t xml:space="preserve">https://doi.org/10.1093/icesjms/fsq068</w:t>
        </w:r>
      </w:hyperlink>
      <w:r>
        <w:t xml:space="preserve">.</w:t>
      </w:r>
    </w:p>
    <w:bookmarkEnd w:id="104"/>
    <w:bookmarkEnd w:id="105"/>
    <w:bookmarkEnd w:id="10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3" Target="media/rId83.jpg" /><Relationship Type="http://schemas.openxmlformats.org/officeDocument/2006/relationships/image" Id="rId88" Target="media/rId88.jpg" /><Relationship Type="http://schemas.openxmlformats.org/officeDocument/2006/relationships/image" Id="rId29" Target="media/rId29.png" /><Relationship Type="http://schemas.openxmlformats.org/officeDocument/2006/relationships/image" Id="rId94" Target="media/rId94.jpg" /><Relationship Type="http://schemas.openxmlformats.org/officeDocument/2006/relationships/image" Id="rId61" Target="media/rId61.jpg" /><Relationship Type="http://schemas.openxmlformats.org/officeDocument/2006/relationships/image" Id="rId32" Target="media/rId32.pn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9" Target="media/rId79.jpg" /><Relationship Type="http://schemas.openxmlformats.org/officeDocument/2006/relationships/image" Id="rId57" Target="media/rId57.jpg" /><Relationship Type="http://schemas.openxmlformats.org/officeDocument/2006/relationships/image" Id="rId41" Target="media/rId41.jpg" /><Relationship Type="http://schemas.openxmlformats.org/officeDocument/2006/relationships/hyperlink" Id="rId82" Target="chrome-extension://efaidnbmnnnibpcajpcglclefindmkaj/https://swfsc-publications.fisheries.noaa.gov/publications/CR/2024/2024Stierhoff.pdf" TargetMode="External" /><Relationship Type="http://schemas.openxmlformats.org/officeDocument/2006/relationships/hyperlink" Id="rId50" Target="file:///C:/Users/alice.beittel/Downloads/2024Renfree.docx#_bookmark7" TargetMode="External" /><Relationship Type="http://schemas.openxmlformats.org/officeDocument/2006/relationships/hyperlink" Id="rId91" Target="https://docs.google.com/document/d/1-YxJs1veotnSZJIWPH6vJjYOA5Dt1iETaqmNv8eNoTk/edit?tab=t.0" TargetMode="External" /><Relationship Type="http://schemas.openxmlformats.org/officeDocument/2006/relationships/hyperlink" Id="rId98" Target="https://doi.org/10.1093/icesjms/fsm112" TargetMode="External" /><Relationship Type="http://schemas.openxmlformats.org/officeDocument/2006/relationships/hyperlink" Id="rId100" Target="https://doi.org/10.1093/icesjms/fsp054" TargetMode="External" /><Relationship Type="http://schemas.openxmlformats.org/officeDocument/2006/relationships/hyperlink" Id="rId102" Target="https://doi.org/10.1093/icesjms/fsq068" TargetMode="External" /><Relationship Type="http://schemas.openxmlformats.org/officeDocument/2006/relationships/hyperlink" Id="rId56"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73" Target="https://nmfs-swfsc-ast.github.io/echo-class/content/identification.html" TargetMode="External" /><Relationship Type="http://schemas.openxmlformats.org/officeDocument/2006/relationships/hyperlink" Id="rId107"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82" Target="chrome-extension://efaidnbmnnnibpcajpcglclefindmkaj/https://swfsc-publications.fisheries.noaa.gov/publications/CR/2024/2024Stierhoff.pdf" TargetMode="External" /><Relationship Type="http://schemas.openxmlformats.org/officeDocument/2006/relationships/hyperlink" Id="rId50" Target="file:///C:/Users/alice.beittel/Downloads/2024Renfree.docx#_bookmark7" TargetMode="External" /><Relationship Type="http://schemas.openxmlformats.org/officeDocument/2006/relationships/hyperlink" Id="rId91" Target="https://docs.google.com/document/d/1-YxJs1veotnSZJIWPH6vJjYOA5Dt1iETaqmNv8eNoTk/edit?tab=t.0" TargetMode="External" /><Relationship Type="http://schemas.openxmlformats.org/officeDocument/2006/relationships/hyperlink" Id="rId98" Target="https://doi.org/10.1093/icesjms/fsm112" TargetMode="External" /><Relationship Type="http://schemas.openxmlformats.org/officeDocument/2006/relationships/hyperlink" Id="rId100" Target="https://doi.org/10.1093/icesjms/fsp054" TargetMode="External" /><Relationship Type="http://schemas.openxmlformats.org/officeDocument/2006/relationships/hyperlink" Id="rId102" Target="https://doi.org/10.1093/icesjms/fsq068" TargetMode="External" /><Relationship Type="http://schemas.openxmlformats.org/officeDocument/2006/relationships/hyperlink" Id="rId56"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73" Target="https://nmfs-swfsc-ast.github.io/echo-class/content/identification.html" TargetMode="External" /><Relationship Type="http://schemas.openxmlformats.org/officeDocument/2006/relationships/hyperlink" Id="rId107"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2024-12-17T23:51:46Z</dcterms:created>
  <dcterms:modified xsi:type="dcterms:W3CDTF">2024-12-17T23:51:46Z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