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4.png" ContentType="image/png"/>
  <Override PartName="/word/media/rId29.png" ContentType="image/png"/>
  <Override PartName="/word/media/rId62.jpg" ContentType="image/jpeg"/>
  <Override PartName="/word/media/rId32.png" ContentType="image/pn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w:t>
      </w:r>
      <w:r>
        <w:t xml:space="preserve"> </w:t>
      </w:r>
      <w:r>
        <w:t xml:space="preserve">Acoustic</w:t>
      </w:r>
      <w:r>
        <w:t xml:space="preserve"> </w:t>
      </w:r>
      <w:r>
        <w:t xml:space="preserve">Classification</w:t>
      </w:r>
    </w:p>
    <w:p>
      <w:pPr>
        <w:pStyle w:val="Author"/>
      </w:pPr>
      <w:r>
        <w:t xml:space="preserve">Alice</w:t>
      </w:r>
      <w:r>
        <w:t xml:space="preserve"> </w:t>
      </w:r>
      <w:r>
        <w:t xml:space="preserve">Beittel</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7" w:name="welcome"/>
    <w:p>
      <w:pPr>
        <w:pStyle w:val="Heading1"/>
      </w:pPr>
      <w:r>
        <w:t xml:space="preserve">Welcome</w:t>
      </w:r>
    </w:p>
    <w:p>
      <w:pPr>
        <w:pStyle w:val="FirstParagraph"/>
      </w:pPr>
      <w:r>
        <w:rPr>
          <w:b/>
          <w:bCs/>
        </w:rPr>
        <w:t xml:space="preserve">Last updated:</w:t>
      </w:r>
      <w:r>
        <w:t xml:space="preserve"> </w:t>
      </w:r>
      <w:r>
        <w:t xml:space="preserve">2024-11-21 23:59:22 UTC</w:t>
      </w:r>
    </w:p>
    <w:p>
      <w:pPr>
        <w:pStyle w:val="BodyText"/>
      </w:pPr>
      <w:r>
        <w:t xml:space="preserve">[[[enter cool image of CPS survey]]]</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 The biomass and abundance estimates derived from this project are used in stock assessment models to support sustainable fisheries.</w:t>
      </w:r>
    </w:p>
    <w:bookmarkStart w:id="22" w:name="document-objective"/>
    <w:p>
      <w:pPr>
        <w:pStyle w:val="Heading2"/>
      </w:pPr>
      <w:r>
        <w:t xml:space="preserve">Document Objective:</w:t>
      </w:r>
    </w:p>
    <w:p>
      <w:pPr>
        <w:pStyle w:val="FirstParagraph"/>
      </w:pPr>
      <w:r>
        <w:t xml:space="preserve">This resource will serve as a tutorial to demonstrate how the SWFSC uses acoustic data generate biomass estimates of Coastal Pelagic Species from Baja, Mexico to Vancouver, Canada.</w:t>
      </w:r>
    </w:p>
    <w:p>
      <w:pPr>
        <w:pStyle w:val="BodyText"/>
      </w:pPr>
      <w:r>
        <w:t xml:space="preserve">As part of our commitment to open science, reproducibility, and transparency, we provide this metadata guide to compliment our public-domain data.</w:t>
      </w:r>
      <w:r>
        <w:br/>
      </w:r>
      <w:r>
        <w:br/>
      </w:r>
      <w:r>
        <w:t xml:space="preserve">Please consider this resource to be a </w:t>
      </w:r>
      <w:r>
        <w:rPr>
          <w:b/>
          <w:bCs/>
        </w:rPr>
        <w:t xml:space="preserve">Living Document</w:t>
      </w:r>
      <w:r>
        <w:t xml:space="preserve">. The code in this repository is regularly being updated and improved. </w:t>
      </w:r>
      <w:r>
        <w:br/>
      </w:r>
      <w:r>
        <w:br/>
      </w:r>
      <w:r>
        <w:t xml:space="preserve">Do not hesitate to reach out (to us at either alice.beittel@noaa.gov or </w:t>
      </w:r>
      <w:hyperlink r:id="rId21">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2"/>
    <w:bookmarkStart w:id="23" w:name="user-resources"/>
    <w:p>
      <w:pPr>
        <w:pStyle w:val="Heading2"/>
      </w:pPr>
      <w:r>
        <w:t xml:space="preserve">User Resources</w:t>
      </w:r>
    </w:p>
    <w:bookmarkEnd w:id="23"/>
    <w:bookmarkStart w:id="24" w:name="cite-this-data"/>
    <w:p>
      <w:pPr>
        <w:pStyle w:val="Heading2"/>
      </w:pPr>
      <w:r>
        <w:t xml:space="preserve">Cite This Data</w:t>
      </w:r>
    </w:p>
    <w:p>
      <w:pPr>
        <w:pStyle w:val="FirstParagraph"/>
      </w:pPr>
      <w:r>
        <w:t xml:space="preserve">[enter text on how to do this]</w:t>
      </w:r>
    </w:p>
    <w:bookmarkEnd w:id="24"/>
    <w:bookmarkStart w:id="25"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5"/>
    <w:bookmarkStart w:id="26"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r>
        <w:br w:type="page"/>
      </w:r>
    </w:p>
    <w:bookmarkEnd w:id="26"/>
    <w:bookmarkEnd w:id="27"/>
    <w:bookmarkStart w:id="40" w:name="survey-background"/>
    <w:p>
      <w:pPr>
        <w:pStyle w:val="Heading1"/>
      </w:pPr>
      <w:r>
        <w:t xml:space="preserve">1. Survey Background</w:t>
      </w:r>
    </w:p>
    <w:bookmarkStart w:id="28"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28"/>
    <w:bookmarkStart w:id="36" w:name="where-does-the-survey-take-place"/>
    <w:p>
      <w:pPr>
        <w:pStyle w:val="Heading2"/>
      </w:pPr>
      <w:r>
        <w:t xml:space="preserve">1.2 Where does the survey take place?</w:t>
      </w:r>
    </w:p>
    <w:bookmarkStart w:id="35"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0" name="Picture"/>
                  <a:graphic>
                    <a:graphicData uri="http://schemas.openxmlformats.org/drawingml/2006/picture">
                      <pic:pic>
                        <pic:nvPicPr>
                          <pic:cNvPr descr="content/images/clipboard-1472872065.png" id="31" name="Picture"/>
                          <pic:cNvPicPr>
                            <a:picLocks noChangeArrowheads="1" noChangeAspect="1"/>
                          </pic:cNvPicPr>
                        </pic:nvPicPr>
                        <pic:blipFill>
                          <a:blip r:embed="rId29"/>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33" name="Picture"/>
                  <a:graphic>
                    <a:graphicData uri="http://schemas.openxmlformats.org/drawingml/2006/picture">
                      <pic:pic>
                        <pic:nvPicPr>
                          <pic:cNvPr descr="content/images/fig_survey_map.png" id="34" name="Picture"/>
                          <pic:cNvPicPr>
                            <a:picLocks noChangeArrowheads="1" noChangeAspect="1"/>
                          </pic:cNvPicPr>
                        </pic:nvPicPr>
                        <pic:blipFill>
                          <a:blip r:embed="rId32"/>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35"/>
    <w:bookmarkEnd w:id="36"/>
    <w:bookmarkStart w:id="37" w:name="research-objectives"/>
    <w:p>
      <w:pPr>
        <w:pStyle w:val="Heading2"/>
      </w:pPr>
      <w:r>
        <w:t xml:space="preserve">1.3 Research objectives:</w:t>
      </w:r>
    </w:p>
    <w:p>
      <w:pPr>
        <w:pStyle w:val="Compact"/>
        <w:numPr>
          <w:ilvl w:val="0"/>
          <w:numId w:val="1001"/>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1"/>
        </w:numPr>
      </w:pPr>
      <w:r>
        <w:t xml:space="preserve">Characterize and investigate linkages to their biotic and abiotic environments</w:t>
      </w:r>
    </w:p>
    <w:p>
      <w:pPr>
        <w:pStyle w:val="Compact"/>
        <w:numPr>
          <w:ilvl w:val="0"/>
          <w:numId w:val="1001"/>
        </w:numPr>
      </w:pPr>
      <w:r>
        <w:t xml:space="preserve">Gather information regarding their life histories</w:t>
      </w:r>
    </w:p>
    <w:p>
      <w:pPr>
        <w:pStyle w:val="Compact"/>
        <w:numPr>
          <w:ilvl w:val="0"/>
          <w:numId w:val="1001"/>
        </w:numPr>
      </w:pPr>
      <w:r>
        <w:t xml:space="preserve">Compare the species composition and size distributions of trawls and near shore vessel purse seine sets.</w:t>
      </w:r>
    </w:p>
    <w:bookmarkEnd w:id="37"/>
    <w:bookmarkStart w:id="38" w:name="survey-history"/>
    <w:p>
      <w:pPr>
        <w:pStyle w:val="Heading2"/>
      </w:pPr>
      <w:r>
        <w:t xml:space="preserve">1.4 Survey History:</w:t>
      </w:r>
    </w:p>
    <w:p>
      <w:pPr>
        <w:pStyle w:val="FirstParagraph"/>
      </w:pPr>
      <w:r>
        <w:t xml:space="preserve">The SWFSC’s ATM surveys of CPS in the CCE began in 2006 with a focus on the northern stock of Pacific Sardine. Since then, they have expanded in scope and objectives to include the larger forage-fsh assemblage and krill. This evolution, and the migratory behavior of Pacific Sardine, serve to explain the present survey region and design.</w:t>
      </w:r>
    </w:p>
    <w:bookmarkEnd w:id="38"/>
    <w:bookmarkStart w:id="39" w:name="code-of-conduct"/>
    <w:p>
      <w:pPr>
        <w:pStyle w:val="Heading2"/>
      </w:pPr>
      <w:r>
        <w:t xml:space="preserve">1.5 Code of Conduct</w:t>
      </w:r>
    </w:p>
    <w:bookmarkEnd w:id="39"/>
    <w:bookmarkEnd w:id="40"/>
    <w:bookmarkStart w:id="54" w:name="data-acquisition"/>
    <w:p>
      <w:pPr>
        <w:pStyle w:val="Heading1"/>
      </w:pPr>
      <w:r>
        <w:t xml:space="preserve">2. Data Acquisition</w:t>
      </w:r>
    </w:p>
    <w:bookmarkStart w:id="46" w:name="survey-equipment"/>
    <w:p>
      <w:pPr>
        <w:pStyle w:val="Heading2"/>
      </w:pPr>
      <w:r>
        <w:t xml:space="preserve">2.1 Survey Equipment</w:t>
      </w:r>
    </w:p>
    <w:bookmarkStart w:id="44" w:name="acoustic-instruments"/>
    <w:p>
      <w:pPr>
        <w:pStyle w:val="Heading3"/>
      </w:pPr>
      <w:r>
        <w:t xml:space="preserve">2.1.1 Acoustic Instruments</w:t>
      </w:r>
    </w:p>
    <w:p>
      <w:pPr>
        <w:pStyle w:val="CaptionedFigure"/>
      </w:pPr>
      <w:r>
        <w:drawing>
          <wp:inline>
            <wp:extent cx="5895975" cy="3028950"/>
            <wp:effectExtent b="0" l="0" r="0" t="0"/>
            <wp:docPr descr="Transducer locations on the bottom of the centerboard aboard Lasker." title="" id="42" name="Picture"/>
            <a:graphic>
              <a:graphicData uri="http://schemas.openxmlformats.org/drawingml/2006/picture">
                <pic:pic>
                  <pic:nvPicPr>
                    <pic:cNvPr descr="content/images/transducers.jpg" id="43" name="Picture"/>
                    <pic:cNvPicPr>
                      <a:picLocks noChangeArrowheads="1" noChangeAspect="1"/>
                    </pic:cNvPicPr>
                  </pic:nvPicPr>
                  <pic:blipFill>
                    <a:blip r:embed="rId41"/>
                    <a:stretch>
                      <a:fillRect/>
                    </a:stretch>
                  </pic:blipFill>
                  <pic:spPr bwMode="auto">
                    <a:xfrm>
                      <a:off x="0" y="0"/>
                      <a:ext cx="5895975" cy="3028950"/>
                    </a:xfrm>
                    <a:prstGeom prst="rect">
                      <a:avLst/>
                    </a:prstGeom>
                    <a:noFill/>
                    <a:ln w="9525">
                      <a:noFill/>
                      <a:headEnd/>
                      <a:tailEnd/>
                    </a:ln>
                  </pic:spPr>
                </pic:pic>
              </a:graphicData>
            </a:graphic>
          </wp:inline>
        </w:drawing>
      </w:r>
    </w:p>
    <w:p>
      <w:pPr>
        <w:pStyle w:val="ImageCaption"/>
      </w:pPr>
      <w:r>
        <w:t xml:space="preserve">Transducer locations on the bottom of the centerboard aboard Lasker.</w:t>
      </w:r>
    </w:p>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w:t>
      </w:r>
      <w:r>
        <w:t xml:space="preserve">centerboard</w:t>
      </w:r>
      <w:r>
        <w:t xml:space="preserve">”</w:t>
      </w:r>
      <w:r>
        <w:t xml:space="preserve">. The keel was retracted (transducers ~5-m depth) during calibration, and extended to the intermediate position (transducers ~7-m depth) during the survey. Exceptions were made during shallow water operations, when the keel was re- 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44"/>
    <w:bookmarkStart w:id="45" w:name="underway-ctd"/>
    <w:p>
      <w:pPr>
        <w:pStyle w:val="Heading3"/>
      </w:pPr>
      <w:r>
        <w:t xml:space="preserve">2.1.2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epipelagic CPS reside during the day. These data were also used to estimate the time-averaged sound speed (Demer, 2004), for estimating ranges to the sound scatterers, and frequency-specifc sound absorption coefcients, for compensating signal attenuation of the sound pulse between the transducer and scatterers (Simmonds and MacLennan, 2005).</w:t>
      </w:r>
    </w:p>
    <w:bookmarkEnd w:id="45"/>
    <w:bookmarkEnd w:id="46"/>
    <w:bookmarkStart w:id="52" w:name="software"/>
    <w:p>
      <w:pPr>
        <w:pStyle w:val="Heading2"/>
      </w:pPr>
      <w:r>
        <w:t xml:space="preserve">2.2 Software</w:t>
      </w:r>
    </w:p>
    <w:bookmarkStart w:id="47" w:name="echosounder-software"/>
    <w:p>
      <w:pPr>
        <w:pStyle w:val="Heading3"/>
      </w:pPr>
      <w:r>
        <w:t xml:space="preserve">2.2.1 Echosounder Software</w:t>
      </w:r>
    </w:p>
    <w:p>
      <w:pPr>
        <w:pStyle w:val="FirstParagraph"/>
      </w:pPr>
      <w:r>
        <w:t xml:space="preserve">EK80</w:t>
      </w:r>
    </w:p>
    <w:bookmarkEnd w:id="47"/>
    <w:bookmarkStart w:id="48" w:name="nettime"/>
    <w:p>
      <w:pPr>
        <w:pStyle w:val="Heading3"/>
      </w:pPr>
      <w:r>
        <w:t xml:space="preserve">2.2.2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48"/>
    <w:bookmarkStart w:id="50" w:name="eal"/>
    <w:p>
      <w:pPr>
        <w:pStyle w:val="Heading3"/>
      </w:pPr>
      <w:r>
        <w:t xml:space="preserve">2.2.3 EAL</w:t>
      </w:r>
    </w:p>
    <w:p>
      <w:pPr>
        <w:pStyle w:val="FirstParagraph"/>
      </w:pPr>
      <w:r>
        <w:t xml:space="preserve">The 38-, 70-, 120-, 200-, and 333-kHz echosounders were controlled by the EK80 Adaptive Logger (EAL</w:t>
      </w:r>
      <w:hyperlink r:id="rId49">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50"/>
    <w:bookmarkStart w:id="51" w:name="k-sync"/>
    <w:p>
      <w:pPr>
        <w:pStyle w:val="Heading3"/>
      </w:pPr>
      <w:r>
        <w:t xml:space="preserve">2.2.4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profler and echosounder (Simrad-Kongsberg EC150-3C), multibeam echosounder (Simrad- Kongsberg ME70), imaging sonar (Simrad-Kongsberg MS70), scanning sonar (Simrad-Kongsberg SX90), and a separate acoustic Doppler current profler (Teledyne RD Instruments OS75 ADCP) were triggered using a synchronization system (Simrad K-Sync; Kongsberg). The K-Sync trigger rate, and thus the echosounder ping interval, was modulated by the EAL using the 18-kHz seabed depth provided by the Scientifc Computing System (SCS).</w:t>
      </w:r>
    </w:p>
    <w:bookmarkEnd w:id="51"/>
    <w:bookmarkEnd w:id="52"/>
    <w:bookmarkStart w:id="53" w:name="raw-acoustic-data-format"/>
    <w:p>
      <w:pPr>
        <w:pStyle w:val="Heading2"/>
      </w:pPr>
      <w:r>
        <w:t xml:space="preserve">2.3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prefx for each fle name is a concatenation of the survey name (e.g., 2307RL), the operational mode (CW or FM), and the logging commencement date and time from the EK80 software (v21.15.1). For example, a fle generated by the Simrad-Kongsberg EK80 software for a WBT operated in CW mode is named 2307RL_CW-D20220826-T155651.raw.</w:t>
      </w:r>
    </w:p>
    <w:bookmarkEnd w:id="53"/>
    <w:bookmarkEnd w:id="54"/>
    <w:bookmarkStart w:id="56" w:name="data-workflow"/>
    <w:p>
      <w:pPr>
        <w:pStyle w:val="Heading1"/>
      </w:pPr>
      <w:r>
        <w:t xml:space="preserve">3. Data Workflow</w:t>
      </w:r>
    </w:p>
    <w:bookmarkStart w:id="55" w:name="X1e8b470d06c1be8e9e529a5172bdd50e76d24e0"/>
    <w:p>
      <w:pPr>
        <w:pStyle w:val="Heading3"/>
      </w:pPr>
      <w:r>
        <w:t xml:space="preserve">3.0.1 Data pipeline from boat to shore to report</w:t>
      </w:r>
    </w:p>
    <w:bookmarkEnd w:id="55"/>
    <w:bookmarkEnd w:id="56"/>
    <w:bookmarkStart w:id="60" w:name="data-preparation"/>
    <w:p>
      <w:pPr>
        <w:pStyle w:val="Heading1"/>
      </w:pPr>
      <w:r>
        <w:t xml:space="preserve">4. Data Preparation</w:t>
      </w:r>
    </w:p>
    <w:bookmarkStart w:id="59" w:name="select-regions-of-interest"/>
    <w:p>
      <w:pPr>
        <w:pStyle w:val="Heading3"/>
      </w:pPr>
      <w:r>
        <w:t xml:space="preserve">4.0.1 Select regions of interest</w:t>
      </w:r>
    </w:p>
    <w:bookmarkStart w:id="57" w:name="select-data-on-transect-lines"/>
    <w:p>
      <w:pPr>
        <w:pStyle w:val="Heading4"/>
      </w:pPr>
      <w:r>
        <w:t xml:space="preserve">4.0.1.1 Select data on transect lines</w:t>
      </w:r>
    </w:p>
    <w:bookmarkEnd w:id="57"/>
    <w:bookmarkStart w:id="58" w:name="integration-stop-and-start-lines"/>
    <w:p>
      <w:pPr>
        <w:pStyle w:val="Heading4"/>
      </w:pPr>
      <w:r>
        <w:t xml:space="preserve">4.0.1.2 Integration stop and start lines</w:t>
      </w:r>
    </w:p>
    <w:bookmarkEnd w:id="58"/>
    <w:bookmarkEnd w:id="59"/>
    <w:bookmarkEnd w:id="60"/>
    <w:bookmarkStart w:id="71" w:name="data-processing"/>
    <w:p>
      <w:pPr>
        <w:pStyle w:val="Heading1"/>
      </w:pPr>
      <w:r>
        <w:t xml:space="preserve">5. Data Processing</w:t>
      </w:r>
    </w:p>
    <w:p>
      <w:pPr>
        <w:pStyle w:val="FirstParagraph"/>
      </w:pPr>
      <w:r>
        <w:t xml:space="preserve">We identify acoustic echos of schooling CPS using a semi-automated data processing algorithm implemented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61">
        <w:r>
          <w:rPr>
            <w:rStyle w:val="Hyperlink"/>
          </w:rPr>
          <w:t xml:space="preserve">repository</w:t>
        </w:r>
      </w:hyperlink>
      <w:r>
        <w:t xml:space="preserve">. The filters and thresholds were based on a subsample of echoes from randomly selected CPS schools. The aim of the filter criteria is to retain at least 95% of the noise-free backscatter from CPS while rejecting at least 95% of the non-CPS backscatter .</w:t>
      </w:r>
    </w:p>
    <w:bookmarkStart w:id="65" w:name="X943f6d514e313ad548f78cf4bb1241204fee63a"/>
    <w:p>
      <w:pPr>
        <w:pStyle w:val="Heading3"/>
      </w:pPr>
      <w:r>
        <w:t xml:space="preserve">5.0.1</w:t>
      </w:r>
      <w:r>
        <w:t xml:space="preserve"> </w:t>
      </w:r>
      <w:r>
        <w:drawing>
          <wp:inline>
            <wp:extent cx="5943600" cy="4874723"/>
            <wp:effectExtent b="0" l="0" r="0" t="0"/>
            <wp:docPr descr="Simplified dataflow of processing in Echoview" title="" id="63" name="Picture"/>
            <a:graphic>
              <a:graphicData uri="http://schemas.openxmlformats.org/drawingml/2006/picture">
                <pic:pic>
                  <pic:nvPicPr>
                    <pic:cNvPr descr="content/images/ev-processing.JPG" id="64" name="Picture"/>
                    <pic:cNvPicPr>
                      <a:picLocks noChangeArrowheads="1" noChangeAspect="1"/>
                    </pic:cNvPicPr>
                  </pic:nvPicPr>
                  <pic:blipFill>
                    <a:blip r:embed="rId62"/>
                    <a:stretch>
                      <a:fillRect/>
                    </a:stretch>
                  </pic:blipFill>
                  <pic:spPr bwMode="auto">
                    <a:xfrm>
                      <a:off x="0" y="0"/>
                      <a:ext cx="5943600" cy="4874723"/>
                    </a:xfrm>
                    <a:prstGeom prst="rect">
                      <a:avLst/>
                    </a:prstGeom>
                    <a:noFill/>
                    <a:ln w="9525">
                      <a:noFill/>
                      <a:headEnd/>
                      <a:tailEnd/>
                    </a:ln>
                  </pic:spPr>
                </pic:pic>
              </a:graphicData>
            </a:graphic>
          </wp:inline>
        </w:drawing>
      </w:r>
    </w:p>
    <w:bookmarkEnd w:id="65"/>
    <w:bookmarkStart w:id="70" w:name="super-detailed-processing-steps"/>
    <w:p>
      <w:pPr>
        <w:pStyle w:val="Heading3"/>
      </w:pPr>
      <w:r>
        <w:t xml:space="preserve">5.0.2 Super Detailed Processing Steps</w:t>
      </w:r>
    </w:p>
    <w:bookmarkStart w:id="66" w:name="automated-processing-in-echoview"/>
    <w:p>
      <w:pPr>
        <w:pStyle w:val="Heading4"/>
      </w:pPr>
      <w:r>
        <w:t xml:space="preserve">5.0.2.1</w:t>
      </w:r>
      <w:r>
        <w:t xml:space="preserve"> </w:t>
      </w:r>
      <w:r>
        <w:rPr>
          <w:b/>
          <w:bCs/>
          <w:i/>
          <w:iCs/>
        </w:rPr>
        <w:t xml:space="preserve">Automated Processing in Echoview</w:t>
      </w:r>
    </w:p>
    <w:bookmarkEnd w:id="66"/>
    <w:bookmarkStart w:id="67" w:name="data-averaging-and-cleaning"/>
    <w:p>
      <w:pPr>
        <w:pStyle w:val="Heading4"/>
      </w:pPr>
      <w:r>
        <w:t xml:space="preserve">5.0.2.2 Data Averaging and Cleaning:</w:t>
      </w:r>
    </w:p>
    <w:p>
      <w:pPr>
        <w:numPr>
          <w:ilvl w:val="0"/>
          <w:numId w:val="1002"/>
        </w:numPr>
      </w:pPr>
      <w:r>
        <w:t xml:space="preserve">Enter RAW EK80 acoustic data into Echoview and load ECS file.</w:t>
      </w:r>
    </w:p>
    <w:p>
      <w:pPr>
        <w:numPr>
          <w:ilvl w:val="0"/>
          <w:numId w:val="1002"/>
        </w:numPr>
      </w:pPr>
      <w:r>
        <w:t xml:space="preserve">Match geometry of all Sv variables to the 38-kHz Sv. This aligns pings from all transducers to 38-kHz.</w:t>
      </w:r>
    </w:p>
    <w:p>
      <w:pPr>
        <w:numPr>
          <w:ilvl w:val="0"/>
          <w:numId w:val="1002"/>
        </w:numPr>
      </w:pPr>
      <w:r>
        <w:t xml:space="preserve">Remove passive-mode pings and background noise:Estimate and subtract background noise using the background noise removal function (De Robertis and Higginbottom, 2007) in Echoview (Figs. 7b, e).</w:t>
      </w:r>
    </w:p>
    <w:p>
      <w:pPr>
        <w:numPr>
          <w:ilvl w:val="0"/>
          <w:numId w:val="1002"/>
        </w:numPr>
      </w:pPr>
      <w:r>
        <w:t xml:space="preserve">Average the noise-free Sv echograms using non-overlapping 11-sample by 3-ping bins.</w:t>
      </w:r>
    </w:p>
    <w:p>
      <w:pPr>
        <w:numPr>
          <w:ilvl w:val="0"/>
          <w:numId w:val="1002"/>
        </w:numPr>
      </w:pPr>
      <w:r>
        <w:t xml:space="preserve">Expand the averaged, noise-reduced Sv echograms with a 7 pixel x 7 pixel dilation.</w:t>
      </w:r>
    </w:p>
    <w:bookmarkEnd w:id="67"/>
    <w:bookmarkStart w:id="68" w:name="calculate-frequency-response"/>
    <w:p>
      <w:pPr>
        <w:pStyle w:val="Heading4"/>
      </w:pPr>
      <w:r>
        <w:t xml:space="preserve">5.0.2.3 Calculate Frequency Response:</w:t>
      </w:r>
    </w:p>
    <w:p>
      <w:pPr>
        <w:pStyle w:val="FirstParagraph"/>
      </w:pPr>
      <w:r>
        <w:t xml:space="preserve">6a. For each pixel, compute: Sv,200kHz − Sv,38kHz, Sv,120kHz − Sv,38kHz, and Sv,70kHz − Sv,38kHz;</w:t>
      </w:r>
    </w:p>
    <w:p>
      <w:pPr>
        <w:pStyle w:val="BodyText"/>
      </w:pPr>
      <w:r>
        <w:t xml:space="preserve">7a. Create a Boolean echogram for Sv differences in the CPS range: −13.85 &lt; Sv,70kHz − Sv,38kHz &lt; 9.89 and − 13.5 &lt; Sv,120kHz − Sv,38kHz &lt; 9.37 and − 13.51 &lt; Sv,200kHz − Sv,38kHz &lt; 12.53</w:t>
      </w:r>
    </w:p>
    <w:p>
      <w:pPr>
        <w:pStyle w:val="BodyText"/>
      </w:pPr>
      <w:r>
        <w:t xml:space="preserve">6b. For 120 and 200 kHz, compute the squared difference between the noise-filtered Sv (Step 3) and averaged Sv (Step 4)</w:t>
      </w:r>
    </w:p>
    <w:p>
      <w:pPr>
        <w:pStyle w:val="BodyText"/>
      </w:pPr>
      <w:r>
        <w:t xml:space="preserve">7b. Average the results using an 11-sample by 3-ping window to derive variance</w:t>
      </w:r>
    </w:p>
    <w:p>
      <w:pPr>
        <w:pStyle w:val="BodyText"/>
      </w:pPr>
      <w:r>
        <w:t xml:space="preserve">8b. Compute the square root to derive the 120- and 200-kHz standard deviations (σ120kHz and σ200kHz, respectively)</w:t>
      </w:r>
    </w:p>
    <w:p>
      <w:pPr>
        <w:pStyle w:val="BodyText"/>
      </w:pPr>
      <w:r>
        <w:t xml:space="preserve">9b. Expand the standard deviation echograms with a 7 pixel x 7 pixel dilation;</w:t>
      </w:r>
    </w:p>
    <w:p>
      <w:pPr>
        <w:pStyle w:val="Compact"/>
        <w:numPr>
          <w:ilvl w:val="0"/>
          <w:numId w:val="1003"/>
        </w:numPr>
      </w:pPr>
      <w:r>
        <w:t xml:space="preserve">Create a Boolean echogram based on the standard deviations in the CPS range: σ120kHz &gt; -65 dB and σ200kHz &gt; -65 dB. Diffuse backscattering layers have low σ (Zwolinski et al., 2010) whereas fish schools have high σ. Intersect the two Boolean echograms to create an echogram with</w:t>
      </w:r>
      <w:r>
        <w:t xml:space="preserve"> </w:t>
      </w:r>
      <w:r>
        <w:t xml:space="preserve">“</w:t>
      </w:r>
      <w:r>
        <w:t xml:space="preserve">TRUE</w:t>
      </w:r>
      <w:r>
        <w:t xml:space="preserve">”</w:t>
      </w:r>
      <w:r>
        <w:t xml:space="preserve"> </w:t>
      </w:r>
      <w:r>
        <w:t xml:space="preserve">samples for candidate CPS schools and</w:t>
      </w:r>
      <w:r>
        <w:t xml:space="preserve"> </w:t>
      </w:r>
      <w:r>
        <w:t xml:space="preserve">“</w:t>
      </w:r>
      <w:r>
        <w:t xml:space="preserve">FALSE</w:t>
      </w:r>
      <w:r>
        <w:t xml:space="preserve">”</w:t>
      </w:r>
      <w:r>
        <w:t xml:space="preserve"> </w:t>
      </w:r>
      <w:r>
        <w:t xml:space="preserve">elsewhere. Mask the noise-reduced echograms using the CPS Boolean echogram (Figs. 7c, f );</w:t>
      </w:r>
    </w:p>
    <w:bookmarkEnd w:id="68"/>
    <w:bookmarkStart w:id="69" w:name="manual-processing-in-echoview"/>
    <w:p>
      <w:pPr>
        <w:pStyle w:val="Heading4"/>
      </w:pPr>
      <w:r>
        <w:t xml:space="preserve">5.0.2.4</w:t>
      </w:r>
      <w:r>
        <w:t xml:space="preserve"> </w:t>
      </w:r>
      <w:r>
        <w:rPr>
          <w:i/>
          <w:iCs/>
        </w:rPr>
        <w:t xml:space="preserve">Manual Processing in Echoview</w:t>
      </w:r>
    </w:p>
    <w:p>
      <w:pPr>
        <w:numPr>
          <w:ilvl w:val="0"/>
          <w:numId w:val="1004"/>
        </w:numPr>
      </w:pPr>
      <w:r>
        <w:t xml:space="preserve">Create an integration-start line 5 m below the transducer (~10 m depth);</w:t>
      </w:r>
    </w:p>
    <w:p>
      <w:pPr>
        <w:numPr>
          <w:ilvl w:val="0"/>
          <w:numId w:val="1004"/>
        </w:numPr>
      </w:pPr>
      <w:r>
        <w:t xml:space="preserve">Create an integration-stop line 3 m above the estimated seabed (Demer et al., 2009), or to the maximum logging range (e.g., 350 m), whichever is shallowest;</w:t>
      </w:r>
    </w:p>
    <w:p>
      <w:pPr>
        <w:numPr>
          <w:ilvl w:val="0"/>
          <w:numId w:val="1004"/>
        </w:numPr>
      </w:pPr>
      <w:r>
        <w:t xml:space="preserve">Set the minimum Sv threshold to -60 dB (corresponding to a density of approximately three 20-cm-long Pacific Sardine per 100 m3);</w:t>
      </w:r>
    </w:p>
    <w:p>
      <w:pPr>
        <w:numPr>
          <w:ilvl w:val="0"/>
          <w:numId w:val="1004"/>
        </w:numPr>
      </w:pPr>
      <w:r>
        <w:t xml:space="preserve">Integrate the volume backscattering coefficients (sV , m2 m-3) attributed to CPS over 5-m depths and averaged over 100-m distances;</w:t>
      </w:r>
    </w:p>
    <w:p>
      <w:pPr>
        <w:numPr>
          <w:ilvl w:val="0"/>
          <w:numId w:val="1004"/>
        </w:numPr>
      </w:pPr>
      <w:r>
        <w:t xml:space="preserve">Output the resulting nautical area scattering coefficients (sA; m2 nmi-2) and associated information from each transect and frequency to comma-delimited text (.csv) files.</w:t>
      </w:r>
    </w:p>
    <w:bookmarkEnd w:id="69"/>
    <w:bookmarkEnd w:id="70"/>
    <w:bookmarkEnd w:id="71"/>
    <w:bookmarkStart w:id="81" w:name="figures-and-tables"/>
    <w:p>
      <w:pPr>
        <w:pStyle w:val="Heading1"/>
      </w:pPr>
      <w:r>
        <w:t xml:space="preserve">6. Figures and Tables</w:t>
      </w:r>
    </w:p>
    <w:p>
      <w:pPr>
        <w:pStyle w:val="FirstParagraph"/>
      </w:pPr>
      <w:r>
        <w:t xml:space="preserve">Markdown is a simple formatting syntax for authoring HTML, PDF, and MS Word documents. For more details on using R Markdown see</w:t>
      </w:r>
      <w:r>
        <w:t xml:space="preserve"> </w:t>
      </w:r>
      <w:hyperlink r:id="rId72">
        <w:r>
          <w:rPr>
            <w:rStyle w:val="Hyperlink"/>
          </w:rPr>
          <w:t xml:space="preserve">http://rmarkdown.rstudio.com</w:t>
        </w:r>
      </w:hyperlink>
      <w:r>
        <w:t xml:space="preserve">.</w:t>
      </w:r>
    </w:p>
    <w:bookmarkStart w:id="73" w:name="code"/>
    <w:p>
      <w:pPr>
        <w:pStyle w:val="Heading2"/>
      </w:pPr>
      <w:r>
        <w:t xml:space="preserve">6.1 Code</w:t>
      </w:r>
    </w:p>
    <w:p>
      <w:pPr>
        <w:pStyle w:val="FirstParagraph"/>
      </w:pPr>
      <w:r>
        <w:t xml:space="preserve">You can embed an R code chunk like this:</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  </w:t>
      </w:r>
    </w:p>
    <w:bookmarkEnd w:id="73"/>
    <w:bookmarkStart w:id="78" w:name="including-plots"/>
    <w:p>
      <w:pPr>
        <w:pStyle w:val="Heading2"/>
      </w:pPr>
      <w:r>
        <w:t xml:space="preserve">6.2 Including Plots</w:t>
      </w:r>
    </w:p>
    <w:p>
      <w:pPr>
        <w:pStyle w:val="FirstParagraph"/>
      </w:pPr>
      <w:r>
        <w:t xml:space="preserve">You can also embed plots and reference them, like so</w:t>
      </w:r>
      <w:r>
        <w:t xml:space="preserve"> </w:t>
      </w:r>
      <w:hyperlink w:anchor="fig-pressure">
        <w:r>
          <w:rPr>
            <w:rStyle w:val="Hyperlink"/>
          </w:rPr>
          <w:t xml:space="preserve">Figure 6.1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7" w:name="fig-pressure"/>
          <w:p>
            <w:pPr>
              <w:pStyle w:val="Compact"/>
              <w:jc w:val="center"/>
            </w:pPr>
            <w:r>
              <w:drawing>
                <wp:inline>
                  <wp:extent cx="4620126" cy="3696101"/>
                  <wp:effectExtent b="0" l="0" r="0" t="0"/>
                  <wp:docPr descr="" title="" id="75" name="Picture"/>
                  <a:graphic>
                    <a:graphicData uri="http://schemas.openxmlformats.org/drawingml/2006/picture">
                      <pic:pic>
                        <pic:nvPicPr>
                          <pic:cNvPr descr="content/figures_and_tables_files/figure-docx/fig-pressure-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Plot of pressure</w:t>
            </w:r>
          </w:p>
          <w:bookmarkEnd w:id="77"/>
        </w:tc>
      </w:tr>
    </w:tbl>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bookmarkEnd w:id="78"/>
    <w:bookmarkStart w:id="80" w:name="including-tables"/>
    <w:p>
      <w:pPr>
        <w:pStyle w:val="Heading2"/>
      </w:pPr>
      <w:r>
        <w:t xml:space="preserve">6.3 Including Tables</w:t>
      </w:r>
    </w:p>
    <w:p>
      <w:pPr>
        <w:pStyle w:val="FirstParagraph"/>
      </w:pPr>
      <w:r>
        <w:t xml:space="preserve">You can also embed tables and reference them with</w:t>
      </w:r>
      <w:r>
        <w:t xml:space="preserve"> </w:t>
      </w:r>
      <w:hyperlink w:anchor="tbl-iris">
        <w:r>
          <w:rPr>
            <w:rStyle w:val="Hyperlink"/>
          </w:rPr>
          <w:t xml:space="preserve">Table 6.1</w:t>
        </w:r>
      </w:hyperlink>
      <w:r>
        <w:t xml:space="preserve">.</w:t>
      </w:r>
    </w:p>
    <w:p>
      <w:pPr>
        <w:pStyle w:val="SourceCode"/>
      </w:pPr>
      <w:r>
        <w:rPr>
          <w:rStyle w:val="FunctionTok"/>
        </w:rPr>
        <w:t xml:space="preserve">library</w:t>
      </w:r>
      <w:r>
        <w:rPr>
          <w:rStyle w:val="NormalTok"/>
        </w:rPr>
        <w:t xml:space="preserve">(knitr)</w:t>
      </w:r>
      <w:r>
        <w:br/>
      </w:r>
      <w:r>
        <w:rPr>
          <w:rStyle w:val="FunctionTok"/>
        </w:rPr>
        <w:t xml:space="preserve">kable</w:t>
      </w:r>
      <w:r>
        <w:rPr>
          <w:rStyle w:val="NormalTok"/>
        </w:rPr>
        <w:t xml:space="preserve">(</w:t>
      </w:r>
      <w:r>
        <w:rPr>
          <w:rStyle w:val="FunctionTok"/>
        </w:rPr>
        <w:t xml:space="preserve">head</w:t>
      </w:r>
      <w:r>
        <w:rPr>
          <w:rStyle w:val="NormalTok"/>
        </w:rPr>
        <w:t xml:space="preserve">(iris))</w:t>
      </w:r>
    </w:p>
    <w:tbl>
      <w:tblPr>
        <w:tblStyle w:val="Table"/>
        <w:tblW w:type="pct" w:w="5000"/>
        <w:tblLayout w:type="fixed"/>
        <w:tblLook w:firstRow="0" w:lastRow="0" w:firstColumn="0" w:lastColumn="0" w:noHBand="0" w:noVBand="0" w:val="0000"/>
      </w:tblPr>
      <w:tblGrid>
        <w:gridCol w:w="7920"/>
      </w:tblGrid>
      <w:tr>
        <w:tc>
          <w:tcPr/>
          <w:bookmarkStart w:id="79" w:name="tbl-iris"/>
          <w:p>
            <w:pPr>
              <w:jc w:val="center"/>
            </w:pPr>
            <w:pPr>
              <w:jc w:val="start"/>
              <w:spacing w:before="200"/>
              <w:pStyle w:val="ImageCaption"/>
            </w:pPr>
            <w:r>
              <w:t xml:space="preserve">Table 6.1: Iris Data</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right"/>
                    <w:jc w:val="center"/>
                  </w:pPr>
                  <w:r>
                    <w:t xml:space="preserve">Sepal.Length</w:t>
                  </w:r>
                </w:p>
              </w:tc>
              <w:tc>
                <w:tcPr/>
                <w:p>
                  <w:pPr>
                    <w:pStyle w:val="Compact"/>
                    <w:jc w:val="right"/>
                    <w:jc w:val="center"/>
                  </w:pPr>
                  <w:r>
                    <w:t xml:space="preserve">Sepal.Width</w:t>
                  </w:r>
                </w:p>
              </w:tc>
              <w:tc>
                <w:tcPr/>
                <w:p>
                  <w:pPr>
                    <w:pStyle w:val="Compact"/>
                    <w:jc w:val="right"/>
                    <w:jc w:val="center"/>
                  </w:pPr>
                  <w:r>
                    <w:t xml:space="preserve">Petal.Length</w:t>
                  </w:r>
                </w:p>
              </w:tc>
              <w:tc>
                <w:tcPr/>
                <w:p>
                  <w:pPr>
                    <w:pStyle w:val="Compact"/>
                    <w:jc w:val="right"/>
                    <w:jc w:val="center"/>
                  </w:pPr>
                  <w:r>
                    <w:t xml:space="preserve">Petal.Width</w:t>
                  </w:r>
                </w:p>
              </w:tc>
              <w:tc>
                <w:tcPr/>
                <w:p>
                  <w:pPr>
                    <w:pStyle w:val="Compact"/>
                    <w:jc w:val="left"/>
                    <w:jc w:val="center"/>
                  </w:pPr>
                  <w:r>
                    <w:t xml:space="preserve">Species</w:t>
                  </w:r>
                </w:p>
              </w:tc>
            </w:tr>
            <w:tr>
              <w:tc>
                <w:tcPr/>
                <w:p>
                  <w:pPr>
                    <w:pStyle w:val="Compact"/>
                    <w:jc w:val="right"/>
                    <w:jc w:val="center"/>
                  </w:pPr>
                  <w:r>
                    <w:t xml:space="preserve">5.1</w:t>
                  </w:r>
                </w:p>
              </w:tc>
              <w:tc>
                <w:tcPr/>
                <w:p>
                  <w:pPr>
                    <w:pStyle w:val="Compact"/>
                    <w:jc w:val="right"/>
                    <w:jc w:val="center"/>
                  </w:pPr>
                  <w:r>
                    <w:t xml:space="preserve">3.5</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4.9</w:t>
                  </w:r>
                </w:p>
              </w:tc>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4.7</w:t>
                  </w:r>
                </w:p>
              </w:tc>
              <w:tc>
                <w:tcPr/>
                <w:p>
                  <w:pPr>
                    <w:pStyle w:val="Compact"/>
                    <w:jc w:val="right"/>
                    <w:jc w:val="center"/>
                  </w:pPr>
                  <w:r>
                    <w:t xml:space="preserve">3.2</w:t>
                  </w:r>
                </w:p>
              </w:tc>
              <w:tc>
                <w:tcPr/>
                <w:p>
                  <w:pPr>
                    <w:pStyle w:val="Compact"/>
                    <w:jc w:val="right"/>
                    <w:jc w:val="center"/>
                  </w:pPr>
                  <w:r>
                    <w:t xml:space="preserve">1.3</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4.6</w:t>
                  </w:r>
                </w:p>
              </w:tc>
              <w:tc>
                <w:tcPr/>
                <w:p>
                  <w:pPr>
                    <w:pStyle w:val="Compact"/>
                    <w:jc w:val="right"/>
                    <w:jc w:val="center"/>
                  </w:pPr>
                  <w:r>
                    <w:t xml:space="preserve">3.1</w:t>
                  </w:r>
                </w:p>
              </w:tc>
              <w:tc>
                <w:tcPr/>
                <w:p>
                  <w:pPr>
                    <w:pStyle w:val="Compact"/>
                    <w:jc w:val="right"/>
                    <w:jc w:val="center"/>
                  </w:pPr>
                  <w:r>
                    <w:t xml:space="preserve">1.5</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5.0</w:t>
                  </w:r>
                </w:p>
              </w:tc>
              <w:tc>
                <w:tcPr/>
                <w:p>
                  <w:pPr>
                    <w:pStyle w:val="Compact"/>
                    <w:jc w:val="right"/>
                    <w:jc w:val="center"/>
                  </w:pPr>
                  <w:r>
                    <w:t xml:space="preserve">3.6</w:t>
                  </w:r>
                </w:p>
              </w:tc>
              <w:tc>
                <w:tcPr/>
                <w:p>
                  <w:pPr>
                    <w:pStyle w:val="Compact"/>
                    <w:jc w:val="right"/>
                    <w:jc w:val="center"/>
                  </w:pPr>
                  <w:r>
                    <w:t xml:space="preserve">1.4</w:t>
                  </w:r>
                </w:p>
              </w:tc>
              <w:tc>
                <w:tcPr/>
                <w:p>
                  <w:pPr>
                    <w:pStyle w:val="Compact"/>
                    <w:jc w:val="right"/>
                    <w:jc w:val="center"/>
                  </w:pPr>
                  <w:r>
                    <w:t xml:space="preserve">0.2</w:t>
                  </w:r>
                </w:p>
              </w:tc>
              <w:tc>
                <w:tcPr/>
                <w:p>
                  <w:pPr>
                    <w:pStyle w:val="Compact"/>
                    <w:jc w:val="left"/>
                    <w:jc w:val="center"/>
                  </w:pPr>
                  <w:r>
                    <w:t xml:space="preserve">setosa</w:t>
                  </w:r>
                </w:p>
              </w:tc>
            </w:tr>
            <w:tr>
              <w:tc>
                <w:tcPr/>
                <w:p>
                  <w:pPr>
                    <w:pStyle w:val="Compact"/>
                    <w:jc w:val="right"/>
                    <w:jc w:val="center"/>
                  </w:pPr>
                  <w:r>
                    <w:t xml:space="preserve">5.4</w:t>
                  </w:r>
                </w:p>
              </w:tc>
              <w:tc>
                <w:tcPr/>
                <w:p>
                  <w:pPr>
                    <w:pStyle w:val="Compact"/>
                    <w:jc w:val="right"/>
                    <w:jc w:val="center"/>
                  </w:pPr>
                  <w:r>
                    <w:t xml:space="preserve">3.9</w:t>
                  </w:r>
                </w:p>
              </w:tc>
              <w:tc>
                <w:tcPr/>
                <w:p>
                  <w:pPr>
                    <w:pStyle w:val="Compact"/>
                    <w:jc w:val="right"/>
                    <w:jc w:val="center"/>
                  </w:pPr>
                  <w:r>
                    <w:t xml:space="preserve">1.7</w:t>
                  </w:r>
                </w:p>
              </w:tc>
              <w:tc>
                <w:tcPr/>
                <w:p>
                  <w:pPr>
                    <w:pStyle w:val="Compact"/>
                    <w:jc w:val="right"/>
                    <w:jc w:val="center"/>
                  </w:pPr>
                  <w:r>
                    <w:t xml:space="preserve">0.4</w:t>
                  </w:r>
                </w:p>
              </w:tc>
              <w:tc>
                <w:tcPr/>
                <w:p>
                  <w:pPr>
                    <w:pStyle w:val="Compact"/>
                    <w:jc w:val="left"/>
                    <w:jc w:val="center"/>
                  </w:pPr>
                  <w:r>
                    <w:t xml:space="preserve">setosa</w:t>
                  </w:r>
                </w:p>
              </w:tc>
            </w:tr>
          </w:tbl>
          <w:bookmarkEnd w:id="79"/>
          <w:p/>
        </w:tc>
      </w:tr>
    </w:tbl>
    <w:bookmarkEnd w:id="80"/>
    <w:bookmarkEnd w:id="81"/>
    <w:bookmarkStart w:id="84" w:name="rendering-with-code"/>
    <w:p>
      <w:pPr>
        <w:pStyle w:val="Heading1"/>
      </w:pPr>
      <w:r>
        <w:t xml:space="preserve">7. Rendering with Code</w:t>
      </w:r>
    </w:p>
    <w:p>
      <w:pPr>
        <w:pStyle w:val="FirstParagraph"/>
      </w:pPr>
      <w:r>
        <w:t xml:space="preserve">You can have code (R, Python or Julia) in your qmd file. You will need to have these installed on your local computer, but presumably you do already if you are adding code to your qmd files.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15</w:t>
      </w:r>
      <w:r>
        <w:rPr>
          <w:rStyle w:val="NormalTok"/>
        </w:rPr>
        <w:t xml:space="preserve">, </w:t>
      </w:r>
      <w:r>
        <w:rPr>
          <w:rStyle w:val="DecValTok"/>
        </w:rPr>
        <w:t xml:space="preserve">25</w:t>
      </w:r>
      <w:r>
        <w:rPr>
          <w:rStyle w:val="NormalTok"/>
        </w:rPr>
        <w:t xml:space="preserve">, </w:t>
      </w:r>
      <w:r>
        <w:rPr>
          <w:rStyle w:val="DecValTok"/>
        </w:rPr>
        <w:t xml:space="preserve">35</w:t>
      </w:r>
      <w:r>
        <w:rPr>
          <w:rStyle w:val="NormalTok"/>
        </w:rPr>
        <w:t xml:space="preserve">, </w:t>
      </w:r>
      <w:r>
        <w:rPr>
          <w:rStyle w:val="DecValTok"/>
        </w:rPr>
        <w:t xml:space="preserve">45</w:t>
      </w:r>
      <w:r>
        <w:rPr>
          <w:rStyle w:val="NormalTok"/>
        </w:rPr>
        <w:t xml:space="preserve">, </w:t>
      </w:r>
      <w:r>
        <w:rPr>
          <w:rStyle w:val="DecValTok"/>
        </w:rPr>
        <w:t xml:space="preserve">55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14</w:t>
      </w:r>
      <w:r>
        <w:rPr>
          <w:rStyle w:val="NormalTok"/>
        </w:rPr>
        <w:t xml:space="preserve">, </w:t>
      </w:r>
      <w:r>
        <w:rPr>
          <w:rStyle w:val="DecValTok"/>
        </w:rPr>
        <w:t xml:space="preserve">32</w:t>
      </w:r>
      <w:r>
        <w:rPr>
          <w:rStyle w:val="NormalTok"/>
        </w:rPr>
        <w:t xml:space="preserve">, </w:t>
      </w:r>
      <w:r>
        <w:rPr>
          <w:rStyle w:val="DecValTok"/>
        </w:rPr>
        <w:t xml:space="preserve">22</w:t>
      </w:r>
      <w:r>
        <w:rPr>
          <w:rStyle w:val="NormalTok"/>
        </w:rPr>
        <w:t xml:space="preserve">, </w:t>
      </w:r>
      <w:r>
        <w:rPr>
          <w:rStyle w:val="DecValTok"/>
        </w:rPr>
        <w:t xml:space="preserve">38</w:t>
      </w:r>
      <w:r>
        <w:rPr>
          <w:rStyle w:val="NormalTok"/>
        </w:rPr>
        <w:t xml:space="preserve">)</w:t>
      </w:r>
      <w:r>
        <w:br/>
      </w:r>
      <w:r>
        <w:rPr>
          <w:rStyle w:val="FunctionTok"/>
        </w:rPr>
        <w:t xml:space="preserve">lm</w:t>
      </w:r>
      <w:r>
        <w:rPr>
          <w:rStyle w:val="NormalTok"/>
        </w:rPr>
        <w:t xml:space="preserve">(x </w:t>
      </w:r>
      <w:r>
        <w:rPr>
          <w:rStyle w:val="SpecialCharTok"/>
        </w:rPr>
        <w:t xml:space="preserve">~</w:t>
      </w:r>
      <w:r>
        <w:rPr>
          <w:rStyle w:val="NormalTok"/>
        </w:rPr>
        <w:t xml:space="preserve"> y)</w:t>
      </w:r>
    </w:p>
    <w:p>
      <w:pPr>
        <w:pStyle w:val="SourceCode"/>
      </w:pPr>
      <w:r>
        <w:br/>
      </w:r>
      <w:r>
        <w:rPr>
          <w:rStyle w:val="VerbatimChar"/>
        </w:rPr>
        <w:t xml:space="preserve">Call:</w:t>
      </w:r>
      <w:r>
        <w:br/>
      </w:r>
      <w:r>
        <w:rPr>
          <w:rStyle w:val="VerbatimChar"/>
        </w:rPr>
        <w:t xml:space="preserve">lm(formula = x ~ y)</w:t>
      </w:r>
      <w:r>
        <w:br/>
      </w:r>
      <w:r>
        <w:br/>
      </w:r>
      <w:r>
        <w:rPr>
          <w:rStyle w:val="VerbatimChar"/>
        </w:rPr>
        <w:t xml:space="preserve">Coefficients:</w:t>
      </w:r>
      <w:r>
        <w:br/>
      </w:r>
      <w:r>
        <w:rPr>
          <w:rStyle w:val="VerbatimChar"/>
        </w:rPr>
        <w:t xml:space="preserve">(Intercept)            y  </w:t>
      </w:r>
      <w:r>
        <w:br/>
      </w:r>
      <w:r>
        <w:rPr>
          <w:rStyle w:val="VerbatimChar"/>
        </w:rPr>
        <w:t xml:space="preserve">      1.056        1.326  </w:t>
      </w:r>
    </w:p>
    <w:bookmarkStart w:id="82" w:name="modify-the-github-action"/>
    <w:p>
      <w:pPr>
        <w:pStyle w:val="Heading2"/>
      </w:pPr>
      <w:r>
        <w:t xml:space="preserve">7.1 Modify the GitHub Action</w:t>
      </w:r>
    </w:p>
    <w:p>
      <w:pPr>
        <w:pStyle w:val="FirstParagraph"/>
      </w:pPr>
      <w:r>
        <w:t xml:space="preserve">You will need to change the GitHub Action in</w:t>
      </w:r>
      <w:r>
        <w:t xml:space="preserve"> </w:t>
      </w:r>
      <w:r>
        <w:rPr>
          <w:rStyle w:val="VerbatimChar"/>
        </w:rPr>
        <w:t xml:space="preserve">.github/workflows</w:t>
      </w:r>
      <w:r>
        <w:t xml:space="preserve"> </w:t>
      </w:r>
      <w:r>
        <w:t xml:space="preserve">to install these and any needed packages in order for GitHub to be able to render your webpage. The GitHub Action install R since I used that in</w:t>
      </w:r>
      <w:r>
        <w:t xml:space="preserve"> </w:t>
      </w:r>
      <w:r>
        <w:rPr>
          <w:rStyle w:val="VerbatimChar"/>
        </w:rPr>
        <w:t xml:space="preserve">code.qmd</w:t>
      </w:r>
      <w:r>
        <w:t xml:space="preserve">. If you use Python or Julia instead, then you will need to update the GitHub Action to install those.</w:t>
      </w:r>
    </w:p>
    <w:p>
      <w:pPr>
        <w:pStyle w:val="BodyText"/>
      </w:pPr>
      <w:r>
        <w:t xml:space="preserve">If getting the GitHub Action to work is too much hassle (and that definitely happens), you can alway render locally and publish to the</w:t>
      </w:r>
      <w:r>
        <w:t xml:space="preserve"> </w:t>
      </w:r>
      <w:r>
        <w:rPr>
          <w:rStyle w:val="VerbatimChar"/>
        </w:rPr>
        <w:t xml:space="preserve">gh-pages</w:t>
      </w:r>
      <w:r>
        <w:t xml:space="preserve"> </w:t>
      </w:r>
      <w:r>
        <w:t xml:space="preserve">branch. If you do this, make sure to delete or rename the GitHub Action to something like</w:t>
      </w:r>
    </w:p>
    <w:p>
      <w:pPr>
        <w:pStyle w:val="SourceCode"/>
      </w:pPr>
      <w:r>
        <w:rPr>
          <w:rStyle w:val="VerbatimChar"/>
        </w:rPr>
        <w:t xml:space="preserve">render-and-publish.old_yml</w:t>
      </w:r>
    </w:p>
    <w:p>
      <w:pPr>
        <w:pStyle w:val="FirstParagraph"/>
      </w:pPr>
      <w:r>
        <w:t xml:space="preserve">so GitHub does not keep trying to run it. Nothing bad will happen if you don’t do this, but if you are not using the action (because it keeps failing), then you don’t need GitHub to run it.</w:t>
      </w:r>
    </w:p>
    <w:bookmarkEnd w:id="82"/>
    <w:bookmarkStart w:id="83" w:name="Xdf814e872f4053be69b75e0c2edcd5f91cea468"/>
    <w:p>
      <w:pPr>
        <w:pStyle w:val="Heading2"/>
      </w:pPr>
      <w:r>
        <w:t xml:space="preserve">7.2 Render locally and publish to gh-pages branch</w:t>
      </w:r>
    </w:p>
    <w:p>
      <w:pPr>
        <w:pStyle w:val="FirstParagraph"/>
      </w:pPr>
      <w:r>
        <w:t xml:space="preserve">To render locally and push up to the</w:t>
      </w:r>
      <w:r>
        <w:t xml:space="preserve"> </w:t>
      </w:r>
      <w:r>
        <w:rPr>
          <w:rStyle w:val="VerbatimChar"/>
        </w:rPr>
        <w:t xml:space="preserve">gh-pages</w:t>
      </w:r>
      <w:r>
        <w:t xml:space="preserve"> </w:t>
      </w:r>
      <w:r>
        <w:t xml:space="preserve">branch, open a terminal window and then</w:t>
      </w:r>
      <w:r>
        <w:t xml:space="preserve"> </w:t>
      </w:r>
      <w:r>
        <w:rPr>
          <w:rStyle w:val="VerbatimChar"/>
        </w:rPr>
        <w:t xml:space="preserve">cd</w:t>
      </w:r>
      <w:r>
        <w:t xml:space="preserve"> </w:t>
      </w:r>
      <w:r>
        <w:t xml:space="preserve">to the directory with the Quarto project. Type this in the terminal:</w:t>
      </w:r>
    </w:p>
    <w:p>
      <w:pPr>
        <w:pStyle w:val="SourceCode"/>
      </w:pPr>
      <w:r>
        <w:rPr>
          <w:rStyle w:val="VerbatimChar"/>
        </w:rPr>
        <w:t xml:space="preserve">quarto render gh-pages</w:t>
      </w:r>
    </w:p>
    <w:bookmarkEnd w:id="83"/>
    <w:bookmarkEnd w:id="84"/>
    <w:bookmarkStart w:id="86" w:name="references"/>
    <w:p>
      <w:pPr>
        <w:pStyle w:val="Heading1"/>
      </w:pPr>
      <w:r>
        <w:t xml:space="preserve">8. References</w:t>
      </w:r>
    </w:p>
    <w:p>
      <w:pPr>
        <w:pStyle w:val="FirstParagraph"/>
      </w:pPr>
      <w:r>
        <w:t xml:space="preserve">Quarto has powerful references functionality. You can easily insert citations from Zotero libraries that you maintain in the cloud (on Zotero). This allows the whole team to update the library and you can sync up to that library. Read about this on the Quarto documentation on</w:t>
      </w:r>
      <w:r>
        <w:t xml:space="preserve"> </w:t>
      </w:r>
      <w:hyperlink r:id="rId85">
        <w:r>
          <w:rPr>
            <w:rStyle w:val="Hyperlink"/>
          </w:rPr>
          <w:t xml:space="preserve">citations</w:t>
        </w:r>
      </w:hyperlink>
      <w:r>
        <w:t xml:space="preserve">. Google youtube videos on this also to see it in action.</w:t>
      </w:r>
    </w:p>
    <w:p>
      <w:pPr>
        <w:pStyle w:val="BodyText"/>
      </w:pPr>
      <w:r>
        <w:t xml:space="preserve">Add a</w:t>
      </w:r>
      <w:r>
        <w:t xml:space="preserve"> </w:t>
      </w:r>
      <w:r>
        <w:rPr>
          <w:rStyle w:val="VerbatimChar"/>
        </w:rPr>
        <w:t xml:space="preserve">.bib</w:t>
      </w:r>
      <w:r>
        <w:t xml:space="preserve"> </w:t>
      </w:r>
      <w:r>
        <w:t xml:space="preserve">file in to your project or add a linked Zotero library via RStudio in Visual mode with Tools &gt; Project Options… &gt; R Markdown &gt; select custom libraries from the Zotero dropdown.</w:t>
      </w:r>
    </w:p>
    <w:p>
      <w:pPr>
        <w:pStyle w:val="BodyText"/>
      </w:pPr>
      <w:r>
        <w:t xml:space="preserve">The you can type</w:t>
      </w:r>
      <w:r>
        <w:t xml:space="preserve"> </w:t>
      </w:r>
      <w:r>
        <w:rPr>
          <w:rStyle w:val="VerbatimChar"/>
        </w:rPr>
        <w:t xml:space="preserve">@</w:t>
      </w:r>
      <w:r>
        <w:t xml:space="preserve"> </w:t>
      </w:r>
      <w:r>
        <w:t xml:space="preserve">and you will see a dropdown of the references in your libraries. You can then select the ones to add. If you don’t see the one you need, you can paste in the DOI and it will be added to your references file (with all the info). The references will be added to your references section of your book automatically.</w:t>
      </w:r>
    </w:p>
    <w:p>
      <w:pPr>
        <w:pStyle w:val="BodyText"/>
      </w:pPr>
      <w:r>
        <w:t xml:space="preserve">See the</w:t>
      </w:r>
      <w:r>
        <w:t xml:space="preserve"> </w:t>
      </w:r>
      <w:r>
        <w:rPr>
          <w:rStyle w:val="VerbatimChar"/>
        </w:rPr>
        <w:t xml:space="preserve">references.qmd</w:t>
      </w:r>
      <w:r>
        <w:t xml:space="preserve"> </w:t>
      </w:r>
      <w:r>
        <w:t xml:space="preserve">file for how to include the references.</w:t>
      </w:r>
    </w:p>
    <w:p>
      <w:pPr>
        <w:numPr>
          <w:ilvl w:val="0"/>
          <w:numId w:val="1005"/>
        </w:numPr>
      </w:pPr>
      <w:r>
        <w:rPr>
          <w:rStyle w:val="VerbatimChar"/>
        </w:rPr>
        <w:t xml:space="preserve">@ansley1981</w:t>
      </w:r>
      <w:r>
        <w:t xml:space="preserve"> </w:t>
      </w:r>
      <w:r>
        <w:t xml:space="preserve">will produce</w:t>
      </w:r>
      <w:r>
        <w:t xml:space="preserve"> </w:t>
      </w:r>
      <w:r>
        <w:t xml:space="preserve">Ansley and Davis (1981)</w:t>
      </w:r>
    </w:p>
    <w:p>
      <w:pPr>
        <w:numPr>
          <w:ilvl w:val="0"/>
          <w:numId w:val="1005"/>
        </w:numPr>
      </w:pPr>
      <w:r>
        <w:rPr>
          <w:rStyle w:val="VerbatimChar"/>
        </w:rPr>
        <w:t xml:space="preserve">[@ansley1981]</w:t>
      </w:r>
      <w:r>
        <w:t xml:space="preserve"> </w:t>
      </w:r>
      <w:r>
        <w:t xml:space="preserve">will produce</w:t>
      </w:r>
      <w:r>
        <w:t xml:space="preserve"> </w:t>
      </w:r>
      <w:r>
        <w:t xml:space="preserve">(Ansley and Davis 1981)</w:t>
      </w:r>
      <w:r>
        <w:t xml:space="preserve">.</w:t>
      </w:r>
    </w:p>
    <w:bookmarkEnd w:id="86"/>
    <w:bookmarkStart w:id="89" w:name="references-1"/>
    <w:p>
      <w:pPr>
        <w:pStyle w:val="Heading1"/>
      </w:pPr>
      <w:r>
        <w:t xml:space="preserve">References</w:t>
      </w:r>
    </w:p>
    <w:bookmarkStart w:id="88" w:name="refs"/>
    <w:bookmarkStart w:id="8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87"/>
    <w:bookmarkEnd w:id="88"/>
    <w:bookmarkEnd w:id="89"/>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4" Target="media/rId74.png" /><Relationship Type="http://schemas.openxmlformats.org/officeDocument/2006/relationships/image" Id="rId29" Target="media/rId29.png" /><Relationship Type="http://schemas.openxmlformats.org/officeDocument/2006/relationships/image" Id="rId62" Target="media/rId62.jpg" /><Relationship Type="http://schemas.openxmlformats.org/officeDocument/2006/relationships/image" Id="rId32" Target="media/rId32.png" /><Relationship Type="http://schemas.openxmlformats.org/officeDocument/2006/relationships/image" Id="rId41" Target="media/rId41.jpg" /><Relationship Type="http://schemas.openxmlformats.org/officeDocument/2006/relationships/hyperlink" Id="rId49" Target="file:///C:/Users/alice.beittel/Downloads/2024Renfree.docx#_bookmark7" TargetMode="External" /><Relationship Type="http://schemas.openxmlformats.org/officeDocument/2006/relationships/hyperlink" Id="rId72" Target="http://rmarkdown.rstudio.com"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5" Target="https://quarto.org/docs/visual-editor/technical.html#citations"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49" Target="file:///C:/Users/alice.beittel/Downloads/2024Renfree.docx#_bookmark7" TargetMode="External" /><Relationship Type="http://schemas.openxmlformats.org/officeDocument/2006/relationships/hyperlink" Id="rId72" Target="http://rmarkdown.rstudio.com" TargetMode="External" /><Relationship Type="http://schemas.openxmlformats.org/officeDocument/2006/relationships/hyperlink" Id="rId61" Target="https://github.com/kstierhoff/estimATM" TargetMode="External" /><Relationship Type="http://schemas.openxmlformats.org/officeDocument/2006/relationships/hyperlink" Id="rId21" Target="https://github.com/nmfs-swfsc-ast/echo-class/issues" TargetMode="External" /><Relationship Type="http://schemas.openxmlformats.org/officeDocument/2006/relationships/hyperlink" Id="rId85" Target="https://quarto.org/docs/visual-editor/technical.html#citations"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2024-11-22T00:00:26Z</dcterms:created>
  <dcterms:modified xsi:type="dcterms:W3CDTF">2024-11-22T00:00:26Z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