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4.jpg" ContentType="image/jpeg"/>
  <Override PartName="/word/media/rId29.png" ContentType="image/png"/>
  <Override PartName="/word/media/rId67.jpg" ContentType="image/jpeg"/>
  <Override PartName="/word/media/rId32.png" ContentType="image/png"/>
  <Override PartName="/word/media/rId76.jpg" ContentType="image/jpeg"/>
  <Override PartName="/word/media/rId79.jpg" ContentType="image/jpeg"/>
  <Override PartName="/word/media/rId63.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2024-12-10 00:13:53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forage-fish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5" w:name="data-acquisition"/>
    <w:p>
      <w:pPr>
        <w:pStyle w:val="Heading1"/>
      </w:pPr>
      <w:r>
        <w:t xml:space="preserve">2. Data Acquisition</w:t>
      </w:r>
    </w:p>
    <w:bookmarkStart w:id="47" w:name="survey-equipment"/>
    <w:p>
      <w:pPr>
        <w:pStyle w:val="Heading2"/>
      </w:pPr>
      <w:r>
        <w:t xml:space="preserve">2.1 Survey Equipment</w:t>
      </w:r>
    </w:p>
    <w:bookmarkStart w:id="45" w:name="acoustic-instruments"/>
    <w:p>
      <w:pPr>
        <w:pStyle w:val="Heading3"/>
      </w:pPr>
      <w:r>
        <w:t xml:space="preserve">2.1.1 Acoustic Instruments</w:t>
      </w:r>
    </w:p>
    <w:tbl>
      <w:tblPr>
        <w:tblStyle w:val="Table"/>
        <w:tblW w:type="pct" w:w="5000"/>
        <w:tblLayout w:type="fixed"/>
        <w:tblLook w:firstRow="0" w:lastRow="0" w:firstColumn="0" w:lastColumn="0" w:noHBand="0" w:noVBand="0" w:val="0000"/>
      </w:tblPr>
      <w:tblGrid>
        <w:gridCol w:w="7920"/>
      </w:tblGrid>
      <w:tr>
        <w:tc>
          <w:tcPr/>
          <w:bookmarkStart w:id="44" w:name="fig-transducers"/>
          <w:p>
            <w:pPr>
              <w:pStyle w:val="Compact"/>
              <w:jc w:val="left"/>
            </w:pPr>
            <w:r>
              <w:drawing>
                <wp:inline>
                  <wp:extent cx="5895975" cy="3028950"/>
                  <wp:effectExtent b="0" l="0" r="0" t="0"/>
                  <wp:docPr desc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Transducer locations on the bottom of the centerboard aboard Lasker.</w:t>
            </w:r>
          </w:p>
          <w:bookmarkEnd w:id="4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2.1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5"/>
    <w:bookmarkStart w:id="46"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46"/>
    <w:bookmarkEnd w:id="47"/>
    <w:bookmarkStart w:id="53" w:name="software"/>
    <w:p>
      <w:pPr>
        <w:pStyle w:val="Heading2"/>
      </w:pPr>
      <w:r>
        <w:t xml:space="preserve">2.2 Software</w:t>
      </w:r>
    </w:p>
    <w:bookmarkStart w:id="48" w:name="echosounder-software"/>
    <w:p>
      <w:pPr>
        <w:pStyle w:val="Heading3"/>
      </w:pPr>
      <w:r>
        <w:t xml:space="preserve">2.2.1 Echosounder Software</w:t>
      </w:r>
    </w:p>
    <w:p>
      <w:pPr>
        <w:pStyle w:val="FirstParagraph"/>
      </w:pPr>
      <w:r>
        <w:t xml:space="preserve">EK80</w:t>
      </w:r>
    </w:p>
    <w:bookmarkEnd w:id="48"/>
    <w:bookmarkStart w:id="49"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9"/>
    <w:bookmarkStart w:id="51" w:name="eal"/>
    <w:p>
      <w:pPr>
        <w:pStyle w:val="Heading3"/>
      </w:pPr>
      <w:r>
        <w:t xml:space="preserve">2.2.3 EAL</w:t>
      </w:r>
    </w:p>
    <w:p>
      <w:pPr>
        <w:pStyle w:val="FirstParagraph"/>
      </w:pPr>
      <w:r>
        <w:t xml:space="preserve">The 38-, 70-, 120-, 200-, and 333-kHz echosounders were controlled by the EK80 Adaptive Logger (EAL</w:t>
      </w:r>
      <w:hyperlink r:id="rId5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1"/>
    <w:bookmarkStart w:id="52"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52"/>
    <w:bookmarkEnd w:id="53"/>
    <w:bookmarkStart w:id="54"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54"/>
    <w:bookmarkEnd w:id="55"/>
    <w:bookmarkStart w:id="57" w:name="data-workflow"/>
    <w:p>
      <w:pPr>
        <w:pStyle w:val="Heading1"/>
      </w:pPr>
      <w:r>
        <w:t xml:space="preserve">3. Data Workflow</w:t>
      </w:r>
    </w:p>
    <w:bookmarkStart w:id="56" w:name="X1e8b470d06c1be8e9e529a5172bdd50e76d24e0"/>
    <w:p>
      <w:pPr>
        <w:pStyle w:val="Heading3"/>
      </w:pPr>
      <w:r>
        <w:t xml:space="preserve">3.0.1 Data pipeline from boat to shore to report</w:t>
      </w:r>
    </w:p>
    <w:bookmarkEnd w:id="56"/>
    <w:bookmarkEnd w:id="57"/>
    <w:bookmarkStart w:id="61" w:name="data-preparation"/>
    <w:p>
      <w:pPr>
        <w:pStyle w:val="Heading1"/>
      </w:pPr>
      <w:r>
        <w:t xml:space="preserve">4. Data Preparation</w:t>
      </w:r>
    </w:p>
    <w:bookmarkStart w:id="60" w:name="select-regions-of-interest"/>
    <w:p>
      <w:pPr>
        <w:pStyle w:val="Heading3"/>
      </w:pPr>
      <w:r>
        <w:t xml:space="preserve">4.0.1 Select regions of interest</w:t>
      </w:r>
    </w:p>
    <w:bookmarkStart w:id="58" w:name="select-data-on-transect-lines"/>
    <w:p>
      <w:pPr>
        <w:pStyle w:val="Heading4"/>
      </w:pPr>
      <w:r>
        <w:t xml:space="preserve">4.0.1.1 Select data on transect lines</w:t>
      </w:r>
    </w:p>
    <w:bookmarkEnd w:id="58"/>
    <w:bookmarkStart w:id="59" w:name="integration-stop-and-start-lines"/>
    <w:p>
      <w:pPr>
        <w:pStyle w:val="Heading4"/>
      </w:pPr>
      <w:r>
        <w:t xml:space="preserve">4.0.1.2 Integration stop and start lines</w:t>
      </w:r>
    </w:p>
    <w:bookmarkEnd w:id="59"/>
    <w:bookmarkEnd w:id="60"/>
    <w:bookmarkEnd w:id="61"/>
    <w:bookmarkStart w:id="83"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2">
        <w:r>
          <w:rPr>
            <w:rStyle w:val="Hyperlink"/>
          </w:rPr>
          <w:t xml:space="preserve">repository</w:t>
        </w:r>
      </w:hyperlink>
      <w:r>
        <w:t xml:space="preserve">. With Echoview, we extract all non-seabed backscatter and backscatter of swim bladder fish. The Echoview filters and thresholds were based on a subsample of echoes from randomly selected CPS schools. The aim of the filter criteria is to retain at least 95% of the noise-free backscatter from CPS while rejecting at least 95% of the non-CPS backscatter.With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we keep only the CPS backscatter and remove non-CPS backscatter.</w:t>
      </w:r>
    </w:p>
    <w:bookmarkStart w:id="66" w:name="data-processing-overview"/>
    <w:p>
      <w:pPr>
        <w:pStyle w:val="Heading3"/>
      </w:pPr>
      <w:r>
        <w:t xml:space="preserve">5.0.1 Data Processing Overview</w:t>
      </w:r>
    </w:p>
    <w:p>
      <w:pPr>
        <w:pStyle w:val="CaptionedFigure"/>
      </w:pPr>
      <w:r>
        <w:drawing>
          <wp:inline>
            <wp:extent cx="5943600" cy="5260889"/>
            <wp:effectExtent b="0" l="0" r="0" t="0"/>
            <wp:docPr descr="Overview of CPS Acoustic Processing" title="" id="64" name="Picture"/>
            <a:graphic>
              <a:graphicData uri="http://schemas.openxmlformats.org/drawingml/2006/picture">
                <pic:pic>
                  <pic:nvPicPr>
                    <pic:cNvPr descr="content/images/processing-overview.JPG" id="65" name="Picture"/>
                    <pic:cNvPicPr>
                      <a:picLocks noChangeArrowheads="1" noChangeAspect="1"/>
                    </pic:cNvPicPr>
                  </pic:nvPicPr>
                  <pic:blipFill>
                    <a:blip r:embed="rId63"/>
                    <a:stretch>
                      <a:fillRect/>
                    </a:stretch>
                  </pic:blipFill>
                  <pic:spPr bwMode="auto">
                    <a:xfrm>
                      <a:off x="0" y="0"/>
                      <a:ext cx="5943600" cy="5260889"/>
                    </a:xfrm>
                    <a:prstGeom prst="rect">
                      <a:avLst/>
                    </a:prstGeom>
                    <a:noFill/>
                    <a:ln w="9525">
                      <a:noFill/>
                      <a:headEnd/>
                      <a:tailEnd/>
                    </a:ln>
                  </pic:spPr>
                </pic:pic>
              </a:graphicData>
            </a:graphic>
          </wp:inline>
        </w:drawing>
      </w:r>
    </w:p>
    <w:p>
      <w:pPr>
        <w:pStyle w:val="ImageCaption"/>
      </w:pPr>
      <w:r>
        <w:t xml:space="preserve">Overview of CPS Acoustic Processing</w:t>
      </w:r>
    </w:p>
    <w:bookmarkEnd w:id="66"/>
    <w:bookmarkStart w:id="75" w:name="echoview-processing-workflow"/>
    <w:p>
      <w:pPr>
        <w:pStyle w:val="Heading3"/>
      </w:pPr>
      <w:r>
        <w:t xml:space="preserve">5.0.2 Echoview Processing Workflow</w:t>
      </w:r>
    </w:p>
    <w:bookmarkStart w:id="70" w:name="automated-processing-in-echoview"/>
    <w:p>
      <w:pPr>
        <w:pStyle w:val="Heading4"/>
      </w:pPr>
      <w:r>
        <w:t xml:space="preserve">5.0.2.1</w:t>
      </w:r>
      <w:r>
        <w:t xml:space="preserve"> </w:t>
      </w:r>
      <w:r>
        <w:rPr>
          <w:b/>
          <w:bCs/>
          <w:i/>
          <w:iCs/>
        </w:rPr>
        <w:t xml:space="preserve">Automated Processing in Echoview</w:t>
      </w:r>
    </w:p>
    <w:p>
      <w:pPr>
        <w:pStyle w:val="CaptionedFigure"/>
      </w:pPr>
      <w:r>
        <w:drawing>
          <wp:inline>
            <wp:extent cx="5943600" cy="4848192"/>
            <wp:effectExtent b="0" l="0" r="0" t="0"/>
            <wp:docPr descr="Simplified dataflow of processing in Echoview" title="" id="68" name="Picture"/>
            <a:graphic>
              <a:graphicData uri="http://schemas.openxmlformats.org/drawingml/2006/picture">
                <pic:pic>
                  <pic:nvPicPr>
                    <pic:cNvPr descr="content/images/ev-processing.JPG" id="69" name="Picture"/>
                    <pic:cNvPicPr>
                      <a:picLocks noChangeArrowheads="1" noChangeAspect="1"/>
                    </pic:cNvPicPr>
                  </pic:nvPicPr>
                  <pic:blipFill>
                    <a:blip r:embed="rId67"/>
                    <a:stretch>
                      <a:fillRect/>
                    </a:stretch>
                  </pic:blipFill>
                  <pic:spPr bwMode="auto">
                    <a:xfrm>
                      <a:off x="0" y="0"/>
                      <a:ext cx="5943600" cy="4848192"/>
                    </a:xfrm>
                    <a:prstGeom prst="rect">
                      <a:avLst/>
                    </a:prstGeom>
                    <a:noFill/>
                    <a:ln w="9525">
                      <a:noFill/>
                      <a:headEnd/>
                      <a:tailEnd/>
                    </a:ln>
                  </pic:spPr>
                </pic:pic>
              </a:graphicData>
            </a:graphic>
          </wp:inline>
        </w:drawing>
      </w:r>
    </w:p>
    <w:p>
      <w:pPr>
        <w:pStyle w:val="ImageCaption"/>
      </w:pPr>
      <w:r>
        <w:t xml:space="preserve">Simplified dataflow of processing in Echoview</w:t>
      </w:r>
    </w:p>
    <w:bookmarkEnd w:id="70"/>
    <w:bookmarkStart w:id="71"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71"/>
    <w:bookmarkStart w:id="72" w:name="calculate-frequency-response"/>
    <w:p>
      <w:pPr>
        <w:pStyle w:val="Heading4"/>
      </w:pPr>
      <w:r>
        <w:t xml:space="preserve">5.0.2.3 Calculate Frequency Response:</w:t>
      </w:r>
    </w:p>
    <w:p>
      <w:pPr>
        <w:numPr>
          <w:ilvl w:val="0"/>
          <w:numId w:val="1003"/>
        </w:numPr>
      </w:pPr>
      <w:r>
        <w:t xml:space="preserve">For each pixel, compute: Sv,200kHz − Sv,38kHz, Sv,120kHz − Sv,38kHz, and Sv,70kHz − Sv,38kHz;</w:t>
      </w:r>
    </w:p>
    <w:p>
      <w:pPr>
        <w:numPr>
          <w:ilvl w:val="0"/>
          <w:numId w:val="1003"/>
        </w:numPr>
      </w:pPr>
      <w:r>
        <w:t xml:space="preserve">Create a Boolean echogram for Sv differences in the CPS range: −13.85 &lt; Sv,70kHz − Sv,38kHz &lt; 9.89 and − 13.5 &lt; Sv,120kHz − Sv,38kHz &lt; 9.37 and − 13.51 &lt; Sv,200kHz − Sv,38kHz &lt; 12.53</w:t>
      </w:r>
    </w:p>
    <w:bookmarkEnd w:id="72"/>
    <w:bookmarkStart w:id="73" w:name="calculate-standard-deviation"/>
    <w:p>
      <w:pPr>
        <w:pStyle w:val="Heading4"/>
      </w:pPr>
      <w:r>
        <w:t xml:space="preserve">5.0.2.4 Calculate Standard Deviation:</w:t>
      </w:r>
    </w:p>
    <w:p>
      <w:pPr>
        <w:numPr>
          <w:ilvl w:val="0"/>
          <w:numId w:val="1004"/>
        </w:numPr>
      </w:pPr>
      <w:r>
        <w:t xml:space="preserve">For 120 and 200 kHz, compute the squared difference between the noise-filtered Sv (Step 3) and averaged Sv (Step 4)</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w:t>
      </w:r>
    </w:p>
    <w:p>
      <w:pPr>
        <w:numPr>
          <w:ilvl w:val="0"/>
          <w:numId w:val="1004"/>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(Figs. 7c, f );</w:t>
      </w:r>
    </w:p>
    <w:bookmarkEnd w:id="73"/>
    <w:bookmarkStart w:id="74" w:name="manual-processing-in-echoview"/>
    <w:p>
      <w:pPr>
        <w:pStyle w:val="Heading4"/>
      </w:pPr>
      <w:r>
        <w:t xml:space="preserve">5.0.2.5</w:t>
      </w:r>
      <w:r>
        <w:t xml:space="preserve"> </w:t>
      </w:r>
      <w:r>
        <w:rPr>
          <w:b/>
          <w:bCs/>
          <w:i/>
          <w:iCs/>
        </w:rPr>
        <w:t xml:space="preserve">Manual Processing in Echoview</w:t>
      </w:r>
    </w:p>
    <w:p>
      <w:pPr>
        <w:numPr>
          <w:ilvl w:val="0"/>
          <w:numId w:val="1005"/>
        </w:numPr>
      </w:pPr>
      <w:r>
        <w:t xml:space="preserve">Create an integration-start line 5 m below the transducer (~10 m depth);</w:t>
      </w:r>
    </w:p>
    <w:p>
      <w:pPr>
        <w:numPr>
          <w:ilvl w:val="0"/>
          <w:numId w:val="1005"/>
        </w:numPr>
      </w:pPr>
      <w:r>
        <w:t xml:space="preserve">Create an integration-stop line 3 m above the estimated seabed (Demer et al., 2009), or to the maximum logging range (e.g., 350 m), whichever is shallowest;</w:t>
      </w:r>
    </w:p>
    <w:p>
      <w:pPr>
        <w:numPr>
          <w:ilvl w:val="0"/>
          <w:numId w:val="1005"/>
        </w:numPr>
      </w:pPr>
      <w:r>
        <w:t xml:space="preserve">Set the minimum Sv threshold to -60 dB (corresponding to a density of approximately three 20-cm-long Pacific Sardine per 100 m3);</w:t>
      </w:r>
    </w:p>
    <w:p>
      <w:pPr>
        <w:numPr>
          <w:ilvl w:val="0"/>
          <w:numId w:val="1005"/>
        </w:numPr>
      </w:pPr>
      <w:r>
        <w:t xml:space="preserve">Integrate the volume backscattering coefficients (sV , m2 m-3) attributed to CPS over 5-m depths and averaged over 100-m distances;</w:t>
      </w:r>
    </w:p>
    <w:p>
      <w:pPr>
        <w:numPr>
          <w:ilvl w:val="0"/>
          <w:numId w:val="1005"/>
        </w:numPr>
      </w:pPr>
      <w:r>
        <w:t xml:space="preserve">Output the resulting nautical area scattering coefficients (sA; m2 nmi-2) and associated information from each transect and frequency to comma-delimited text (.csv) files.</w:t>
      </w:r>
    </w:p>
    <w:bookmarkEnd w:id="74"/>
    <w:bookmarkEnd w:id="75"/>
    <w:bookmarkStart w:id="82"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7" name="Picture"/>
            <a:graphic>
              <a:graphicData uri="http://schemas.openxmlformats.org/drawingml/2006/picture">
                <pic:pic>
                  <pic:nvPicPr>
                    <pic:cNvPr descr="content/images/nascr_processing.JPG" id="78" name="Picture"/>
                    <pic:cNvPicPr>
                      <a:picLocks noChangeArrowheads="1" noChangeAspect="1"/>
                    </pic:cNvPicPr>
                  </pic:nvPicPr>
                  <pic:blipFill>
                    <a:blip r:embed="rId76"/>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80" name="Picture"/>
            <a:graphic>
              <a:graphicData uri="http://schemas.openxmlformats.org/drawingml/2006/picture">
                <pic:pic>
                  <pic:nvPicPr>
                    <pic:cNvPr descr="content/images/nascr_processing_result.JPG" id="81" name="Picture"/>
                    <pic:cNvPicPr>
                      <a:picLocks noChangeArrowheads="1" noChangeAspect="1"/>
                    </pic:cNvPicPr>
                  </pic:nvPicPr>
                  <pic:blipFill>
                    <a:blip r:embed="rId79"/>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82"/>
    <w:bookmarkEnd w:id="83"/>
    <w:bookmarkStart w:id="88"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5" name="Picture"/>
            <a:graphic>
              <a:graphicData uri="http://schemas.openxmlformats.org/drawingml/2006/picture">
                <pic:pic>
                  <pic:nvPicPr>
                    <pic:cNvPr descr="content/images/backscatter_decision_tree.JPG" id="86" name="Picture"/>
                    <pic:cNvPicPr>
                      <a:picLocks noChangeArrowheads="1" noChangeAspect="1"/>
                    </pic:cNvPicPr>
                  </pic:nvPicPr>
                  <pic:blipFill>
                    <a:blip r:embed="rId84"/>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7">
        <w:r>
          <w:rPr>
            <w:rStyle w:val="Hyperlink"/>
          </w:rPr>
          <w:t xml:space="preserve">this google document</w:t>
        </w:r>
      </w:hyperlink>
      <w:r>
        <w:t xml:space="preserve">.</w:t>
      </w:r>
    </w:p>
    <w:bookmarkEnd w:id="88"/>
    <w:bookmarkStart w:id="89" w:name="biomass-calculation"/>
    <w:p>
      <w:pPr>
        <w:pStyle w:val="Heading1"/>
      </w:pPr>
      <w:r>
        <w:t xml:space="preserve">7. Biomass Calculation</w:t>
      </w:r>
    </w:p>
    <w:bookmarkEnd w:id="8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4" Target="media/rId84.jpg" /><Relationship Type="http://schemas.openxmlformats.org/officeDocument/2006/relationships/image" Id="rId29" Target="media/rId29.png" /><Relationship Type="http://schemas.openxmlformats.org/officeDocument/2006/relationships/image" Id="rId67" Target="media/rId67.jpg" /><Relationship Type="http://schemas.openxmlformats.org/officeDocument/2006/relationships/image" Id="rId32" Target="media/rId32.png" /><Relationship Type="http://schemas.openxmlformats.org/officeDocument/2006/relationships/image" Id="rId76" Target="media/rId76.jpg" /><Relationship Type="http://schemas.openxmlformats.org/officeDocument/2006/relationships/image" Id="rId79" Target="media/rId79.jpg" /><Relationship Type="http://schemas.openxmlformats.org/officeDocument/2006/relationships/image" Id="rId63" Target="media/rId63.jpg" /><Relationship Type="http://schemas.openxmlformats.org/officeDocument/2006/relationships/image" Id="rId41" Target="media/rId41.jpg" /><Relationship Type="http://schemas.openxmlformats.org/officeDocument/2006/relationships/hyperlink" Id="rId50" Target="file:///C:/Users/alice.beittel/Downloads/2024Renfree.docx#_bookmark7" TargetMode="External" /><Relationship Type="http://schemas.openxmlformats.org/officeDocument/2006/relationships/hyperlink" Id="rId87"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0"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50" Target="file:///C:/Users/alice.beittel/Downloads/2024Renfree.docx#_bookmark7" TargetMode="External" /><Relationship Type="http://schemas.openxmlformats.org/officeDocument/2006/relationships/hyperlink" Id="rId87"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0"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2024-12-10T00:14:49Z</dcterms:created>
  <dcterms:modified xsi:type="dcterms:W3CDTF">2024-12-10T00:14:49Z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