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Madamlyn Research Folder</w:t>
      </w:r>
    </w:p>
    <w:p/>
    <w:p>
      <w:r>
        <w:t>This folder contains a curated keynote research pack for the topic "Leadership, Social Impact &amp; Building Businesses That Strengthen Communities" for the 16th World Leaders Summit - UK Chapter 2026 at Keble College, Oxford.</w:t>
      </w:r>
    </w:p>
    <w:p/>
    <w:p>
      <w:r>
        <w:t>The pack currently includes 28 PDFs and 1 HTML snapshot, organized as follows:</w:t>
      </w:r>
    </w:p>
    <w:p/>
    <w:p>
      <w:pPr>
        <w:pStyle w:val="ListBullet"/>
      </w:pPr>
      <w:r>
        <w:rPr>
          <w:rFonts w:ascii="Consolas" w:hAnsi="Consolas"/>
          <w:sz w:val="20"/>
        </w:rPr>
        <w:t>sources/01_event_context</w:t>
      </w:r>
      <w:r>
        <w:t>: summit context and event snapshot.</w:t>
      </w:r>
    </w:p>
    <w:p>
      <w:pPr>
        <w:pStyle w:val="ListBullet"/>
      </w:pPr>
      <w:r>
        <w:rPr>
          <w:rFonts w:ascii="Consolas" w:hAnsi="Consolas"/>
          <w:sz w:val="20"/>
        </w:rPr>
        <w:t>sources/02_frameworks</w:t>
      </w:r>
      <w:r>
        <w:t>: core leadership, inclusive business, stakeholder, social innovation, and systems-change frameworks.</w:t>
      </w:r>
    </w:p>
    <w:p>
      <w:pPr>
        <w:pStyle w:val="ListBullet"/>
      </w:pPr>
      <w:r>
        <w:rPr>
          <w:rFonts w:ascii="Consolas" w:hAnsi="Consolas"/>
          <w:sz w:val="20"/>
        </w:rPr>
        <w:t>sources/03_case_studies</w:t>
      </w:r>
      <w:r>
        <w:t>: community wealth building, social economy, inclusive business, and cooperative model case material.</w:t>
      </w:r>
    </w:p>
    <w:p>
      <w:pPr>
        <w:pStyle w:val="ListBullet"/>
      </w:pPr>
      <w:r>
        <w:rPr>
          <w:rFonts w:ascii="Consolas" w:hAnsi="Consolas"/>
          <w:sz w:val="20"/>
        </w:rPr>
        <w:t>sources/04_local_oxford</w:t>
      </w:r>
      <w:r>
        <w:t>: Oxford and Oxfordshire material for local relevance.</w:t>
      </w:r>
    </w:p>
    <w:p>
      <w:pPr>
        <w:pStyle w:val="ListBullet"/>
      </w:pPr>
      <w:r>
        <w:rPr>
          <w:rFonts w:ascii="Consolas" w:hAnsi="Consolas"/>
          <w:sz w:val="20"/>
        </w:rPr>
        <w:t>notes/keynote_research_brief.md</w:t>
      </w:r>
      <w:r>
        <w:t>: the main synthesis of findings.</w:t>
      </w:r>
    </w:p>
    <w:p>
      <w:pPr>
        <w:pStyle w:val="ListBullet"/>
      </w:pPr>
      <w:r>
        <w:rPr>
          <w:rFonts w:ascii="Consolas" w:hAnsi="Consolas"/>
          <w:sz w:val="20"/>
        </w:rPr>
        <w:t>notes/keynote_outline.md</w:t>
      </w:r>
      <w:r>
        <w:t>: a practical 12-15 minute keynote structure.</w:t>
      </w:r>
    </w:p>
    <w:p>
      <w:pPr>
        <w:pStyle w:val="ListBullet"/>
      </w:pPr>
      <w:r>
        <w:rPr>
          <w:rFonts w:ascii="Consolas" w:hAnsi="Consolas"/>
          <w:sz w:val="20"/>
        </w:rPr>
        <w:t>notes/source_index.md</w:t>
      </w:r>
      <w:r>
        <w:t>: a file-by-file guide with source URLs and suggested use.</w:t>
      </w:r>
    </w:p>
    <w:p/>
    <w:p>
      <w:r>
        <w:t>Selection approach:</w:t>
      </w:r>
    </w:p>
    <w:p/>
    <w:p>
      <w:pPr>
        <w:pStyle w:val="ListBullet"/>
      </w:pPr>
      <w:r>
        <w:t>I prioritized official reports, policy papers, and high-signal practitioner research over general blog posts.</w:t>
      </w:r>
    </w:p>
    <w:p>
      <w:pPr>
        <w:pStyle w:val="ListBullet"/>
      </w:pPr>
      <w:r>
        <w:t>I focused on sources that connect leadership to operating models, jobs, procurement, ownership, partnerships, and measurable community outcomes.</w:t>
      </w:r>
    </w:p>
    <w:p>
      <w:pPr>
        <w:pStyle w:val="ListBullet"/>
      </w:pPr>
      <w:r>
        <w:t>Where a publisher page was unstable, I saved the underlying PDF directly when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