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9.png" ContentType="image/png"/>
  <Override PartName="/word/media/rId44.png" ContentType="image/png"/>
  <Override PartName="/word/media/rId39.png" ContentType="image/png"/>
  <Override PartName="/word/media/rId76.png" ContentType="image/png"/>
  <Override PartName="/word/media/rId80.png" ContentType="image/png"/>
  <Override PartName="/word/media/rId60.png" ContentType="image/png"/>
  <Override PartName="/word/media/rId54.png" ContentType="image/png"/>
  <Override PartName="/word/media/rId70.png" ContentType="image/png"/>
  <Override PartName="/word/media/rId66.png" ContentType="image/png"/>
  <Override PartName="/word/media/image1.jpeg" ContentType="image/jpe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Modellering VeeST: XGBoost, Random Forest en GAM</w:t>
      </w:r>
    </w:p>
    <w:bookmarkStart w:id="29" w:name="inleiding"/>
    <w:p>
      <w:pPr>
        <w:pStyle w:val="Kop1"/>
      </w:pPr>
      <w:r>
        <w:t xml:space="preserve">1. Inleiding</w:t>
      </w:r>
    </w:p>
    <w:p>
      <w:pPr>
        <w:pStyle w:val="FirstParagraph"/>
      </w:pPr>
      <w:r>
        <w:t xml:space="preserve">Dit rapport beschrijft de resultaten van de modelleringsanalyse uitgevoerd binnen het VeeST-project (Veenweiden Sloot van de Toekomst). Het doel van de modellering is het kwantificeren van de relaties tussen abiotische en beheersvariabelen enerzijds en ecologische wensbeeldparameters anderzijds — met als eindperspectief het kunnen sturen op beheermaatregelen om die wensbeelden te realiseren.</w:t>
      </w:r>
    </w:p>
    <w:p>
      <w:pPr>
        <w:pStyle w:val="BodyText"/>
      </w:pPr>
      <w:r>
        <w:t xml:space="preserve">De analyses zijn uitgevoerd op een gecombineerde dataset van veldmetingen (WP1 en WP2), gefilterd op monsters (meettraject en meetmoment) met complete abiotische én vegetatieopnamen.</w:t>
      </w:r>
    </w:p>
    <w:bookmarkEnd w:id="29"/>
    <w:bookmarkStart w:id="38" w:name="methoden"/>
    <w:p>
      <w:pPr>
        <w:pStyle w:val="Kop1"/>
      </w:pPr>
      <w:r>
        <w:t xml:space="preserve">2. Methoden</w:t>
      </w:r>
    </w:p>
    <w:bookmarkStart w:id="32" w:name="data-en-predictoren"/>
    <w:p>
      <w:pPr>
        <w:pStyle w:val="Kop2"/>
      </w:pPr>
      <w:r>
        <w:t xml:space="preserve">2.1 Data en predictoren</w:t>
      </w:r>
    </w:p>
    <w:p>
      <w:pPr>
        <w:pStyle w:val="FirstParagraph"/>
      </w:pPr>
      <w:r>
        <w:t xml:space="preserve">De dataset bevat locatiemetingen van meerdere waterschappen. Na kwaliteitsfiltering op volledigheid en unieke trajecten per sloot (slechts één behandeling per sloot is meegenomen, waarbij de proefbehandelingen zijn weggelaten) zijn 33 predictorvariabelen geselecteerd, verdeeld over:</w:t>
      </w:r>
    </w:p>
    <w:p>
      <w:pPr>
        <w:pStyle w:val="Compact"/>
        <w:numPr>
          <w:ilvl w:val="0"/>
          <w:numId w:val="1001"/>
        </w:numPr>
      </w:pPr>
      <w:r>
        <w:rPr>
          <w:b/>
          <w:bCs/>
        </w:rPr>
        <w:t xml:space="preserve">Hydrologische variabelen</w:t>
      </w:r>
      <w:r>
        <w:t xml:space="preserve">: drooglegging, maximale waterdiepte, doorzicht, waterbreedte</w:t>
      </w:r>
    </w:p>
    <w:p>
      <w:pPr>
        <w:pStyle w:val="Compact"/>
        <w:numPr>
          <w:ilvl w:val="0"/>
          <w:numId w:val="1001"/>
        </w:numPr>
      </w:pPr>
      <w:r>
        <w:rPr>
          <w:b/>
          <w:bCs/>
        </w:rPr>
        <w:t xml:space="preserve">Oeverstructuur</w:t>
      </w:r>
      <w:r>
        <w:t xml:space="preserve">: breedte oevervegetatiezone 2a en 2b, taludhoek, onderholling, oeverbreedte</w:t>
      </w:r>
    </w:p>
    <w:p>
      <w:pPr>
        <w:pStyle w:val="Compact"/>
        <w:numPr>
          <w:ilvl w:val="0"/>
          <w:numId w:val="1001"/>
        </w:numPr>
      </w:pPr>
      <w:r>
        <w:rPr>
          <w:b/>
          <w:bCs/>
        </w:rPr>
        <w:t xml:space="preserve">Bodemchemie (0–25 cm)</w:t>
      </w:r>
      <w:r>
        <w:t xml:space="preserve">: kleigehalte, organisch stofgehalte, CEC, draagkracht</w:t>
      </w:r>
    </w:p>
    <w:p>
      <w:pPr>
        <w:pStyle w:val="Compact"/>
        <w:numPr>
          <w:ilvl w:val="0"/>
          <w:numId w:val="1001"/>
        </w:numPr>
      </w:pPr>
      <w:r>
        <w:rPr>
          <w:b/>
          <w:bCs/>
        </w:rPr>
        <w:t xml:space="preserve">Waterchemie en slibkwaliteit</w:t>
      </w:r>
      <w:r>
        <w:t xml:space="preserve">: water-pH, chloride, ammonium, P-AL, redox, FeP-verhouding</w:t>
      </w:r>
    </w:p>
    <w:p>
      <w:pPr>
        <w:pStyle w:val="Compact"/>
        <w:numPr>
          <w:ilvl w:val="0"/>
          <w:numId w:val="1001"/>
        </w:numPr>
      </w:pPr>
      <w:r>
        <w:rPr>
          <w:b/>
          <w:bCs/>
        </w:rPr>
        <w:t xml:space="preserve">Beheersvariabelen</w:t>
      </w:r>
      <w:r>
        <w:t xml:space="preserve">: baggerfrequentie en -moment, maaifrequentie, mestmethode, koebelasting</w:t>
      </w:r>
    </w:p>
    <w:p>
      <w:pPr>
        <w:pStyle w:val="FirstParagraph"/>
      </w:pPr>
      <w:r>
        <w:t xml:space="preserve">De tien doelvariabelen (targets) zijn:</w:t>
      </w:r>
    </w:p>
    <w:tbl>
      <w:tblPr>
        <w:tblStyle w:val="Table"/>
        <w:tblW w:type="pct" w:w="5000"/>
        <w:tblLayout w:type="fixed"/>
        <w:tblLook w:firstRow="0" w:lastRow="0" w:firstColumn="0" w:lastColumn="0" w:noHBand="0" w:noVBand="0" w:val="0000"/>
      </w:tblPr>
      <w:tblGrid>
        <w:gridCol w:w="7920"/>
      </w:tblGrid>
      <w:tr>
        <w:tc>
          <w:tcPr/>
          <w:bookmarkStart w:id="30" w:name="tbl-targets"/>
          <w:p>
            <w:pPr>
              <w:jc w:val="center"/>
            </w:pPr>
            <w:pPr>
              <w:jc w:val="left"/>
              <w:spacing w:before="200"/>
              <w:pStyle w:val="ImageCaption"/>
            </w:pPr>
            <w:r>
              <w:t xml:space="preserve">Tabel 1: Overzicht van gemodelleerde doelvariabelen</w:t>
            </w:r>
          </w:p>
          <w:tbl>
            <w:tblPr>
              <w:tblStyle w:val="Table"/>
              <w:tblW w:type="pct" w:w="5000"/>
              <w:tblLayout w:type="fixed"/>
              <w:tblLook w:firstRow="1" w:lastRow="0" w:firstColumn="0" w:lastColumn="0" w:noHBand="0" w:noVBand="0" w:val="0020"/>
            </w:tblPr>
            <w:tblGrid>
              <w:gridCol w:w="3168"/>
              <w:gridCol w:w="3465"/>
              <w:gridCol w:w="1287"/>
            </w:tblGrid>
            <w:tr>
              <w:trPr>
                <w:tblHeader w:val="on"/>
              </w:trPr>
              <w:tc>
                <w:tcPr/>
                <w:p>
                  <w:pPr>
                    <w:pStyle w:val="Compact"/>
                    <w:jc w:val="left"/>
                    <w:jc w:val="center"/>
                  </w:pPr>
                  <w:r>
                    <w:t xml:space="preserve">Variabele</w:t>
                  </w:r>
                </w:p>
              </w:tc>
              <w:tc>
                <w:tcPr/>
                <w:p>
                  <w:pPr>
                    <w:pStyle w:val="Compact"/>
                    <w:jc w:val="left"/>
                    <w:jc w:val="center"/>
                  </w:pPr>
                  <w:r>
                    <w:t xml:space="preserve">Nederlandse naam</w:t>
                  </w:r>
                </w:p>
              </w:tc>
              <w:tc>
                <w:tcPr/>
                <w:p>
                  <w:pPr>
                    <w:pStyle w:val="Compact"/>
                    <w:jc w:val="left"/>
                    <w:jc w:val="center"/>
                  </w:pPr>
                  <w:r>
                    <w:t xml:space="preserve">Eenheid</w:t>
                  </w:r>
                </w:p>
              </w:tc>
            </w:tr>
            <w:tr>
              <w:tc>
                <w:tcPr/>
                <w:p>
                  <w:pPr>
                    <w:pStyle w:val="Compact"/>
                    <w:jc w:val="left"/>
                    <w:jc w:val="center"/>
                  </w:pPr>
                  <w:r>
                    <w:t xml:space="preserve">waterzone_1_subm_tot_perc</w:t>
                  </w:r>
                </w:p>
              </w:tc>
              <w:tc>
                <w:tcPr/>
                <w:p>
                  <w:pPr>
                    <w:pStyle w:val="Compact"/>
                    <w:jc w:val="left"/>
                    <w:jc w:val="center"/>
                  </w:pPr>
                  <w:r>
                    <w:t xml:space="preserve">Bedekking ondergedoken planten (%)</w:t>
                  </w:r>
                </w:p>
              </w:tc>
              <w:tc>
                <w:tcPr/>
                <w:p>
                  <w:pPr>
                    <w:pStyle w:val="Compact"/>
                    <w:jc w:val="left"/>
                    <w:jc w:val="center"/>
                  </w:pPr>
                  <w:r>
                    <w:t xml:space="preserve">%</w:t>
                  </w:r>
                </w:p>
              </w:tc>
            </w:tr>
            <w:tr>
              <w:tc>
                <w:tcPr/>
                <w:p>
                  <w:pPr>
                    <w:pStyle w:val="Compact"/>
                    <w:jc w:val="left"/>
                    <w:jc w:val="center"/>
                  </w:pPr>
                  <w:r>
                    <w:t xml:space="preserve">n_soorten_oev_zone2</w:t>
                  </w:r>
                </w:p>
              </w:tc>
              <w:tc>
                <w:tcPr/>
                <w:p>
                  <w:pPr>
                    <w:pStyle w:val="Compact"/>
                    <w:jc w:val="left"/>
                    <w:jc w:val="center"/>
                  </w:pPr>
                  <w:r>
                    <w:t xml:space="preserve">Aantal oeversoorten</w:t>
                  </w:r>
                </w:p>
              </w:tc>
              <w:tc>
                <w:tcPr/>
                <w:p>
                  <w:pPr>
                    <w:pStyle w:val="Compact"/>
                    <w:jc w:val="left"/>
                    <w:jc w:val="center"/>
                  </w:pPr>
                  <w:r>
                    <w:t xml:space="preserve">soorten</w:t>
                  </w:r>
                </w:p>
              </w:tc>
            </w:tr>
            <w:tr>
              <w:tc>
                <w:tcPr/>
                <w:p>
                  <w:pPr>
                    <w:pStyle w:val="Compact"/>
                    <w:jc w:val="left"/>
                    <w:jc w:val="center"/>
                  </w:pPr>
                  <w:r>
                    <w:t xml:space="preserve">oeverindex</w:t>
                  </w:r>
                </w:p>
              </w:tc>
              <w:tc>
                <w:tcPr/>
                <w:p>
                  <w:pPr>
                    <w:pStyle w:val="Compact"/>
                    <w:jc w:val="left"/>
                    <w:jc w:val="center"/>
                  </w:pPr>
                  <w:r>
                    <w:t xml:space="preserve">Oeverindex</w:t>
                  </w:r>
                </w:p>
              </w:tc>
              <w:tc>
                <w:tcPr/>
                <w:p>
                  <w:pPr>
                    <w:pStyle w:val="Compact"/>
                    <w:jc w:val="left"/>
                    <w:jc w:val="center"/>
                  </w:pPr>
                  <w:r>
                    <w:t xml:space="preserve">-</w:t>
                  </w:r>
                </w:p>
              </w:tc>
            </w:tr>
            <w:tr>
              <w:tc>
                <w:tcPr/>
                <w:p>
                  <w:pPr>
                    <w:pStyle w:val="Compact"/>
                    <w:jc w:val="left"/>
                    <w:jc w:val="center"/>
                  </w:pPr>
                  <w:r>
                    <w:t xml:space="preserve">n_soorten_sub_zone1</w:t>
                  </w:r>
                </w:p>
              </w:tc>
              <w:tc>
                <w:tcPr/>
                <w:p>
                  <w:pPr>
                    <w:pStyle w:val="Compact"/>
                    <w:jc w:val="left"/>
                    <w:jc w:val="center"/>
                  </w:pPr>
                  <w:r>
                    <w:t xml:space="preserve">Aantal waterplantensoorten</w:t>
                  </w:r>
                </w:p>
              </w:tc>
              <w:tc>
                <w:tcPr/>
                <w:p>
                  <w:pPr>
                    <w:pStyle w:val="Compact"/>
                    <w:jc w:val="left"/>
                    <w:jc w:val="center"/>
                  </w:pPr>
                  <w:r>
                    <w:t xml:space="preserve">soorten</w:t>
                  </w:r>
                </w:p>
              </w:tc>
            </w:tr>
            <w:tr>
              <w:tc>
                <w:tcPr/>
                <w:p>
                  <w:pPr>
                    <w:pStyle w:val="Compact"/>
                    <w:jc w:val="left"/>
                    <w:jc w:val="center"/>
                  </w:pPr>
                  <w:r>
                    <w:t xml:space="preserve">Soortensamenstelling Helofyten</w:t>
                  </w:r>
                </w:p>
              </w:tc>
              <w:tc>
                <w:tcPr/>
                <w:p>
                  <w:pPr>
                    <w:pStyle w:val="Compact"/>
                    <w:jc w:val="left"/>
                    <w:jc w:val="center"/>
                  </w:pPr>
                  <w:r>
                    <w:t xml:space="preserve">Soortensamenstelling Helofyten</w:t>
                  </w:r>
                </w:p>
              </w:tc>
              <w:tc>
                <w:tcPr/>
                <w:p>
                  <w:pPr>
                    <w:pStyle w:val="Compact"/>
                    <w:jc w:val="left"/>
                    <w:jc w:val="center"/>
                  </w:pPr>
                  <w:r>
                    <w:t xml:space="preserve">-</w:t>
                  </w:r>
                </w:p>
              </w:tc>
            </w:tr>
            <w:tr>
              <w:tc>
                <w:tcPr/>
                <w:p>
                  <w:pPr>
                    <w:pStyle w:val="Compact"/>
                    <w:jc w:val="left"/>
                    <w:jc w:val="center"/>
                  </w:pPr>
                  <w:r>
                    <w:t xml:space="preserve">Soortensamenstelling Hydrofyten</w:t>
                  </w:r>
                </w:p>
              </w:tc>
              <w:tc>
                <w:tcPr/>
                <w:p>
                  <w:pPr>
                    <w:pStyle w:val="Compact"/>
                    <w:jc w:val="left"/>
                    <w:jc w:val="center"/>
                  </w:pPr>
                  <w:r>
                    <w:t xml:space="preserve">Soortensamenstelling Hydrofyten</w:t>
                  </w:r>
                </w:p>
              </w:tc>
              <w:tc>
                <w:tcPr/>
                <w:p>
                  <w:pPr>
                    <w:pStyle w:val="Compact"/>
                    <w:jc w:val="left"/>
                    <w:jc w:val="center"/>
                  </w:pPr>
                  <w:r>
                    <w:t xml:space="preserve">-</w:t>
                  </w:r>
                </w:p>
              </w:tc>
            </w:tr>
            <w:tr>
              <w:tc>
                <w:tcPr/>
                <w:p>
                  <w:pPr>
                    <w:pStyle w:val="Compact"/>
                    <w:jc w:val="left"/>
                    <w:jc w:val="center"/>
                  </w:pPr>
                  <w:r>
                    <w:t xml:space="preserve">draagkracht_oever</w:t>
                  </w:r>
                </w:p>
              </w:tc>
              <w:tc>
                <w:tcPr/>
                <w:p>
                  <w:pPr>
                    <w:pStyle w:val="Compact"/>
                    <w:jc w:val="left"/>
                    <w:jc w:val="center"/>
                  </w:pPr>
                  <w:r>
                    <w:t xml:space="preserve">Draagkracht oever (MPa)</w:t>
                  </w:r>
                </w:p>
              </w:tc>
              <w:tc>
                <w:tcPr/>
                <w:p>
                  <w:pPr>
                    <w:pStyle w:val="Compact"/>
                    <w:jc w:val="left"/>
                    <w:jc w:val="center"/>
                  </w:pPr>
                  <w:r>
                    <w:t xml:space="preserve">MPa</w:t>
                  </w:r>
                </w:p>
              </w:tc>
            </w:tr>
            <w:tr>
              <w:tc>
                <w:tcPr/>
                <w:p>
                  <w:pPr>
                    <w:pStyle w:val="Compact"/>
                    <w:jc w:val="left"/>
                    <w:jc w:val="center"/>
                  </w:pPr>
                  <w:r>
                    <w:t xml:space="preserve">slib_redox_pH7</w:t>
                  </w:r>
                </w:p>
              </w:tc>
              <w:tc>
                <w:tcPr/>
                <w:p>
                  <w:pPr>
                    <w:pStyle w:val="Compact"/>
                    <w:jc w:val="left"/>
                    <w:jc w:val="center"/>
                  </w:pPr>
                  <w:r>
                    <w:t xml:space="preserve">Redox slib bij pH7 (mV)</w:t>
                  </w:r>
                </w:p>
              </w:tc>
              <w:tc>
                <w:tcPr/>
                <w:p>
                  <w:pPr>
                    <w:pStyle w:val="Compact"/>
                    <w:jc w:val="left"/>
                    <w:jc w:val="center"/>
                  </w:pPr>
                  <w:r>
                    <w:t xml:space="preserve">mV</w:t>
                  </w:r>
                </w:p>
              </w:tc>
            </w:tr>
            <w:tr>
              <w:tc>
                <w:tcPr/>
                <w:p>
                  <w:pPr>
                    <w:pStyle w:val="Compact"/>
                    <w:jc w:val="left"/>
                    <w:jc w:val="center"/>
                  </w:pPr>
                  <w:r>
                    <w:t xml:space="preserve">P-AL mg p2o5/100g_SB</w:t>
                  </w:r>
                </w:p>
              </w:tc>
              <w:tc>
                <w:tcPr/>
                <w:p>
                  <w:pPr>
                    <w:pStyle w:val="Compact"/>
                    <w:jc w:val="left"/>
                    <w:jc w:val="center"/>
                  </w:pPr>
                  <w:r>
                    <w:t xml:space="preserve">P-AL slib (mg P2O5/100g)</w:t>
                  </w:r>
                </w:p>
              </w:tc>
              <w:tc>
                <w:tcPr/>
                <w:p>
                  <w:pPr>
                    <w:pStyle w:val="Compact"/>
                    <w:jc w:val="left"/>
                    <w:jc w:val="center"/>
                  </w:pPr>
                  <w:r>
                    <w:t xml:space="preserve">mg P2O5/100g</w:t>
                  </w:r>
                </w:p>
              </w:tc>
            </w:tr>
            <w:tr>
              <w:tc>
                <w:tcPr/>
                <w:p>
                  <w:pPr>
                    <w:pStyle w:val="Compact"/>
                    <w:jc w:val="left"/>
                    <w:jc w:val="center"/>
                  </w:pPr>
                  <w:r>
                    <w:t xml:space="preserve">max_slib</w:t>
                  </w:r>
                </w:p>
              </w:tc>
              <w:tc>
                <w:tcPr/>
                <w:p>
                  <w:pPr>
                    <w:pStyle w:val="Compact"/>
                    <w:jc w:val="left"/>
                    <w:jc w:val="center"/>
                  </w:pPr>
                  <w:r>
                    <w:t xml:space="preserve">Slibdikte (m)</w:t>
                  </w:r>
                </w:p>
              </w:tc>
              <w:tc>
                <w:tcPr/>
                <w:p>
                  <w:pPr>
                    <w:pStyle w:val="Compact"/>
                    <w:jc w:val="left"/>
                    <w:jc w:val="center"/>
                  </w:pPr>
                  <w:r>
                    <w:t xml:space="preserve">m</w:t>
                  </w:r>
                </w:p>
              </w:tc>
            </w:tr>
          </w:tbl>
          <w:bookmarkEnd w:id="30"/>
          <w:p/>
        </w:tc>
      </w:tr>
    </w:tbl>
    <w:bookmarkStart w:id="31" w:name="X2f589b93fd9383668c144d127be03427a4ee3eb"/>
    <w:p>
      <w:pPr>
        <w:pStyle w:val="Kop3"/>
      </w:pPr>
      <w:r>
        <w:t xml:space="preserve">2.1.1 Toegepaste datatransformaties of standaardisaties</w:t>
      </w:r>
    </w:p>
    <w:p>
      <w:pPr>
        <w:pStyle w:val="FirstParagraph"/>
      </w:pPr>
      <w:r>
        <w:rPr>
          <w:b/>
          <w:bCs/>
        </w:rPr>
        <w:t xml:space="preserve">Methode toedienen mest</w:t>
      </w:r>
      <w:r>
        <w:t xml:space="preserve">: Deze mestmethode is gecategoriseerd naar verwachtte belasting van het perceel, waarbij een hoge belasting (door zwaardere machines of frequentere bemesting) een hogere waarde heeft dan geen belasting. De belasting is vertaald naar de volgende klassen: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Waarde</w:t>
            </w:r>
          </w:p>
        </w:tc>
        <w:tc>
          <w:tcPr/>
          <w:p>
            <w:pPr>
              <w:pStyle w:val="Compact"/>
            </w:pPr>
            <w:r>
              <w:t xml:space="preserve">Categorie</w:t>
            </w:r>
          </w:p>
        </w:tc>
      </w:tr>
      <w:tr>
        <w:tc>
          <w:tcPr/>
          <w:p>
            <w:pPr>
              <w:pStyle w:val="Compact"/>
            </w:pPr>
            <w:r>
              <w:t xml:space="preserve">0</w:t>
            </w:r>
          </w:p>
        </w:tc>
        <w:tc>
          <w:tcPr/>
          <w:p>
            <w:pPr>
              <w:pStyle w:val="Compact"/>
            </w:pPr>
            <w:r>
              <w:t xml:space="preserve">“n.v.t./onbekend”</w:t>
            </w:r>
            <w:r>
              <w:t xml:space="preserve"> </w:t>
            </w:r>
            <w:r>
              <w:t xml:space="preserve">of</w:t>
            </w:r>
            <w:r>
              <w:t xml:space="preserve"> </w:t>
            </w:r>
            <w:r>
              <w:t xml:space="preserve">“n.v.t”</w:t>
            </w:r>
          </w:p>
        </w:tc>
      </w:tr>
      <w:tr>
        <w:tc>
          <w:tcPr/>
          <w:p>
            <w:pPr>
              <w:pStyle w:val="Compact"/>
            </w:pPr>
            <w:r>
              <w:t xml:space="preserve">1</w:t>
            </w:r>
          </w:p>
        </w:tc>
        <w:tc>
          <w:tcPr/>
          <w:p>
            <w:pPr>
              <w:pStyle w:val="Compact"/>
            </w:pPr>
            <w:r>
              <w:t xml:space="preserve">“sleepslang”</w:t>
            </w:r>
          </w:p>
        </w:tc>
      </w:tr>
      <w:tr>
        <w:tc>
          <w:tcPr/>
          <w:p>
            <w:pPr>
              <w:pStyle w:val="Compact"/>
            </w:pPr>
            <w:r>
              <w:t xml:space="preserve">2</w:t>
            </w:r>
          </w:p>
        </w:tc>
        <w:tc>
          <w:tcPr/>
          <w:p>
            <w:pPr>
              <w:pStyle w:val="Compact"/>
            </w:pPr>
            <w:r>
              <w:t xml:space="preserve">“sleepslang en mesttank”</w:t>
            </w:r>
          </w:p>
        </w:tc>
      </w:tr>
      <w:tr>
        <w:tc>
          <w:tcPr/>
          <w:p>
            <w:pPr>
              <w:pStyle w:val="Compact"/>
            </w:pPr>
            <w:r>
              <w:t xml:space="preserve">3</w:t>
            </w:r>
          </w:p>
        </w:tc>
        <w:tc>
          <w:tcPr/>
          <w:p>
            <w:pPr>
              <w:pStyle w:val="Compact"/>
            </w:pPr>
            <w:r>
              <w:t xml:space="preserve">“mesttank”</w:t>
            </w:r>
          </w:p>
        </w:tc>
      </w:tr>
      <w:tr>
        <w:tc>
          <w:tcPr/>
          <w:p>
            <w:pPr>
              <w:pStyle w:val="Compact"/>
            </w:pPr>
            <w:r>
              <w:t xml:space="preserve">4</w:t>
            </w:r>
          </w:p>
        </w:tc>
        <w:tc>
          <w:tcPr/>
          <w:p>
            <w:pPr>
              <w:pStyle w:val="Compact"/>
            </w:pPr>
            <w:r>
              <w:t xml:space="preserve">“bovengronds_strooier”</w:t>
            </w:r>
          </w:p>
        </w:tc>
      </w:tr>
      <w:tr>
        <w:tc>
          <w:tcPr/>
          <w:p>
            <w:pPr>
              <w:pStyle w:val="Compact"/>
            </w:pPr>
            <w:r>
              <w:t xml:space="preserve">5</w:t>
            </w:r>
          </w:p>
        </w:tc>
        <w:tc>
          <w:tcPr/>
          <w:p>
            <w:pPr>
              <w:pStyle w:val="Compact"/>
            </w:pPr>
            <w:r>
              <w:t xml:space="preserve">“injecteren”</w:t>
            </w:r>
          </w:p>
        </w:tc>
      </w:tr>
    </w:tbl>
    <w:p>
      <w:pPr>
        <w:pStyle w:val="BodyText"/>
      </w:pPr>
      <w:r>
        <w:rPr>
          <w:b/>
          <w:bCs/>
        </w:rPr>
        <w:t xml:space="preserve">Redox genormaliseerd voor pH7</w:t>
      </w:r>
      <w:r>
        <w:t xml:space="preserve">: De formule stamt uit de Nernst-vergelijking. De redoxpotentiaal (Eh) is pH-afhankelijk omdat bij veel redoxreacties in de bodem waterstofionen (H⁺) betrokken zijn. Per pH-eenheid stijging daalt Eh met ~59 mV (bij 25°C). Door te normaliseren naar pH 7 worden metingen van locaties met verschillende pH vergelijkbaar:</w:t>
      </w:r>
    </w:p>
    <w:p>
      <w:pPr>
        <w:pStyle w:val="BodyText"/>
      </w:pPr>
      <m:oMathPara>
        <m:oMathParaPr>
          <m:jc m:val="center"/>
        </m:oMathParaPr>
        <m:oMath>
          <m:r>
            <m:t>E</m:t>
          </m:r>
          <m:sSub>
            <m:e>
              <m:r>
                <m:t>h</m:t>
              </m:r>
            </m:e>
            <m:sub>
              <m:r>
                <m:t>7</m:t>
              </m:r>
            </m:sub>
          </m:sSub>
          <m:r>
            <m:rPr>
              <m:sty m:val="p"/>
            </m:rPr>
            <m:t>=</m:t>
          </m:r>
          <m:r>
            <m:t>E</m:t>
          </m:r>
          <m:sSub>
            <m:e>
              <m:r>
                <m:t>h</m:t>
              </m:r>
            </m:e>
            <m:sub>
              <m:r>
                <m:rPr>
                  <m:nor/>
                  <m:sty m:val="p"/>
                </m:rPr>
                <m:t>gemeten</m:t>
              </m:r>
            </m:sub>
          </m:sSub>
          <m:r>
            <m:rPr>
              <m:sty m:val="p"/>
            </m:rPr>
            <m:t>+</m:t>
          </m:r>
          <m:r>
            <m:rPr>
              <m:sty m:val="p"/>
            </m:rPr>
            <m:t>(</m:t>
          </m:r>
          <m:r>
            <m:t>7</m:t>
          </m:r>
          <m:r>
            <m:rPr>
              <m:sty m:val="p"/>
            </m:rPr>
            <m:t>−</m:t>
          </m:r>
          <m:r>
            <m:t>p</m:t>
          </m:r>
          <m:sSub>
            <m:e>
              <m:r>
                <m:t>H</m:t>
              </m:r>
            </m:e>
            <m:sub>
              <m:r>
                <m:rPr>
                  <m:nor/>
                  <m:sty m:val="p"/>
                </m:rPr>
                <m:t>gemeten</m:t>
              </m:r>
            </m:sub>
          </m:sSub>
          <m:r>
            <m:rPr>
              <m:sty m:val="p"/>
            </m:rPr>
            <m:t>)</m:t>
          </m:r>
          <m:r>
            <m:rPr>
              <m:sty m:val="p"/>
            </m:rPr>
            <m:t>×</m:t>
          </m:r>
          <m:r>
            <m:t>59</m:t>
          </m:r>
        </m:oMath>
      </m:oMathPara>
    </w:p>
    <w:p>
      <w:pPr>
        <w:pStyle w:val="FirstParagraph"/>
      </w:pPr>
      <w:r>
        <w:rPr>
          <w:b/>
          <w:bCs/>
        </w:rPr>
        <w:t xml:space="preserve">FeP-verhouding</w:t>
      </w:r>
      <w:r>
        <w:t xml:space="preserve">: is berekend als molverhoudingen</w:t>
      </w:r>
    </w:p>
    <w:p>
      <w:pPr>
        <w:pStyle w:val="BodyText"/>
      </w:pPr>
      <w:r>
        <w:rPr>
          <w:b/>
          <w:bCs/>
        </w:rPr>
        <w:t xml:space="preserve">Kengetallen op basis van profielen</w:t>
      </w:r>
      <w:r>
        <w:t xml:space="preserve">:</w:t>
      </w:r>
      <w:r>
        <w:t xml:space="preserve"> </w:t>
      </w:r>
      <w:r>
        <w:t xml:space="preserve">-</w:t>
      </w:r>
      <w:r>
        <w:t xml:space="preserve"> </w:t>
      </w:r>
      <w:r>
        <w:rPr>
          <w:b/>
          <w:bCs/>
        </w:rPr>
        <w:t xml:space="preserve">Drooglegging oever en perceel</w:t>
      </w:r>
      <w:r>
        <w:t xml:space="preserve">: zowel het hoogste punt op de oever als het maaiveld minus jaarrondstreefpeil (NHI)</w:t>
      </w:r>
      <w:r>
        <w:t xml:space="preserve"> </w:t>
      </w:r>
      <w:r>
        <w:t xml:space="preserve">-</w:t>
      </w:r>
      <w:r>
        <w:t xml:space="preserve"> </w:t>
      </w:r>
      <w:r>
        <w:rPr>
          <w:b/>
          <w:bCs/>
        </w:rPr>
        <w:t xml:space="preserve">Zomerdrooglegging</w:t>
      </w:r>
      <w:r>
        <w:t xml:space="preserve">: maaiveld minus zomerpeil (NOBV)</w:t>
      </w:r>
      <w:r>
        <w:t xml:space="preserve"> </w:t>
      </w:r>
      <w:r>
        <w:t xml:space="preserve">-</w:t>
      </w:r>
      <w:r>
        <w:t xml:space="preserve"> </w:t>
      </w:r>
      <w:r>
        <w:rPr>
          <w:b/>
          <w:bCs/>
        </w:rPr>
        <w:t xml:space="preserve">Taludhoek boven water rond de waterlijn</w:t>
      </w:r>
      <w:r>
        <w:t xml:space="preserve">: tan⁻¹(hoogteverschil oever op 35 cm verticale afstand boven de waterlijn en waterlijn / horizontale afstand).</w:t>
      </w:r>
      <w:r>
        <w:t xml:space="preserve"> </w:t>
      </w:r>
      <w:r>
        <w:t xml:space="preserve">-</w:t>
      </w:r>
      <w:r>
        <w:t xml:space="preserve"> </w:t>
      </w:r>
      <w:r>
        <w:rPr>
          <w:b/>
          <w:bCs/>
        </w:rPr>
        <w:t xml:space="preserve">Taludhoek onder water rond de waterlijn</w:t>
      </w:r>
      <w:r>
        <w:t xml:space="preserve">: tan⁻¹(hoogteverschil bovenkant slib op 35 cm verticale afstand onder de waterlijn en waterlijn / horizontale afstand).</w:t>
      </w:r>
      <w:r>
        <w:t xml:space="preserve"> </w:t>
      </w:r>
      <w:r>
        <w:t xml:space="preserve">-</w:t>
      </w:r>
      <w:r>
        <w:t xml:space="preserve"> </w:t>
      </w:r>
      <w:r>
        <w:rPr>
          <w:b/>
          <w:bCs/>
        </w:rPr>
        <w:t xml:space="preserve">Taludhoek boven water</w:t>
      </w:r>
      <w:r>
        <w:t xml:space="preserve">: tan⁻¹(hoogteverschil oever op 3 meter horizontale afstand van de waterlijn en waterlijn / horizontale afstand). Als de oever minder breed is dan 3 meter dan wordt het oeverpunt dat het verst van de waterlijn ligt genomen.</w:t>
      </w:r>
      <w:r>
        <w:t xml:space="preserve"> </w:t>
      </w:r>
      <w:r>
        <w:t xml:space="preserve">-</w:t>
      </w:r>
      <w:r>
        <w:t xml:space="preserve"> </w:t>
      </w:r>
      <w:r>
        <w:rPr>
          <w:b/>
          <w:bCs/>
        </w:rPr>
        <w:t xml:space="preserve">Taludhoek onder water</w:t>
      </w:r>
      <w:r>
        <w:t xml:space="preserve">: tan⁻¹(hoogteverschil bovenkant slib op 1 meter horizontale afstand van de waterlijn en waterlijn / horizontale afstand).</w:t>
      </w:r>
      <w:r>
        <w:t xml:space="preserve"> </w:t>
      </w:r>
      <w:r>
        <w:t xml:space="preserve">-</w:t>
      </w:r>
      <w:r>
        <w:t xml:space="preserve"> </w:t>
      </w:r>
      <w:r>
        <w:rPr>
          <w:b/>
          <w:bCs/>
        </w:rPr>
        <w:t xml:space="preserve">Breedte oeverzone</w:t>
      </w:r>
      <w:r>
        <w:t xml:space="preserve">: breedte van de zone van insteek tot waterlijn.</w:t>
      </w:r>
    </w:p>
    <w:p>
      <w:pPr>
        <w:pStyle w:val="BodyText"/>
      </w:pPr>
      <w:r>
        <w:rPr>
          <w:b/>
          <w:bCs/>
        </w:rPr>
        <w:t xml:space="preserve">Proxies voor draagkracht van de oever en het perceel</w:t>
      </w:r>
      <w:r>
        <w:t xml:space="preserve">:</w:t>
      </w:r>
      <w:r>
        <w:t xml:space="preserve"> </w:t>
      </w:r>
      <w:r>
        <w:t xml:space="preserve">- check berekening draagkracht op basis van de formule van Van den Akker (2004) met een functie van het organisch stofgehalte, kleigehalte en CEC.</w:t>
      </w:r>
      <w:r>
        <w:t xml:space="preserve"> </w:t>
      </w:r>
      <w:r>
        <w:t xml:space="preserve">- De draagkracht is gemeten met een pentrometer langs een traject loodrecht op de oever, hierbij zijn drie zones gemeten: zone 1 = oeverzone, zone 2 = insteek, zone 3 = perceel. In verschillende zones is de gemiddelde draagkracht voor verschillende diepteintervallen berekend:</w:t>
      </w:r>
      <w:r>
        <w:t xml:space="preserve"> </w:t>
      </w:r>
      <w:r>
        <w:t xml:space="preserve">- Diepteintervallen van 10 cm van 0 tot 80 cm</w:t>
      </w:r>
      <w:r>
        <w:t xml:space="preserve"> </w:t>
      </w:r>
      <w:r>
        <w:t xml:space="preserve">- Diepteintervallen die relevant zijn voor beworteling van oevervegetatie: 0–15 cm, 15–40 cm, 40–80 cm</w:t>
      </w:r>
      <w:r>
        <w:t xml:space="preserve"> </w:t>
      </w:r>
      <w:r>
        <w:t xml:space="preserve">- Diepteinterval draagkracht oever: 0-40 cm</w:t>
      </w:r>
      <w:r>
        <w:t xml:space="preserve"> </w:t>
      </w:r>
      <w:r>
        <w:t xml:space="preserve">Daarnaast is de minimale draagkracht per zone berekend en de diepte waar deze is gemeten.</w:t>
      </w:r>
    </w:p>
    <w:bookmarkEnd w:id="31"/>
    <w:bookmarkEnd w:id="32"/>
    <w:bookmarkStart w:id="33" w:name="vergelijking-meting-met-veensloottypen"/>
    <w:p>
      <w:pPr>
        <w:pStyle w:val="Kop2"/>
      </w:pPr>
      <w:r>
        <w:t xml:space="preserve">2.2 Vergelijking meting met veensloottypen</w:t>
      </w:r>
    </w:p>
    <w:p>
      <w:pPr>
        <w:pStyle w:val="FirstParagraph"/>
      </w:pPr>
      <w:r>
        <w:t xml:space="preserve">De VeeST-meetlocaties zijn geselecteerd op basis van acht veensloottypen (clusters) die in de verkenningsfase ruimtelijk zijn bepaald op basis van vier GIS-variabelen: drooglegging (AHN3 maaiveld minus jaarrondstreefpeil uit NHI), waterbreedte, organisch stofgehalte (25 cm) en kleigehalte (25 cm). Om te beoordelen hoe representatief de veldmetingen zijn voor deze typen, zijn de gemeten abiotische waarden vergeleken met de GIS-clusterwaarden via twee complementaire analyses:</w:t>
      </w:r>
    </w:p>
    <w:p>
      <w:pPr>
        <w:pStyle w:val="Compact"/>
        <w:numPr>
          <w:ilvl w:val="0"/>
          <w:numId w:val="1002"/>
        </w:numPr>
      </w:pPr>
      <w:r>
        <w:rPr>
          <w:b/>
          <w:bCs/>
        </w:rPr>
        <w:t xml:space="preserve">Schaalbereik-vergelijking</w:t>
      </w:r>
      <w:r>
        <w:t xml:space="preserve">: per variabele worden de P10, mediaan en P90 vergeleken tussen GIS-laag (NOBV) en VeeST-velddata.</w:t>
      </w:r>
    </w:p>
    <w:p>
      <w:pPr>
        <w:pStyle w:val="Compact"/>
        <w:numPr>
          <w:ilvl w:val="0"/>
          <w:numId w:val="1002"/>
        </w:numPr>
      </w:pPr>
      <w:r>
        <w:rPr>
          <w:b/>
          <w:bCs/>
        </w:rPr>
        <w:t xml:space="preserve">Clusterovereenkomst</w:t>
      </w:r>
      <w:r>
        <w:t xml:space="preserve">: per VeeST-locatie wordt bepaald bij welk GIS-cluster de gemeten waarden het beste passen en dit wordt vergeleken met het ruimtelijk toegewezen cluster uit de verkenningsfase. Elk GIS-cluster heeft een centroïde: de gemiddelde waarde van de vier clustervariabelen (drooglegging, waterbreedte, OS, klei) over alle locaties in dat cluster. De gemeten waarden van een VeeST-locatie worden vervolgens vergeleken met de centroïden van alle acht clusters. Omdat de variabelen in heel verschillende eenheden zijn uitgedrukt (meters vs. procenten), worden ze eerst gestandaardiseerd: elke waarde wordt uitgedrukt als het aantal standaarddeviaties ten opzichte van het gemiddelde van de GIS-populatie. Op die manier wegen alle vier variabelen even zwaar mee in de vergelijking. De</w:t>
      </w:r>
      <w:r>
        <w:t xml:space="preserve"> </w:t>
      </w:r>
      <w:r>
        <w:t xml:space="preserve">“afstand”</w:t>
      </w:r>
      <w:r>
        <w:t xml:space="preserve"> </w:t>
      </w:r>
      <w:r>
        <w:t xml:space="preserve">van een locatie tot een cluster is dan de rechte lijn in deze gestandaardiseerde ruimte — vergelijkbaar met hoe je de afstand tussen twee punten op een kaart berekent, maar dan in vier dimensies tegelijk. De locatie wordt toegewezen aan het cluster waar die afstand het kleinst is.</w:t>
      </w:r>
    </w:p>
    <w:p>
      <w:pPr>
        <w:pStyle w:val="FirstParagraph"/>
      </w:pPr>
      <w:r>
        <w:t xml:space="preserve">Een algemene kanttekening: een deel van de VeeST-gebieden valt buiten de geografische dekking van de oorspronkelijke clusterkaart. Voor deze gebieden is het cluster toegewezen op basis van ruimtelijke nabijheid, het dichtstbijzijnde cluster, niet per se een representatief referentietype. De gerapporteerde bias voor zulke gebieden zegt meer over hoe goed het toegewezen cluster past dan over een echte afwijking ten opzichte van een representatief type, en is daardoor minder informatief.</w:t>
      </w:r>
    </w:p>
    <w:bookmarkEnd w:id="33"/>
    <w:bookmarkStart w:id="34" w:name="xgboost-extreme-gradient-boosting"/>
    <w:p>
      <w:pPr>
        <w:pStyle w:val="Kop2"/>
      </w:pPr>
      <w:r>
        <w:t xml:space="preserve">2.3 XGBoost (eXtreme Gradient Boosting)</w:t>
      </w:r>
    </w:p>
    <w:p>
      <w:pPr>
        <w:pStyle w:val="FirstParagraph"/>
      </w:pPr>
      <w:r>
        <w:t xml:space="preserve">XGBoost (eXtreme Gradient Boosting) is een ensemblemethode gebaseerd op sequentieel opgebouwde beslisbomen. Gradiënt boosting analyse (XG-Boost) houdt rekening met complexe relaties tussen meerdere variabelen (type beheer, beheerfrequentie én omgevingsvariabelen). Dit type analyse doet recht aan het feit dat in de natuur relaties complex zijn waardoor het resultaat betrouwbaarder is dan een (multiple) regressieanalyse. Er wordt bijvoorbeeld geen effect verwacht van beheer op ondergedoken waterplanten in zeer voedselrijke watersystemen waar geen ondergedoken waterplanten voorkomen.</w:t>
      </w:r>
    </w:p>
    <w:p>
      <w:pPr>
        <w:pStyle w:val="BodyText"/>
      </w:pPr>
      <w:r>
        <w:t xml:space="preserve">Voor deze studie is een XGBoost-model getraind op basis van omgevings- en beheer gerelateerde variabelen en doelvariabelen die representatief zijn voor de veenweidesloot van de toekomst.</w:t>
      </w:r>
    </w:p>
    <w:p>
      <w:pPr>
        <w:pStyle w:val="BodyText"/>
      </w:pPr>
      <w:r>
        <w:t xml:space="preserve">De implementatie maakt gebruik van de</w:t>
      </w:r>
      <w:r>
        <w:t xml:space="preserve"> </w:t>
      </w:r>
      <w:r>
        <w:rPr>
          <w:rStyle w:val="VerbatimChar"/>
        </w:rPr>
        <w:t xml:space="preserve">xgboost</w:t>
      </w:r>
      <w:r>
        <w:t xml:space="preserve">-package in R met de volgende instellingen:</w:t>
      </w:r>
    </w:p>
    <w:p>
      <w:pPr>
        <w:pStyle w:val="Compact"/>
        <w:numPr>
          <w:ilvl w:val="0"/>
          <w:numId w:val="1003"/>
        </w:numPr>
      </w:pPr>
      <w:r>
        <w:t xml:space="preserve">Splitsing: 60% train / 20% validatie / 20% test</w:t>
      </w:r>
    </w:p>
    <w:p>
      <w:pPr>
        <w:pStyle w:val="Compact"/>
        <w:numPr>
          <w:ilvl w:val="0"/>
          <w:numId w:val="1003"/>
        </w:numPr>
      </w:pPr>
      <w:r>
        <w:t xml:space="preserve">Early stopping na 20 rondes zonder verbetering op de validatieset (niet de testset)</w:t>
      </w:r>
    </w:p>
    <w:p>
      <w:pPr>
        <w:pStyle w:val="Compact"/>
        <w:numPr>
          <w:ilvl w:val="0"/>
          <w:numId w:val="1003"/>
        </w:numPr>
      </w:pPr>
      <w:r>
        <w:t xml:space="preserve">Maximale boostronden: 500; leersnelheid (eta): 0.05; maximale boomdiepte: 4</w:t>
      </w:r>
    </w:p>
    <w:p>
      <w:pPr>
        <w:pStyle w:val="Compact"/>
        <w:numPr>
          <w:ilvl w:val="0"/>
          <w:numId w:val="1003"/>
        </w:numPr>
      </w:pPr>
      <w:r>
        <w:t xml:space="preserve">Regularisatie: L2 (lambda = 2), minimaal bladgewicht (min_child_weight = 5), minimale splitwinst (gamma = 0.1)</w:t>
      </w:r>
    </w:p>
    <w:p>
      <w:pPr>
        <w:pStyle w:val="Compact"/>
        <w:numPr>
          <w:ilvl w:val="0"/>
          <w:numId w:val="1003"/>
        </w:numPr>
      </w:pPr>
      <w:r>
        <w:t xml:space="preserve">Subsampling: 80% rijen en kolommen per boom</w:t>
      </w:r>
    </w:p>
    <w:p>
      <w:pPr>
        <w:pStyle w:val="FirstParagraph"/>
      </w:pPr>
      <w:r>
        <w:t xml:space="preserve">De predictorimportantie is bepaald op twee manieren: via de ingebouwde Gain-maatstaf (informatiewinst per splitsing) en via permutation importance op de validatieset (gemiddelde RMSE-stijging bij het willekeurig permuteren van een kolom, herhaald over 5 replicaties).</w:t>
      </w:r>
    </w:p>
    <w:bookmarkEnd w:id="34"/>
    <w:bookmarkStart w:id="35" w:name="random-forest"/>
    <w:p>
      <w:pPr>
        <w:pStyle w:val="Kop2"/>
      </w:pPr>
      <w:r>
        <w:t xml:space="preserve">2.4 Random Forest</w:t>
      </w:r>
    </w:p>
    <w:p>
      <w:pPr>
        <w:pStyle w:val="FirstParagraph"/>
      </w:pPr>
      <w:r>
        <w:t xml:space="preserve">Random Forest is geïmplementeerd met het</w:t>
      </w:r>
      <w:r>
        <w:t xml:space="preserve"> </w:t>
      </w:r>
      <w:r>
        <w:rPr>
          <w:rStyle w:val="VerbatimChar"/>
        </w:rPr>
        <w:t xml:space="preserve">ranger</w:t>
      </w:r>
      <w:r>
        <w:t xml:space="preserve">-package. Instellingen:</w:t>
      </w:r>
    </w:p>
    <w:p>
      <w:pPr>
        <w:pStyle w:val="Compact"/>
        <w:numPr>
          <w:ilvl w:val="0"/>
          <w:numId w:val="1004"/>
        </w:numPr>
      </w:pPr>
      <w:r>
        <w:t xml:space="preserve">Splitsing:</w:t>
      </w:r>
      <w:r>
        <w:t xml:space="preserve"> </w:t>
      </w:r>
      <w:r>
        <w:rPr>
          <w:b/>
          <w:bCs/>
        </w:rPr>
        <w:t xml:space="preserve">60% train / 20% validatie / 20% test</w:t>
      </w:r>
      <w:r>
        <w:t xml:space="preserve"> </w:t>
      </w:r>
      <w:r>
        <w:t xml:space="preserve">(zelfde seed als XGBoost niet van toepassing; eigen seed</w:t>
      </w:r>
      <w:r>
        <w:t xml:space="preserve"> </w:t>
      </w:r>
      <w:r>
        <w:rPr>
          <w:rStyle w:val="VerbatimChar"/>
        </w:rPr>
        <w:t xml:space="preserve">5823</w:t>
      </w:r>
      <w:r>
        <w:t xml:space="preserve">)</w:t>
      </w:r>
    </w:p>
    <w:p>
      <w:pPr>
        <w:pStyle w:val="Compact"/>
        <w:numPr>
          <w:ilvl w:val="0"/>
          <w:numId w:val="1004"/>
        </w:numPr>
      </w:pPr>
      <w:r>
        <w:t xml:space="preserve">Aantal bomen: 500; mtry:</w:t>
      </w:r>
    </w:p>
    <w:p>
      <w:pPr>
        <w:pStyle w:val="Compact"/>
      </w:pPr>
      <m:oMathPara>
        <m:oMathParaPr>
          <m:jc m:val="center"/>
        </m:oMathParaPr>
        <m:oMath>
          <m:r>
            <m:rPr>
              <m:sty m:val="p"/>
            </m:rPr>
            <m:t>⌊</m:t>
          </m:r>
          <m:rad>
            <m:radPr>
              <m:degHide m:val="on"/>
            </m:radPr>
            <m:deg/>
            <m:e>
              <m:r>
                <m:t>p</m:t>
              </m:r>
            </m:e>
          </m:rad>
          <m:r>
            <m:rPr>
              <m:sty m:val="p"/>
            </m:rPr>
            <m:t>⌋</m:t>
          </m:r>
        </m:oMath>
      </m:oMathPara>
    </w:p>
    <w:p>
      <w:pPr>
        <w:pStyle w:val="Compact"/>
        <w:numPr>
          <w:ilvl w:val="0"/>
          <w:numId w:val="1000"/>
        </w:numPr>
      </w:pPr>
      <w:r>
        <w:t xml:space="preserve">; minimale knoopgrootte: 5</w:t>
      </w:r>
    </w:p>
    <w:p>
      <w:pPr>
        <w:pStyle w:val="Compact"/>
        <w:numPr>
          <w:ilvl w:val="0"/>
          <w:numId w:val="1004"/>
        </w:numPr>
      </w:pPr>
      <w:r>
        <w:t xml:space="preserve">Importantie:</w:t>
      </w:r>
      <w:r>
        <w:t xml:space="preserve"> </w:t>
      </w:r>
      <w:r>
        <w:rPr>
          <w:b/>
          <w:bCs/>
        </w:rPr>
        <w:t xml:space="preserve">permutation importance</w:t>
      </w:r>
      <w:r>
        <w:t xml:space="preserve"> </w:t>
      </w:r>
      <w:r>
        <w:t xml:space="preserve">(ΔMSE bij kolomschuddeling)</w:t>
      </w:r>
    </w:p>
    <w:p>
      <w:pPr>
        <w:pStyle w:val="Compact"/>
        <w:numPr>
          <w:ilvl w:val="0"/>
          <w:numId w:val="1004"/>
        </w:numPr>
      </w:pPr>
      <w:r>
        <w:t xml:space="preserve">OOB-fout beschikbaar als interne validatiemaatstaf</w:t>
      </w:r>
    </w:p>
    <w:bookmarkEnd w:id="35"/>
    <w:bookmarkStart w:id="36" w:name="Xd301f5b7aea8993c845a681c2f33ee53520f30d"/>
    <w:p>
      <w:pPr>
        <w:pStyle w:val="Kop2"/>
      </w:pPr>
      <w:r>
        <w:t xml:space="preserve">2.5 Ruimtelijke cross-validatie (leave-one-waterschap-out)</w:t>
      </w:r>
    </w:p>
    <w:p>
      <w:pPr>
        <w:pStyle w:val="FirstParagraph"/>
      </w:pPr>
      <w:r>
        <w:t xml:space="preserve">Om te testen of modellen generaliseren naar ruimtelijk nieuwe gebieden is een leave-one-waterschap-out cross-validatie uitgevoerd voor zowel XGBoost als Random Forest. Per fold wordt één waterschap volledig uit de trainset gehouden en als testset gebruikt. Correcties toegepast:</w:t>
      </w:r>
    </w:p>
    <w:p>
      <w:pPr>
        <w:pStyle w:val="Compact"/>
        <w:numPr>
          <w:ilvl w:val="0"/>
          <w:numId w:val="1005"/>
        </w:numPr>
      </w:pPr>
      <w:r>
        <w:t xml:space="preserve">Folds met minder dan 3 testlocaties of minder dan 20 trainlocaties zijn weggelaten</w:t>
      </w:r>
    </w:p>
    <w:p>
      <w:pPr>
        <w:pStyle w:val="Compact"/>
        <w:numPr>
          <w:ilvl w:val="0"/>
          <w:numId w:val="1005"/>
        </w:numPr>
      </w:pPr>
      <w:r>
        <w:t xml:space="preserve">Waterschappen met minder dan 10 testlocaties zijn uitgesloten van de R²-plot (te klein voor betrouwbare schatting)</w:t>
      </w:r>
    </w:p>
    <w:p>
      <w:pPr>
        <w:pStyle w:val="Compact"/>
        <w:numPr>
          <w:ilvl w:val="0"/>
          <w:numId w:val="1005"/>
        </w:numPr>
      </w:pPr>
      <w:r>
        <w:t xml:space="preserve">RMSE% (RMSE als percentage van het gemiddelde van de doelvariabele) is gebruikt voor vergelijkbaarheid tussen targets met verschillende eenheden</w:t>
      </w:r>
    </w:p>
    <w:bookmarkEnd w:id="36"/>
    <w:bookmarkStart w:id="37" w:name="gam-met-ruimtelijke-smoothing"/>
    <w:p>
      <w:pPr>
        <w:pStyle w:val="Kop2"/>
      </w:pPr>
      <w:r>
        <w:t xml:space="preserve">2.6 GAM met ruimtelijke smoothing</w:t>
      </w:r>
    </w:p>
    <w:p>
      <w:pPr>
        <w:pStyle w:val="FirstParagraph"/>
      </w:pPr>
      <w:r>
        <w:t xml:space="preserve">Als aanvullend interpretatiemodel is per target een Generalized Additive Model (GAM) gefit met</w:t>
      </w:r>
      <w:r>
        <w:t xml:space="preserve"> </w:t>
      </w:r>
      <w:r>
        <w:rPr>
          <w:rStyle w:val="VerbatimChar"/>
        </w:rPr>
        <w:t xml:space="preserve">mgcv::gam</w:t>
      </w:r>
      <w:r>
        <w:t xml:space="preserve">, uitgerust met:</w:t>
      </w:r>
    </w:p>
    <w:p>
      <w:pPr>
        <w:pStyle w:val="Compact"/>
        <w:numPr>
          <w:ilvl w:val="0"/>
          <w:numId w:val="1006"/>
        </w:numPr>
      </w:pPr>
      <w:r>
        <w:t xml:space="preserve">Univariate smooths voor de top-5 predictoren in het XG-Boost model (op basis van permutation importance)</w:t>
      </w:r>
    </w:p>
    <w:p>
      <w:pPr>
        <w:pStyle w:val="Compact"/>
        <w:numPr>
          <w:ilvl w:val="0"/>
          <w:numId w:val="1006"/>
        </w:numPr>
      </w:pPr>
      <w:r>
        <w:t xml:space="preserve">Een tweedimensionale ruimtelijke smooth</w:t>
      </w:r>
      <w:r>
        <w:t xml:space="preserve"> </w:t>
      </w:r>
      <w:r>
        <w:rPr>
          <w:rStyle w:val="VerbatimChar"/>
        </w:rPr>
        <w:t xml:space="preserve">s(lon, lat, bs="sos")</w:t>
      </w:r>
      <w:r>
        <w:t xml:space="preserve"> </w:t>
      </w:r>
      <w:r>
        <w:t xml:space="preserve">om gebiedseffecten op te vangen</w:t>
      </w:r>
    </w:p>
    <w:p>
      <w:pPr>
        <w:pStyle w:val="Compact"/>
        <w:numPr>
          <w:ilvl w:val="0"/>
          <w:numId w:val="1006"/>
        </w:numPr>
      </w:pPr>
      <w:r>
        <w:t xml:space="preserve">Penalisatie via</w:t>
      </w:r>
      <w:r>
        <w:t xml:space="preserve"> </w:t>
      </w:r>
      <w:r>
        <w:rPr>
          <w:rStyle w:val="VerbatimChar"/>
        </w:rPr>
        <w:t xml:space="preserve">select = TRUE</w:t>
      </w:r>
      <w:r>
        <w:t xml:space="preserve"> </w:t>
      </w:r>
      <w:r>
        <w:t xml:space="preserve">(REML), waardoor niet-significante smooths automatisch naar nul worden gekrompen</w:t>
      </w:r>
    </w:p>
    <w:bookmarkEnd w:id="37"/>
    <w:bookmarkEnd w:id="38"/>
    <w:bookmarkStart w:id="88" w:name="resultaten"/>
    <w:p>
      <w:pPr>
        <w:pStyle w:val="Kop1"/>
      </w:pPr>
      <w:r>
        <w:t xml:space="preserve">3. Resultaten</w:t>
      </w:r>
    </w:p>
    <w:bookmarkStart w:id="43" w:name="Xe2588a651778c242a4874f71f81226f846eeca5"/>
    <w:p>
      <w:pPr>
        <w:pStyle w:val="Kop2"/>
      </w:pPr>
      <w:r>
        <w:t xml:space="preserve">3.1 Overeenkomst veensloottypen op basis van ruimtelijke clusters vs. variabele-gebaseerde clusters</w:t>
      </w:r>
    </w:p>
    <w:p>
      <w:pPr>
        <w:pStyle w:val="FirstParagraph"/>
      </w:pPr>
      <w:r>
        <w:t xml:space="preserve">Per VeeST-locatie is op basis van de vier gemeten variabelen (drooglegging, waterbreedte, OS, klei) het dichtstbijzijnde GIS-cluster bepaald via de Euclidische afstand in de gestandaardiseerde variabelenruimte (z-scores op basis van de GIS-populatieparameters). Dit variabele-gebaseerde cluster is vervolgens vergeleken met het ruimtelijk toegewezen cluster uit de verkenningsfase.</w:t>
      </w:r>
    </w:p>
    <w:tbl>
      <w:tblPr>
        <w:tblStyle w:val="Table"/>
        <w:tblW w:type="pct" w:w="5000"/>
        <w:tblLayout w:type="fixed"/>
        <w:tblLook w:firstRow="0" w:lastRow="0" w:firstColumn="0" w:lastColumn="0" w:noHBand="0" w:noVBand="0" w:val="0000"/>
      </w:tblPr>
      <w:tblGrid>
        <w:gridCol w:w="7920"/>
      </w:tblGrid>
      <w:tr>
        <w:tc>
          <w:tcPr/>
          <w:bookmarkStart w:id="42" w:name="fig-cluster-vergelijking"/>
          <w:p>
            <w:pPr>
              <w:pStyle w:val="Compact"/>
              <w:jc w:val="center"/>
            </w:pPr>
            <w:r>
              <w:drawing>
                <wp:inline>
                  <wp:extent cx="5753100" cy="3595687"/>
                  <wp:effectExtent b="0" l="0" r="0" t="0"/>
                  <wp:docPr descr="" title="" id="40" name="Picture"/>
                  <a:graphic>
                    <a:graphicData uri="http://schemas.openxmlformats.org/drawingml/2006/picture">
                      <pic:pic>
                        <pic:nvPicPr>
                          <pic:cNvPr descr="rapport_modellering_VeeST_files/figure-docx/fig-cluster-vergelijking-1.png" id="41" name="Picture"/>
                          <pic:cNvPicPr>
                            <a:picLocks noChangeArrowheads="1" noChangeAspect="1"/>
                          </pic:cNvPicPr>
                        </pic:nvPicPr>
                        <pic:blipFill>
                          <a:blip r:embed="rId39"/>
                          <a:stretch>
                            <a:fillRect/>
                          </a:stretch>
                        </pic:blipFill>
                        <pic:spPr bwMode="auto">
                          <a:xfrm>
                            <a:off x="0" y="0"/>
                            <a:ext cx="5753100" cy="3595687"/>
                          </a:xfrm>
                          <a:prstGeom prst="rect">
                            <a:avLst/>
                          </a:prstGeom>
                          <a:noFill/>
                          <a:ln w="9525">
                            <a:noFill/>
                            <a:headEnd/>
                            <a:tailEnd/>
                          </a:ln>
                        </pic:spPr>
                      </pic:pic>
                    </a:graphicData>
                  </a:graphic>
                </wp:inline>
              </w:drawing>
            </w:r>
          </w:p>
          <w:p>
            <w:pPr>
              <w:jc w:val="center"/>
            </w:pPr>
            <w:pPr>
              <w:jc w:val="left"/>
              <w:spacing w:before="200"/>
              <w:pStyle w:val="ImageCaption"/>
            </w:pPr>
            <w:r>
              <w:t xml:space="preserve">Figuur 1: Verwarringsmatrix: ruimtelijk bepaald cluster op basis van GIS-data (y-as) versus clusters op basis van in VeeST gemeten variabelen (x-as). Diagonaal = overeenkomst.</w:t>
            </w:r>
          </w:p>
          <w:bookmarkEnd w:id="42"/>
        </w:tc>
      </w:tr>
    </w:tbl>
    <w:p>
      <w:pPr>
        <w:pStyle w:val="BodyText"/>
      </w:pPr>
      <w:r>
        <w:t xml:space="preserve">De overeenkomst tussen ruimtelijk en variabele-gebaseerde clusterindeling geeft aan in hoeverre de GIS-clustertypen ook in de gemeten data onderscheidbaar zijn. Een lage overeenkomst wijst op systematische afwijkingen tussen GIS-laag en veldmeting (zoals de OS- en droogleggingsverschillen die hieronder worden besproken), of op grote variatie binnen clusters.</w:t>
      </w:r>
    </w:p>
    <w:p>
      <w:pPr>
        <w:pStyle w:val="BodyText"/>
      </w:pPr>
      <w:r>
        <w:t xml:space="preserve">De overall overeenkomst bedraagt slechts 18.7% — veel lager dan bij een willekeurige toewijzing zou worden verwacht. Dit lage percentage is te verklaren door twee samenhangende effecten die elkaar versterken:</w:t>
      </w:r>
    </w:p>
    <w:p>
      <w:pPr>
        <w:pStyle w:val="Compact"/>
        <w:numPr>
          <w:ilvl w:val="0"/>
          <w:numId w:val="1007"/>
        </w:numPr>
      </w:pPr>
      <w:r>
        <w:rPr>
          <w:b/>
          <w:bCs/>
        </w:rPr>
        <w:t xml:space="preserve">Hoge OS in VeeST</w:t>
      </w:r>
      <w:r>
        <w:t xml:space="preserve">: de veldmetingen hebben structureel hogere OS-waarden (mediaan 36%) dan de GIS-laag (mediaan 21%). Cluster 2 heeft in de GIS-indeling de hoogste OS-waarde (30%) en trekt daardoor de meeste VeeST-locaties aan.</w:t>
      </w:r>
    </w:p>
    <w:p>
      <w:pPr>
        <w:pStyle w:val="Compact"/>
        <w:numPr>
          <w:ilvl w:val="0"/>
          <w:numId w:val="1007"/>
        </w:numPr>
      </w:pPr>
      <w:r>
        <w:rPr>
          <w:b/>
          <w:bCs/>
        </w:rPr>
        <w:t xml:space="preserve">Kleine drooglegging in VeeST</w:t>
      </w:r>
      <w:r>
        <w:t xml:space="preserve">: de gemeten drooglegging in VeeST (mediaan 0.33 m) past het best bij cluster 1 (GIS-mediaan 0.21 m) en cluster 2 (0.37 m) — de clusters met de kleinste drooglegging in de GIS-indeling. Clusters 3 t/m 8 hebben hogere droogleggingen (0.44–1.36 m) en vallen daardoor af.</w:t>
      </w:r>
    </w:p>
    <w:p>
      <w:pPr>
        <w:pStyle w:val="FirstParagraph"/>
      </w:pPr>
      <w:r>
        <w:t xml:space="preserve">Doordat beide effecten in dezelfde richting wijzen — hoge OS én kleine drooglegging leiden beiden naar cluster 1 of 2 — komen vrijwel alle locaties bij die twee clusters terecht. Dit is zichtbaar in de verwarringsmatrix als een concentratie van getallen in de eerste twee kolommen.</w:t>
      </w:r>
    </w:p>
    <w:p>
      <w:pPr>
        <w:pStyle w:val="BodyText"/>
      </w:pPr>
      <w:r>
        <w:t xml:space="preserve">Dit betekent niet dat de clusterindeling uit de verkenningsfase onjuist is, maar dat de GIS-laag en de veldmeting verschillende schaalniveaus beschrijven en zijn gebaseerd op verschillende bronnen, waarbij de relatieve waarde van variabelen vergelijkbaar is maar de absolute waarde niet. De GIS-laag representeert een gemiddeld perceel binnen een gemiddeld peilvak in het Nederlandse veenweidegebied, terwijl de VeeST-metingen oevers en sloten op standplaatsniveau in beeld heeft gebracht. De clusterindeling blijft zinvol als ruimtelijk kader, maar de absolute drempelwaarden voor OS, klei en drooglegging zijn niet direct vergelijkbaar tussen GIS en veld.</w:t>
      </w:r>
    </w:p>
    <w:bookmarkEnd w:id="43"/>
    <w:bookmarkStart w:id="48" w:name="schaalbereik-gis-laag-vs.-veldmeting"/>
    <w:p>
      <w:pPr>
        <w:pStyle w:val="Kop2"/>
      </w:pPr>
      <w:r>
        <w:t xml:space="preserve">3.2 Schaalbereik GIS-laag vs. veldmeting</w:t>
      </w:r>
    </w:p>
    <w:tbl>
      <w:tblPr>
        <w:tblStyle w:val="Table"/>
        <w:tblW w:type="pct" w:w="5000"/>
        <w:tblLayout w:type="fixed"/>
        <w:tblLook w:firstRow="0" w:lastRow="0" w:firstColumn="0" w:lastColumn="0" w:noHBand="0" w:noVBand="0" w:val="0000"/>
      </w:tblPr>
      <w:tblGrid>
        <w:gridCol w:w="7920"/>
      </w:tblGrid>
      <w:tr>
        <w:tc>
          <w:tcPr/>
          <w:bookmarkStart w:id="47" w:name="fig-cluster-bereik"/>
          <w:p>
            <w:pPr>
              <w:pStyle w:val="Compact"/>
              <w:jc w:val="center"/>
            </w:pPr>
            <w:r>
              <w:drawing>
                <wp:inline>
                  <wp:extent cx="5753100" cy="3835400"/>
                  <wp:effectExtent b="0" l="0" r="0" t="0"/>
                  <wp:docPr descr="" title="" id="45" name="Picture"/>
                  <a:graphic>
                    <a:graphicData uri="http://schemas.openxmlformats.org/drawingml/2006/picture">
                      <pic:pic>
                        <pic:nvPicPr>
                          <pic:cNvPr descr="rapport_modellering_VeeST_files/figure-docx/fig-cluster-bereik-1.png" id="46" name="Picture"/>
                          <pic:cNvPicPr>
                            <a:picLocks noChangeArrowheads="1" noChangeAspect="1"/>
                          </pic:cNvPicPr>
                        </pic:nvPicPr>
                        <pic:blipFill>
                          <a:blip r:embed="rId44"/>
                          <a:stretch>
                            <a:fillRect/>
                          </a:stretch>
                        </pic:blipFill>
                        <pic:spPr bwMode="auto">
                          <a:xfrm>
                            <a:off x="0" y="0"/>
                            <a:ext cx="5753100" cy="3835400"/>
                          </a:xfrm>
                          <a:prstGeom prst="rect">
                            <a:avLst/>
                          </a:prstGeom>
                          <a:noFill/>
                          <a:ln w="9525">
                            <a:noFill/>
                            <a:headEnd/>
                            <a:tailEnd/>
                          </a:ln>
                        </pic:spPr>
                      </pic:pic>
                    </a:graphicData>
                  </a:graphic>
                </wp:inline>
              </w:drawing>
            </w:r>
          </w:p>
          <w:p>
            <w:pPr>
              <w:jc w:val="center"/>
            </w:pPr>
            <w:pPr>
              <w:jc w:val="left"/>
              <w:spacing w:before="200"/>
              <w:pStyle w:val="ImageCaption"/>
            </w:pPr>
            <w:r>
              <w:t xml:space="preserve">Figuur 2: Schaalbereik (P10–mediaan–P90) van GIS-laag (NOBV) en VeeST velddata per variabele. Drooglegging toont drie bronnen: GIS-clusteranalyse (drooglegging obv jaarrondpeil en ahn3), GIS-laag (NOBV) met zomerdrooglegging die in het SOMERS-model wordt gebruikt en VeeST veldmetingen.</w:t>
            </w:r>
          </w:p>
          <w:bookmarkEnd w:id="47"/>
        </w:tc>
      </w:tr>
    </w:tbl>
    <w:p>
      <w:pPr>
        <w:pStyle w:val="BodyText"/>
      </w:pPr>
      <w:r>
        <w:t xml:space="preserve">Voor de meeste variabelen (waterbreedte, klei, OS, maaiveld, zomerpeil) verschilt het schaalbereik van de GIS-laag en de veldmeting. Opvallende systematische verschillen:</w:t>
      </w:r>
    </w:p>
    <w:p>
      <w:pPr>
        <w:pStyle w:val="BodyText"/>
      </w:pPr>
      <w:r>
        <w:rPr>
          <w:b/>
          <w:bCs/>
        </w:rPr>
        <w:t xml:space="preserve">Organisch stofgehalte (OS)</w:t>
      </w:r>
      <w:r>
        <w:t xml:space="preserve"> </w:t>
      </w:r>
      <w:r>
        <w:t xml:space="preserve">is in de VeeST-veldmetingen structureel hoger dan in de GIS-laag: mediaan VeeST 36% vs. GIS 21% — een verschil van +15 procentpunt. Dit is te verwachten: de GIS-laag (obv NMI bodemSchat5) is een bredere representatie van alle bodemtypen, ook bodems met een laag OS gehalte. Het ruimtelijk model waarmee deze kaart is gemaakt is getraind op een dataset die niet specifiek is geselecteerd op veenweidelocaties, waardoor hoge OS-waarden worden onderschat in het model.</w:t>
      </w:r>
    </w:p>
    <w:p>
      <w:pPr>
        <w:pStyle w:val="BodyText"/>
      </w:pPr>
      <w:r>
        <w:rPr>
          <w:b/>
          <w:bCs/>
        </w:rPr>
        <w:t xml:space="preserve">Kleigehalte</w:t>
      </w:r>
      <w:r>
        <w:t xml:space="preserve"> </w:t>
      </w:r>
      <w:r>
        <w:t xml:space="preserve">is in VeeST lager dan in de GIS-laag: mediaan VeeST 15% vs. GIS 23% — een verschil van −8 procentpunt. Dit hangt samen met de hogere OS in VeeST: locaties met veel organisch materiaal hebben doorgaans minder klei. De selectie op veenweidelocaties leidt dus tegelijkertijd tot hogere OS én lagere klei ten opzichte van de brede GIS-populatie.</w:t>
      </w:r>
    </w:p>
    <w:p>
      <w:pPr>
        <w:pStyle w:val="BodyText"/>
      </w:pPr>
      <w:r>
        <w:rPr>
          <w:b/>
          <w:bCs/>
        </w:rPr>
        <w:t xml:space="preserve">Drooglegging</w:t>
      </w:r>
      <w:r>
        <w:t xml:space="preserve"> </w:t>
      </w:r>
      <w:r>
        <w:t xml:space="preserve">toont in VeeST een systematisch verschil tussen de drie bronnen:</w:t>
      </w:r>
      <w:r>
        <w:t xml:space="preserve"> </w:t>
      </w:r>
      <w:r>
        <w:t xml:space="preserve">- GIS-clusteranalyse (drlg): mediaan ~0.49 m, gebaseerd op AHN3 maaiveld minus jaarrondstreefpeil uit NHI.</w:t>
      </w:r>
      <w:r>
        <w:t xml:space="preserve"> </w:t>
      </w:r>
      <w:r>
        <w:t xml:space="preserve">- Zomerdrooglegging NOBV: mediaan ~0.47 m, gebaseerd op maaiveld minus zomerpeil.</w:t>
      </w:r>
      <w:r>
        <w:t xml:space="preserve"> </w:t>
      </w:r>
      <w:r>
        <w:t xml:space="preserve">- VeeST veldmeting (drglg): mediaan ~0.33 m, berekend als gemeten maaiveld (</w:t>
      </w:r>
      <w:r>
        <w:rPr>
          <w:rStyle w:val="VerbatimChar"/>
        </w:rPr>
        <w:t xml:space="preserve">max_hgt_or</w:t>
      </w:r>
      <w:r>
        <w:t xml:space="preserve">) minus gemeten waterpeil (</w:t>
      </w:r>
      <w:r>
        <w:rPr>
          <w:rStyle w:val="VerbatimChar"/>
        </w:rPr>
        <w:t xml:space="preserve">wl</w:t>
      </w:r>
      <w:r>
        <w:t xml:space="preserve">) tijdens het veldbezoek.</w:t>
      </w:r>
    </w:p>
    <w:p>
      <w:pPr>
        <w:pStyle w:val="BodyText"/>
      </w:pPr>
      <w:r>
        <w:t xml:space="preserve">Het verschil tussen de GIS-clusteranalyse en de Zomerdrooglegging NOBV (~0.02 m) is klein en te verklaren doordat beide methoden vergelijkbare peilen gebruiken — het verschil dat resteert is vooral het gevolg van het gebruik van een jaarrondpeil (GIS-cluster) versus een zomerpeil (NOBV). Een zomerpeil is doorgaans hoger dan het jaargemiddelde, waardoor de zomerdrooglegging iets kleiner uitvalt dan de GIS-clusterdrooglegging.</w:t>
      </w:r>
    </w:p>
    <w:p>
      <w:pPr>
        <w:pStyle w:val="BodyText"/>
      </w:pPr>
      <w:r>
        <w:t xml:space="preserve">Het verschil tussen de NOBV zomerdrooglegging (~0.47 m) en de VeeST veldmeting (~0.33 m) bedraagt ~0.14 m. Dit is consistent met het verschil in maaiveld (GIS − VeeST: +0.34 m) minus het verschil in peil (GIS − VeeST: +0.20 m): 0.34 − 0.20 = 0.14 m, wat bevestigt dat de meting intern consistent is.</w:t>
      </w:r>
    </w:p>
    <w:p>
      <w:pPr>
        <w:pStyle w:val="BodyText"/>
      </w:pPr>
      <w:r>
        <w:t xml:space="preserve">De spreiding (P10–P90) in de VeeST-veldmeting van drooglegging (0.32 m) is opvallend veel kleiner dan de spreiding in maaiveld (~1.86 m) en zomerpeil (~1.77 m) afzonderlijk. Dit is wiskundig te verwachten: maaiveld en waterpeil covariëren sterk (r = 0.98 in VeeST). Binnen individuele peilgebieden volgt het peil het maaiveld grotendeels, waardoor hun verschil — de drooglegging — weinig varieert. De variatie die wel bestaat in maaiveld en peil is grotendeels gedeelde regionale variatie die wegvalt bij aftrekking. De NOBV-zomerdrooglegging heeft een grotere spreiding (0.68 m) dan de VeeST-meting (0.32 m), omdat de NOBV-dataset een groter geografisch bereik dekt en de correlatie tussen maaiveld en peil iets lager is in deze NOBV-dataset (r = 0.95) dan de dataset van VeeST (r = 0.98). Dit kleine correlatieverschil leidt tot een substantieel grotere spreiding in het verschil; In de VeeST-dataset bewegen waterpeil en maaiveld perfect met elkaar mee, terwijl in de NOBV-dataset het waterpeil het maaiveld iets minder goed volgt, waardoor er meer spreiding in het verschil (drooglegging) ontstaat. In de NOBV-dataset kan het maaiveld binnen één peilvak behoorlijk variëren, terwijl het op papier vastgestelde peil gelijk is in ruimte en tijd en niet gelijk hoeft te zijn aan het werkelijke gemiddelde peil.</w:t>
      </w:r>
    </w:p>
    <w:bookmarkEnd w:id="48"/>
    <w:bookmarkStart w:id="53" w:name="afwijking-per-cluster-en-per-gebied"/>
    <w:p>
      <w:pPr>
        <w:pStyle w:val="Kop2"/>
      </w:pPr>
      <w:r>
        <w:t xml:space="preserve">3.3 Afwijking per cluster en per gebied</w:t>
      </w:r>
    </w:p>
    <w:tbl>
      <w:tblPr>
        <w:tblStyle w:val="Table"/>
        <w:tblW w:type="pct" w:w="5000"/>
        <w:tblLayout w:type="fixed"/>
        <w:tblLook w:firstRow="0" w:lastRow="0" w:firstColumn="0" w:lastColumn="0" w:noHBand="0" w:noVBand="0" w:val="0000"/>
      </w:tblPr>
      <w:tblGrid>
        <w:gridCol w:w="7920"/>
      </w:tblGrid>
      <w:tr>
        <w:tc>
          <w:tcPr/>
          <w:bookmarkStart w:id="52" w:name="fig-cluster-afwijking"/>
          <w:p>
            <w:pPr>
              <w:pStyle w:val="Compact"/>
              <w:jc w:val="center"/>
            </w:pPr>
            <w:r>
              <w:drawing>
                <wp:inline>
                  <wp:extent cx="5753100" cy="4314825"/>
                  <wp:effectExtent b="0" l="0" r="0" t="0"/>
                  <wp:docPr descr="" title="" id="50" name="Picture"/>
                  <a:graphic>
                    <a:graphicData uri="http://schemas.openxmlformats.org/drawingml/2006/picture">
                      <pic:pic>
                        <pic:nvPicPr>
                          <pic:cNvPr descr="rapport_modellering_VeeST_files/figure-docx/fig-cluster-afwijking-1.png" id="51" name="Picture"/>
                          <pic:cNvPicPr>
                            <a:picLocks noChangeArrowheads="1" noChangeAspect="1"/>
                          </pic:cNvPicPr>
                        </pic:nvPicPr>
                        <pic:blipFill>
                          <a:blip r:embed="rId49"/>
                          <a:stretch>
                            <a:fillRect/>
                          </a:stretch>
                        </pic:blipFill>
                        <pic:spPr bwMode="auto">
                          <a:xfrm>
                            <a:off x="0" y="0"/>
                            <a:ext cx="5753100" cy="4314825"/>
                          </a:xfrm>
                          <a:prstGeom prst="rect">
                            <a:avLst/>
                          </a:prstGeom>
                          <a:noFill/>
                          <a:ln w="9525">
                            <a:noFill/>
                            <a:headEnd/>
                            <a:tailEnd/>
                          </a:ln>
                        </pic:spPr>
                      </pic:pic>
                    </a:graphicData>
                  </a:graphic>
                </wp:inline>
              </w:drawing>
            </w:r>
          </w:p>
          <w:p>
            <w:pPr>
              <w:jc w:val="center"/>
            </w:pPr>
            <w:pPr>
              <w:jc w:val="left"/>
              <w:spacing w:before="200"/>
              <w:pStyle w:val="ImageCaption"/>
            </w:pPr>
            <w:r>
              <w:t xml:space="preserve">Figuur 3: Afwijking veldmeting t.o.v. GIS-clustermediane per cluster. Elke punt = één locatie (SlootID), gekleurd per gebied. Stippellijn = geen afwijking.</w:t>
            </w:r>
          </w:p>
          <w:bookmarkEnd w:id="52"/>
        </w:tc>
      </w:tr>
    </w:tbl>
    <w:p>
      <w:pPr>
        <w:pStyle w:val="BodyText"/>
      </w:pPr>
      <w:r>
        <w:t xml:space="preserve">De afwijkingen per gebied zijn niet gelijkmatig verdeeld over de clusters: sommige gebieden wijken systematisch af voor drooglegging (negatieve bias: veldmeting lager dan GIS), wat wijst op (lokale) peilafwijkingen of peilwijzigingen die niet in de GIS-laag met peilvakken staan.</w:t>
      </w:r>
    </w:p>
    <w:p>
      <w:pPr>
        <w:pStyle w:val="BodyText"/>
      </w:pPr>
      <w:r>
        <w:t xml:space="preserve">De drooglegging-bias is voor de meeste gebieden negatief: de VeeST-veldmeting geeft een kleinere drooglegging dan de GIS-clusterwaarde. De sterkste negatieve bias zit bij Idzegea (IG, −0.42 m), gevolgd door Hegewarren (HW, −0.41 m) en Blesdijke (BD, −0.27 m). In Hegewarren en Stein Noord is de oorzaak dat de gemeten waterpeilen hoger zijn dan het mediane zomerpeil van het veenslootype — waterpeilen zijn hier recent verhoogd en deze verhoging staat nog niet geregistreerd in de gebruikte ruimtelijke bestanden van het NOBV. Ook in veel andere gebieden is het gemeten peil hoger dan de mediane peilwaarde van het GIS-cluster; in de meeste gevallen is de afwijking echter klein (−0.05 tot −0.15 m) en hangt dit samen met de variatie in het waterpeil binnen het GIS-cluster (deze variatie is niet te zien in bovenstaand figuur). Het maaiveld is in de meeste gebieden juist lager dan het GIS-clustermediaan. De combinatie van een hoger peil en een lager maaiveld leidt tot een grotere negatieve bias in de drooglegging.</w:t>
      </w:r>
    </w:p>
    <w:p>
      <w:pPr>
        <w:pStyle w:val="BodyText"/>
      </w:pPr>
      <w:r>
        <w:t xml:space="preserve">Het maaiveld verschilt sterk in Aarlanderveen (AR), Assendelft (AD) en Akkerdijkse polder (DP): het gemeten maaiveld aan de slootkant (~−3.2 tot −4.3 m NAP) ligt ~2 m lager dan de clustermediaan (~−1 tot −1.9 m NAP). Belangrijk hierbij is dat de clustermediaan de</w:t>
      </w:r>
      <w:r>
        <w:t xml:space="preserve"> </w:t>
      </w:r>
      <w:r>
        <w:rPr>
          <w:b/>
          <w:bCs/>
        </w:rPr>
        <w:t xml:space="preserve">mediane waarde van alle locaties in dat GIS-cluster</w:t>
      </w:r>
      <w:r>
        <w:t xml:space="preserve"> </w:t>
      </w:r>
      <w:r>
        <w:t xml:space="preserve">is, verspreid over het hele veenweidegebied — er zit dus ook spreiding in de GIS-data zelf. De grote afwijking voor AD en AR betekent niet per se dat de GIS-laag fout is, maar dat deze locaties aan de onderkant van de spreiding van hun cluster vallen: ze liggen in diepere polders of onderbemalingen. Zowel maaiveld als peil zijn ~2 m lager dan de clustermediaan, waardoor de twee afwijkingen elkaar grotendeels compenseren en de drooglegging-bias klein blijft (−0.03 tot −0.16 m).</w:t>
      </w:r>
    </w:p>
    <w:p>
      <w:pPr>
        <w:pStyle w:val="BodyText"/>
      </w:pPr>
      <w:r>
        <w:t xml:space="preserve">De OS-bias is voor vrijwel alle gebieden positief (VeeST hoger dan GIS), zoals hierboven besproken.</w:t>
      </w:r>
    </w:p>
    <w:bookmarkEnd w:id="53"/>
    <w:bookmarkStart w:id="58" w:name="Xa7add76d7ba569f220ff6201043ec8959a3c9cb"/>
    <w:p>
      <w:pPr>
        <w:pStyle w:val="Kop2"/>
      </w:pPr>
      <w:r>
        <w:t xml:space="preserve">3.4 Oppervlaktewaterpeilen VeeST meting tov praktijkpeilen in GIS laag (NOBV)</w:t>
      </w:r>
    </w:p>
    <w:tbl>
      <w:tblPr>
        <w:tblStyle w:val="Table"/>
        <w:tblW w:type="pct" w:w="5000"/>
        <w:tblLayout w:type="fixed"/>
        <w:tblLook w:firstRow="0" w:lastRow="0" w:firstColumn="0" w:lastColumn="0" w:noHBand="0" w:noVBand="0" w:val="0000"/>
      </w:tblPr>
      <w:tblGrid>
        <w:gridCol w:w="7920"/>
      </w:tblGrid>
      <w:tr>
        <w:tc>
          <w:tcPr/>
          <w:bookmarkStart w:id="57" w:name="fig-peil-vergelijk"/>
          <w:p>
            <w:pPr>
              <w:pStyle w:val="Compact"/>
              <w:jc w:val="center"/>
            </w:pPr>
            <w:r>
              <w:drawing>
                <wp:inline>
                  <wp:extent cx="5753100" cy="5230090"/>
                  <wp:effectExtent b="0" l="0" r="0" t="0"/>
                  <wp:docPr descr="" title="" id="55" name="Picture"/>
                  <a:graphic>
                    <a:graphicData uri="http://schemas.openxmlformats.org/drawingml/2006/picture">
                      <pic:pic>
                        <pic:nvPicPr>
                          <pic:cNvPr descr="rapport_modellering_VeeST_files/figure-docx/fig-peil-vergelijk-1.png" id="56" name="Picture"/>
                          <pic:cNvPicPr>
                            <a:picLocks noChangeArrowheads="1" noChangeAspect="1"/>
                          </pic:cNvPicPr>
                        </pic:nvPicPr>
                        <pic:blipFill>
                          <a:blip r:embed="rId54"/>
                          <a:stretch>
                            <a:fillRect/>
                          </a:stretch>
                        </pic:blipFill>
                        <pic:spPr bwMode="auto">
                          <a:xfrm>
                            <a:off x="0" y="0"/>
                            <a:ext cx="5753100" cy="5230090"/>
                          </a:xfrm>
                          <a:prstGeom prst="rect">
                            <a:avLst/>
                          </a:prstGeom>
                          <a:noFill/>
                          <a:ln w="9525">
                            <a:noFill/>
                            <a:headEnd/>
                            <a:tailEnd/>
                          </a:ln>
                        </pic:spPr>
                      </pic:pic>
                    </a:graphicData>
                  </a:graphic>
                </wp:inline>
              </w:drawing>
            </w:r>
          </w:p>
          <w:p>
            <w:pPr>
              <w:jc w:val="center"/>
            </w:pPr>
            <w:pPr>
              <w:jc w:val="left"/>
              <w:spacing w:before="200"/>
              <w:pStyle w:val="ImageCaption"/>
            </w:pPr>
            <w:r>
              <w:t xml:space="preserve">Figuur 4: Verschil gemeten waterpeil (VeeST) versus NOBV zomerpeil per gebied</w:t>
            </w:r>
          </w:p>
          <w:bookmarkEnd w:id="57"/>
        </w:tc>
      </w:tr>
    </w:tbl>
    <w:p>
      <w:pPr>
        <w:pStyle w:val="BodyText"/>
      </w:pPr>
      <w:r>
        <w:t xml:space="preserve">Het mediaan verschil over alle locaties is slechts −0.035 m — over het algemeen klopt het NOBV zomerpeil dus goed. Maar er is duidelijke gebiedsspecifieke variatie:</w:t>
      </w:r>
    </w:p>
    <w:p>
      <w:pPr>
        <w:pStyle w:val="BodyText"/>
      </w:pPr>
      <w:r>
        <w:t xml:space="preserve">Positief verschil (gemeten hoger dan NOBV, peilopzet): Hegwewarren, Poppenhuizen, Olde Maten staan bovenaan — waterpeilen zijn hier in werkelijkheid hoger dan het NOBV-zomerpeil aangeeft, mede omdat peilen hier recent zijn verhoogd en dit nog niet op de kaart staat.</w:t>
      </w:r>
      <w:r>
        <w:t xml:space="preserve"> </w:t>
      </w:r>
      <w:r>
        <w:t xml:space="preserve">Negatief verschil (gemeten lager dan NOBV): Eempolder, polder Westzaan, Zuiderveen, Blesdijke en het Wormer- en Jisperveld vallen op. In Westzaan en het Wormer- en Jisperveld komt dit omdat er veel onderbemalingen zijn die niet in de kaart van het NOBV staan. In de andere gebieden is het niet duidelijk waar het verschil door wordt veroorzaakt; wat wel opvallend is, is dat het peil in Blesdijke volgens de deelnemer verhoogd is (waar kan ik info vinden over de GLB pilot?) terwijl het peil op deze locaties ongeveer gelijk is aan het praktijkpeil, terwijl het peil op andere locaties in hetzelfde gebied veel lager liggen dan het praktijkpeil.</w:t>
      </w:r>
    </w:p>
    <w:p>
      <w:pPr>
        <w:pStyle w:val="BodyText"/>
      </w:pPr>
      <w:r>
        <w:t xml:space="preserve">Waterpeilen zijn in werkelijkheid vaak lager dan het peilbesluit. Dit kan komen omdat peilen recent zijn verlaagd en dit niet op de kaart staat of omdat peilen in praktijk lager worden gehouden/ er meer onderbemalingen zijn. Lage peilen zijn onwenselijk voor veenafbraak en broeikasgasemissies en deze worden dus onderschat als oppervlaktewaterpeilen in de basisdata van het NOBV hoger zijn dan in werkelijkheid.</w:t>
      </w:r>
    </w:p>
    <w:bookmarkEnd w:id="58"/>
    <w:bookmarkStart w:id="64" w:name="X933eabad9dd901c7622e2d680e217825ae0b7f3"/>
    <w:p>
      <w:pPr>
        <w:pStyle w:val="Kop2"/>
      </w:pPr>
      <w:r>
        <w:t xml:space="preserve">3.5 Modelperformantie op de testset XGBoost vs. Random Forest</w:t>
      </w:r>
    </w:p>
    <w:tbl>
      <w:tblPr>
        <w:tblStyle w:val="Table"/>
        <w:tblW w:type="pct" w:w="5000"/>
        <w:tblLayout w:type="fixed"/>
        <w:tblLook w:firstRow="0" w:lastRow="0" w:firstColumn="0" w:lastColumn="0" w:noHBand="0" w:noVBand="0" w:val="0000"/>
      </w:tblPr>
      <w:tblGrid>
        <w:gridCol w:w="7920"/>
      </w:tblGrid>
      <w:tr>
        <w:tc>
          <w:tcPr/>
          <w:bookmarkStart w:id="59" w:name="tbl-performance"/>
          <w:p>
            <w:pPr>
              <w:jc w:val="center"/>
            </w:pPr>
            <w:pPr>
              <w:jc w:val="left"/>
              <w:spacing w:before="200"/>
              <w:pStyle w:val="ImageCaption"/>
            </w:pPr>
            <w:r>
              <w:t xml:space="preserve">Tabel 2: Testset R² (%) voor XGBoost en Random Forest per doelvariabele</w:t>
            </w:r>
          </w:p>
          <w:tbl>
            <w:tblPr>
              <w:tblStyle w:val="Table"/>
              <w:tblW w:type="pct" w:w="5000"/>
              <w:tblLayout w:type="fixed"/>
              <w:tblLook w:firstRow="1" w:lastRow="0" w:firstColumn="0" w:lastColumn="0" w:noHBand="0" w:noVBand="0" w:val="0020"/>
            </w:tblPr>
            <w:tblGrid>
              <w:gridCol w:w="2475"/>
              <w:gridCol w:w="1060"/>
              <w:gridCol w:w="1414"/>
              <w:gridCol w:w="707"/>
              <w:gridCol w:w="1414"/>
              <w:gridCol w:w="848"/>
            </w:tblGrid>
            <w:tr>
              <w:trPr>
                <w:tblHeader w:val="on"/>
              </w:trPr>
              <w:tc>
                <w:tcPr/>
                <w:p>
                  <w:pPr>
                    <w:pStyle w:val="Compact"/>
                    <w:jc w:val="left"/>
                    <w:jc w:val="center"/>
                  </w:pPr>
                  <w:r>
                    <w:t xml:space="preserve">Doelvariabele</w:t>
                  </w:r>
                </w:p>
              </w:tc>
              <w:tc>
                <w:tcPr/>
                <w:p>
                  <w:pPr>
                    <w:pStyle w:val="Compact"/>
                    <w:jc w:val="right"/>
                    <w:jc w:val="center"/>
                  </w:pPr>
                  <w:r>
                    <w:t xml:space="preserve">R² XGBoost (%)</w:t>
                  </w:r>
                </w:p>
              </w:tc>
              <w:tc>
                <w:tcPr/>
                <w:p>
                  <w:pPr>
                    <w:pStyle w:val="Compact"/>
                    <w:jc w:val="left"/>
                    <w:jc w:val="center"/>
                  </w:pPr>
                  <w:r>
                    <w:t xml:space="preserve">RMSE XGBoost</w:t>
                  </w:r>
                </w:p>
              </w:tc>
              <w:tc>
                <w:tcPr/>
                <w:p>
                  <w:pPr>
                    <w:pStyle w:val="Compact"/>
                    <w:jc w:val="right"/>
                    <w:jc w:val="center"/>
                  </w:pPr>
                  <w:r>
                    <w:t xml:space="preserve">R² RF (%)</w:t>
                  </w:r>
                </w:p>
              </w:tc>
              <w:tc>
                <w:tcPr/>
                <w:p>
                  <w:pPr>
                    <w:pStyle w:val="Compact"/>
                    <w:jc w:val="left"/>
                    <w:jc w:val="center"/>
                  </w:pPr>
                  <w:r>
                    <w:t xml:space="preserve">RMSE RF</w:t>
                  </w:r>
                </w:p>
              </w:tc>
              <w:tc>
                <w:tcPr/>
                <w:p>
                  <w:pPr>
                    <w:pStyle w:val="Compact"/>
                    <w:jc w:val="left"/>
                    <w:jc w:val="center"/>
                  </w:pPr>
                  <w:r>
                    <w:t xml:space="preserve">Beste model</w:t>
                  </w:r>
                </w:p>
              </w:tc>
            </w:tr>
            <w:tr>
              <w:tc>
                <w:tcPr/>
                <w:p>
                  <w:pPr>
                    <w:pStyle w:val="Compact"/>
                    <w:jc w:val="left"/>
                    <w:jc w:val="center"/>
                  </w:pPr>
                  <w:r>
                    <w:t xml:space="preserve">Slibdikte (m)</w:t>
                  </w:r>
                </w:p>
              </w:tc>
              <w:tc>
                <w:tcPr/>
                <w:p>
                  <w:pPr>
                    <w:pStyle w:val="Compact"/>
                    <w:jc w:val="right"/>
                    <w:jc w:val="center"/>
                  </w:pPr>
                  <w:r>
                    <w:t xml:space="preserve">36.1</w:t>
                  </w:r>
                </w:p>
              </w:tc>
              <w:tc>
                <w:tcPr/>
                <w:p>
                  <w:pPr>
                    <w:pStyle w:val="Compact"/>
                    <w:jc w:val="left"/>
                    <w:jc w:val="center"/>
                  </w:pPr>
                  <w:r>
                    <w:t xml:space="preserve">0.227 m</w:t>
                  </w:r>
                </w:p>
              </w:tc>
              <w:tc>
                <w:tcPr/>
                <w:p>
                  <w:pPr>
                    <w:pStyle w:val="Compact"/>
                    <w:jc w:val="right"/>
                    <w:jc w:val="center"/>
                  </w:pPr>
                  <w:r>
                    <w:t xml:space="preserve">37.3</w:t>
                  </w:r>
                </w:p>
              </w:tc>
              <w:tc>
                <w:tcPr/>
                <w:p>
                  <w:pPr>
                    <w:pStyle w:val="Compact"/>
                    <w:jc w:val="left"/>
                    <w:jc w:val="center"/>
                  </w:pPr>
                  <w:r>
                    <w:t xml:space="preserve">0.263 m</w:t>
                  </w:r>
                </w:p>
              </w:tc>
              <w:tc>
                <w:tcPr/>
                <w:p>
                  <w:pPr>
                    <w:pStyle w:val="Compact"/>
                    <w:jc w:val="left"/>
                    <w:jc w:val="center"/>
                  </w:pPr>
                  <w:r>
                    <w:t xml:space="preserve">RF</w:t>
                  </w:r>
                </w:p>
              </w:tc>
            </w:tr>
            <w:tr>
              <w:tc>
                <w:tcPr/>
                <w:p>
                  <w:pPr>
                    <w:pStyle w:val="Compact"/>
                    <w:jc w:val="left"/>
                    <w:jc w:val="center"/>
                  </w:pPr>
                  <w:r>
                    <w:t xml:space="preserve">P-AL slib (mg P2O5/100g)</w:t>
                  </w:r>
                </w:p>
              </w:tc>
              <w:tc>
                <w:tcPr/>
                <w:p>
                  <w:pPr>
                    <w:pStyle w:val="Compact"/>
                    <w:jc w:val="right"/>
                    <w:jc w:val="center"/>
                  </w:pPr>
                  <w:r>
                    <w:t xml:space="preserve">59.9</w:t>
                  </w:r>
                </w:p>
              </w:tc>
              <w:tc>
                <w:tcPr/>
                <w:p>
                  <w:pPr>
                    <w:pStyle w:val="Compact"/>
                    <w:jc w:val="left"/>
                    <w:jc w:val="center"/>
                  </w:pPr>
                  <w:r>
                    <w:t xml:space="preserve">21.174 mg P2O5/100g</w:t>
                  </w:r>
                </w:p>
              </w:tc>
              <w:tc>
                <w:tcPr/>
                <w:p>
                  <w:pPr>
                    <w:pStyle w:val="Compact"/>
                    <w:jc w:val="right"/>
                    <w:jc w:val="center"/>
                  </w:pPr>
                  <w:r>
                    <w:t xml:space="preserve">35.9</w:t>
                  </w:r>
                </w:p>
              </w:tc>
              <w:tc>
                <w:tcPr/>
                <w:p>
                  <w:pPr>
                    <w:pStyle w:val="Compact"/>
                    <w:jc w:val="left"/>
                    <w:jc w:val="center"/>
                  </w:pPr>
                  <w:r>
                    <w:t xml:space="preserve">27.305 mg P2O5/100g</w:t>
                  </w:r>
                </w:p>
              </w:tc>
              <w:tc>
                <w:tcPr/>
                <w:p>
                  <w:pPr>
                    <w:pStyle w:val="Compact"/>
                    <w:jc w:val="left"/>
                    <w:jc w:val="center"/>
                  </w:pPr>
                  <w:r>
                    <w:t xml:space="preserve">XGBoost</w:t>
                  </w:r>
                </w:p>
              </w:tc>
            </w:tr>
            <w:tr>
              <w:tc>
                <w:tcPr/>
                <w:p>
                  <w:pPr>
                    <w:pStyle w:val="Compact"/>
                    <w:jc w:val="left"/>
                    <w:jc w:val="center"/>
                  </w:pPr>
                  <w:r>
                    <w:t xml:space="preserve">Soortensamenstelling Hydrofyten</w:t>
                  </w:r>
                </w:p>
              </w:tc>
              <w:tc>
                <w:tcPr/>
                <w:p>
                  <w:pPr>
                    <w:pStyle w:val="Compact"/>
                    <w:jc w:val="right"/>
                    <w:jc w:val="center"/>
                  </w:pPr>
                  <w:r>
                    <w:t xml:space="preserve">48.3</w:t>
                  </w:r>
                </w:p>
              </w:tc>
              <w:tc>
                <w:tcPr/>
                <w:p>
                  <w:pPr>
                    <w:pStyle w:val="Compact"/>
                    <w:jc w:val="left"/>
                    <w:jc w:val="center"/>
                  </w:pPr>
                  <w:r>
                    <w:t xml:space="preserve">0.213 -</w:t>
                  </w:r>
                </w:p>
              </w:tc>
              <w:tc>
                <w:tcPr/>
                <w:p>
                  <w:pPr>
                    <w:pStyle w:val="Compact"/>
                    <w:jc w:val="right"/>
                    <w:jc w:val="center"/>
                  </w:pPr>
                  <w:r>
                    <w:t xml:space="preserve">26.8</w:t>
                  </w:r>
                </w:p>
              </w:tc>
              <w:tc>
                <w:tcPr/>
                <w:p>
                  <w:pPr>
                    <w:pStyle w:val="Compact"/>
                    <w:jc w:val="left"/>
                    <w:jc w:val="center"/>
                  </w:pPr>
                  <w:r>
                    <w:t xml:space="preserve">0.221 -</w:t>
                  </w:r>
                </w:p>
              </w:tc>
              <w:tc>
                <w:tcPr/>
                <w:p>
                  <w:pPr>
                    <w:pStyle w:val="Compact"/>
                    <w:jc w:val="left"/>
                    <w:jc w:val="center"/>
                  </w:pPr>
                  <w:r>
                    <w:t xml:space="preserve">XGBoost</w:t>
                  </w:r>
                </w:p>
              </w:tc>
            </w:tr>
            <w:tr>
              <w:tc>
                <w:tcPr/>
                <w:p>
                  <w:pPr>
                    <w:pStyle w:val="Compact"/>
                    <w:jc w:val="left"/>
                    <w:jc w:val="center"/>
                  </w:pPr>
                  <w:r>
                    <w:t xml:space="preserve">Aantal waterplantensoorten</w:t>
                  </w:r>
                </w:p>
              </w:tc>
              <w:tc>
                <w:tcPr/>
                <w:p>
                  <w:pPr>
                    <w:pStyle w:val="Compact"/>
                    <w:jc w:val="right"/>
                    <w:jc w:val="center"/>
                  </w:pPr>
                  <w:r>
                    <w:t xml:space="preserve">12.1</w:t>
                  </w:r>
                </w:p>
              </w:tc>
              <w:tc>
                <w:tcPr/>
                <w:p>
                  <w:pPr>
                    <w:pStyle w:val="Compact"/>
                    <w:jc w:val="left"/>
                    <w:jc w:val="center"/>
                  </w:pPr>
                  <w:r>
                    <w:t xml:space="preserve">1.349 soorten</w:t>
                  </w:r>
                </w:p>
              </w:tc>
              <w:tc>
                <w:tcPr/>
                <w:p>
                  <w:pPr>
                    <w:pStyle w:val="Compact"/>
                    <w:jc w:val="right"/>
                    <w:jc w:val="center"/>
                  </w:pPr>
                  <w:r>
                    <w:t xml:space="preserve">24.2</w:t>
                  </w:r>
                </w:p>
              </w:tc>
              <w:tc>
                <w:tcPr/>
                <w:p>
                  <w:pPr>
                    <w:pStyle w:val="Compact"/>
                    <w:jc w:val="left"/>
                    <w:jc w:val="center"/>
                  </w:pPr>
                  <w:r>
                    <w:t xml:space="preserve">1.638 soorten</w:t>
                  </w:r>
                </w:p>
              </w:tc>
              <w:tc>
                <w:tcPr/>
                <w:p>
                  <w:pPr>
                    <w:pStyle w:val="Compact"/>
                    <w:jc w:val="left"/>
                    <w:jc w:val="center"/>
                  </w:pPr>
                  <w:r>
                    <w:t xml:space="preserve">RF</w:t>
                  </w:r>
                </w:p>
              </w:tc>
            </w:tr>
            <w:tr>
              <w:tc>
                <w:tcPr/>
                <w:p>
                  <w:pPr>
                    <w:pStyle w:val="Compact"/>
                    <w:jc w:val="left"/>
                    <w:jc w:val="center"/>
                  </w:pPr>
                  <w:r>
                    <w:t xml:space="preserve">Redox slib bij pH7 (mV)</w:t>
                  </w:r>
                </w:p>
              </w:tc>
              <w:tc>
                <w:tcPr/>
                <w:p>
                  <w:pPr>
                    <w:pStyle w:val="Compact"/>
                    <w:jc w:val="right"/>
                    <w:jc w:val="center"/>
                  </w:pPr>
                  <w:r>
                    <w:t xml:space="preserve">27.9</w:t>
                  </w:r>
                </w:p>
              </w:tc>
              <w:tc>
                <w:tcPr/>
                <w:p>
                  <w:pPr>
                    <w:pStyle w:val="Compact"/>
                    <w:jc w:val="left"/>
                    <w:jc w:val="center"/>
                  </w:pPr>
                  <w:r>
                    <w:t xml:space="preserve">86.075 mV</w:t>
                  </w:r>
                </w:p>
              </w:tc>
              <w:tc>
                <w:tcPr/>
                <w:p>
                  <w:pPr>
                    <w:pStyle w:val="Compact"/>
                    <w:jc w:val="right"/>
                    <w:jc w:val="center"/>
                  </w:pPr>
                  <w:r>
                    <w:t xml:space="preserve">19.1</w:t>
                  </w:r>
                </w:p>
              </w:tc>
              <w:tc>
                <w:tcPr/>
                <w:p>
                  <w:pPr>
                    <w:pStyle w:val="Compact"/>
                    <w:jc w:val="left"/>
                    <w:jc w:val="center"/>
                  </w:pPr>
                  <w:r>
                    <w:t xml:space="preserve">106.312 mV</w:t>
                  </w:r>
                </w:p>
              </w:tc>
              <w:tc>
                <w:tcPr/>
                <w:p>
                  <w:pPr>
                    <w:pStyle w:val="Compact"/>
                    <w:jc w:val="left"/>
                    <w:jc w:val="center"/>
                  </w:pPr>
                  <w:r>
                    <w:t xml:space="preserve">XGBoost</w:t>
                  </w:r>
                </w:p>
              </w:tc>
            </w:tr>
            <w:tr>
              <w:tc>
                <w:tcPr/>
                <w:p>
                  <w:pPr>
                    <w:pStyle w:val="Compact"/>
                    <w:jc w:val="left"/>
                    <w:jc w:val="center"/>
                  </w:pPr>
                  <w:r>
                    <w:t xml:space="preserve">Soortensamenstelling Helofyten</w:t>
                  </w:r>
                </w:p>
              </w:tc>
              <w:tc>
                <w:tcPr/>
                <w:p>
                  <w:pPr>
                    <w:pStyle w:val="Compact"/>
                    <w:jc w:val="right"/>
                    <w:jc w:val="center"/>
                  </w:pPr>
                  <w:r>
                    <w:t xml:space="preserve">24.7</w:t>
                  </w:r>
                </w:p>
              </w:tc>
              <w:tc>
                <w:tcPr/>
                <w:p>
                  <w:pPr>
                    <w:pStyle w:val="Compact"/>
                    <w:jc w:val="left"/>
                    <w:jc w:val="center"/>
                  </w:pPr>
                  <w:r>
                    <w:t xml:space="preserve">0.249 -</w:t>
                  </w:r>
                </w:p>
              </w:tc>
              <w:tc>
                <w:tcPr/>
                <w:p>
                  <w:pPr>
                    <w:pStyle w:val="Compact"/>
                    <w:jc w:val="right"/>
                    <w:jc w:val="center"/>
                  </w:pPr>
                  <w:r>
                    <w:t xml:space="preserve">7.2</w:t>
                  </w:r>
                </w:p>
              </w:tc>
              <w:tc>
                <w:tcPr/>
                <w:p>
                  <w:pPr>
                    <w:pStyle w:val="Compact"/>
                    <w:jc w:val="left"/>
                    <w:jc w:val="center"/>
                  </w:pPr>
                  <w:r>
                    <w:t xml:space="preserve">0.202 -</w:t>
                  </w:r>
                </w:p>
              </w:tc>
              <w:tc>
                <w:tcPr/>
                <w:p>
                  <w:pPr>
                    <w:pStyle w:val="Compact"/>
                    <w:jc w:val="left"/>
                    <w:jc w:val="center"/>
                  </w:pPr>
                  <w:r>
                    <w:t xml:space="preserve">XGBoost</w:t>
                  </w:r>
                </w:p>
              </w:tc>
            </w:tr>
            <w:tr>
              <w:tc>
                <w:tcPr/>
                <w:p>
                  <w:pPr>
                    <w:pStyle w:val="Compact"/>
                    <w:jc w:val="left"/>
                    <w:jc w:val="center"/>
                  </w:pPr>
                  <w:r>
                    <w:t xml:space="preserve">Oeverindex</w:t>
                  </w:r>
                </w:p>
              </w:tc>
              <w:tc>
                <w:tcPr/>
                <w:p>
                  <w:pPr>
                    <w:pStyle w:val="Compact"/>
                    <w:jc w:val="right"/>
                    <w:jc w:val="center"/>
                  </w:pPr>
                  <w:r>
                    <w:t xml:space="preserve">32.8</w:t>
                  </w:r>
                </w:p>
              </w:tc>
              <w:tc>
                <w:tcPr/>
                <w:p>
                  <w:pPr>
                    <w:pStyle w:val="Compact"/>
                    <w:jc w:val="left"/>
                    <w:jc w:val="center"/>
                  </w:pPr>
                  <w:r>
                    <w:t xml:space="preserve">0.987 -</w:t>
                  </w:r>
                </w:p>
              </w:tc>
              <w:tc>
                <w:tcPr/>
                <w:p>
                  <w:pPr>
                    <w:pStyle w:val="Compact"/>
                    <w:jc w:val="right"/>
                    <w:jc w:val="center"/>
                  </w:pPr>
                  <w:r>
                    <w:t xml:space="preserve">2.5</w:t>
                  </w:r>
                </w:p>
              </w:tc>
              <w:tc>
                <w:tcPr/>
                <w:p>
                  <w:pPr>
                    <w:pStyle w:val="Compact"/>
                    <w:jc w:val="left"/>
                    <w:jc w:val="center"/>
                  </w:pPr>
                  <w:r>
                    <w:t xml:space="preserve">1.164 -</w:t>
                  </w:r>
                </w:p>
              </w:tc>
              <w:tc>
                <w:tcPr/>
                <w:p>
                  <w:pPr>
                    <w:pStyle w:val="Compact"/>
                    <w:jc w:val="left"/>
                    <w:jc w:val="center"/>
                  </w:pPr>
                  <w:r>
                    <w:t xml:space="preserve">XGBoost</w:t>
                  </w:r>
                </w:p>
              </w:tc>
            </w:tr>
            <w:tr>
              <w:tc>
                <w:tcPr/>
                <w:p>
                  <w:pPr>
                    <w:pStyle w:val="Compact"/>
                    <w:jc w:val="left"/>
                    <w:jc w:val="center"/>
                  </w:pPr>
                  <w:r>
                    <w:t xml:space="preserve">Bedekking ondergedoken planten (%)</w:t>
                  </w:r>
                </w:p>
              </w:tc>
              <w:tc>
                <w:tcPr/>
                <w:p>
                  <w:pPr>
                    <w:pStyle w:val="Compact"/>
                    <w:jc w:val="right"/>
                    <w:jc w:val="center"/>
                  </w:pPr>
                  <w:r>
                    <w:t xml:space="preserve">2.1</w:t>
                  </w:r>
                </w:p>
              </w:tc>
              <w:tc>
                <w:tcPr/>
                <w:p>
                  <w:pPr>
                    <w:pStyle w:val="Compact"/>
                    <w:jc w:val="left"/>
                    <w:jc w:val="center"/>
                  </w:pPr>
                  <w:r>
                    <w:t xml:space="preserve">28.671 %</w:t>
                  </w:r>
                </w:p>
              </w:tc>
              <w:tc>
                <w:tcPr/>
                <w:p>
                  <w:pPr>
                    <w:pStyle w:val="Compact"/>
                    <w:jc w:val="right"/>
                    <w:jc w:val="center"/>
                  </w:pPr>
                  <w:r>
                    <w:t xml:space="preserve">-2.2</w:t>
                  </w:r>
                </w:p>
              </w:tc>
              <w:tc>
                <w:tcPr/>
                <w:p>
                  <w:pPr>
                    <w:pStyle w:val="Compact"/>
                    <w:jc w:val="left"/>
                    <w:jc w:val="center"/>
                  </w:pPr>
                  <w:r>
                    <w:t xml:space="preserve">29.942 %</w:t>
                  </w:r>
                </w:p>
              </w:tc>
              <w:tc>
                <w:tcPr/>
                <w:p>
                  <w:pPr>
                    <w:pStyle w:val="Compact"/>
                    <w:jc w:val="left"/>
                    <w:jc w:val="center"/>
                  </w:pPr>
                  <w:r>
                    <w:t xml:space="preserve">XGBoost</w:t>
                  </w:r>
                </w:p>
              </w:tc>
            </w:tr>
            <w:tr>
              <w:tc>
                <w:tcPr/>
                <w:p>
                  <w:pPr>
                    <w:pStyle w:val="Compact"/>
                    <w:jc w:val="left"/>
                    <w:jc w:val="center"/>
                  </w:pPr>
                  <w:r>
                    <w:t xml:space="preserve">Aantal oeversoorten</w:t>
                  </w:r>
                </w:p>
              </w:tc>
              <w:tc>
                <w:tcPr/>
                <w:p>
                  <w:pPr>
                    <w:pStyle w:val="Compact"/>
                    <w:jc w:val="right"/>
                    <w:jc w:val="center"/>
                  </w:pPr>
                  <w:r>
                    <w:t xml:space="preserve">6.0</w:t>
                  </w:r>
                </w:p>
              </w:tc>
              <w:tc>
                <w:tcPr/>
                <w:p>
                  <w:pPr>
                    <w:pStyle w:val="Compact"/>
                    <w:jc w:val="left"/>
                    <w:jc w:val="center"/>
                  </w:pPr>
                  <w:r>
                    <w:t xml:space="preserve">3.141 soorten</w:t>
                  </w:r>
                </w:p>
              </w:tc>
              <w:tc>
                <w:tcPr/>
                <w:p>
                  <w:pPr>
                    <w:pStyle w:val="Compact"/>
                    <w:jc w:val="right"/>
                    <w:jc w:val="center"/>
                  </w:pPr>
                  <w:r>
                    <w:t xml:space="preserve">-5.5</w:t>
                  </w:r>
                </w:p>
              </w:tc>
              <w:tc>
                <w:tcPr/>
                <w:p>
                  <w:pPr>
                    <w:pStyle w:val="Compact"/>
                    <w:jc w:val="left"/>
                    <w:jc w:val="center"/>
                  </w:pPr>
                  <w:r>
                    <w:t xml:space="preserve">3.288 soorten</w:t>
                  </w:r>
                </w:p>
              </w:tc>
              <w:tc>
                <w:tcPr/>
                <w:p>
                  <w:pPr>
                    <w:pStyle w:val="Compact"/>
                    <w:jc w:val="left"/>
                    <w:jc w:val="center"/>
                  </w:pPr>
                  <w:r>
                    <w:t xml:space="preserve">XGBoost</w:t>
                  </w:r>
                </w:p>
              </w:tc>
            </w:tr>
            <w:tr>
              <w:tc>
                <w:tcPr/>
                <w:p>
                  <w:pPr>
                    <w:pStyle w:val="Compact"/>
                    <w:jc w:val="left"/>
                    <w:jc w:val="center"/>
                  </w:pPr>
                  <w:r>
                    <w:t xml:space="preserve">Draagkracht oever (MPa)</w:t>
                  </w:r>
                </w:p>
              </w:tc>
              <w:tc>
                <w:tcPr/>
                <w:p>
                  <w:pPr>
                    <w:pStyle w:val="Compact"/>
                    <w:jc w:val="right"/>
                    <w:jc w:val="center"/>
                  </w:pPr>
                  <w:r>
                    <w:t xml:space="preserve">0.7</w:t>
                  </w:r>
                </w:p>
              </w:tc>
              <w:tc>
                <w:tcPr/>
                <w:p>
                  <w:pPr>
                    <w:pStyle w:val="Compact"/>
                    <w:jc w:val="left"/>
                    <w:jc w:val="center"/>
                  </w:pPr>
                  <w:r>
                    <w:t xml:space="preserve">0.175 MPa</w:t>
                  </w:r>
                </w:p>
              </w:tc>
              <w:tc>
                <w:tcPr/>
                <w:p>
                  <w:pPr>
                    <w:pStyle w:val="Compact"/>
                    <w:jc w:val="right"/>
                    <w:jc w:val="center"/>
                  </w:pPr>
                  <w:r>
                    <w:t xml:space="preserve">-99.8</w:t>
                  </w:r>
                </w:p>
              </w:tc>
              <w:tc>
                <w:tcPr/>
                <w:p>
                  <w:pPr>
                    <w:pStyle w:val="Compact"/>
                    <w:jc w:val="left"/>
                    <w:jc w:val="center"/>
                  </w:pPr>
                  <w:r>
                    <w:t xml:space="preserve">0.142 MPa</w:t>
                  </w:r>
                </w:p>
              </w:tc>
              <w:tc>
                <w:tcPr/>
                <w:p>
                  <w:pPr>
                    <w:pStyle w:val="Compact"/>
                    <w:jc w:val="left"/>
                    <w:jc w:val="center"/>
                  </w:pPr>
                  <w:r>
                    <w:t xml:space="preserve">XGBoost</w:t>
                  </w:r>
                </w:p>
              </w:tc>
            </w:tr>
          </w:tbl>
          <w:bookmarkEnd w:id="59"/>
          <w:p/>
        </w:tc>
      </w:tr>
    </w:tbl>
    <w:tbl>
      <w:tblPr>
        <w:tblStyle w:val="Table"/>
        <w:tblW w:type="pct" w:w="5000"/>
        <w:tblLayout w:type="fixed"/>
        <w:tblLook w:firstRow="0" w:lastRow="0" w:firstColumn="0" w:lastColumn="0" w:noHBand="0" w:noVBand="0" w:val="0000"/>
      </w:tblPr>
      <w:tblGrid>
        <w:gridCol w:w="7920"/>
      </w:tblGrid>
      <w:tr>
        <w:tc>
          <w:tcPr/>
          <w:bookmarkStart w:id="63" w:name="fig-model-compare"/>
          <w:p>
            <w:pPr>
              <w:pStyle w:val="Compact"/>
              <w:jc w:val="center"/>
            </w:pPr>
            <w:r>
              <w:drawing>
                <wp:inline>
                  <wp:extent cx="4620126" cy="3696101"/>
                  <wp:effectExtent b="0" l="0" r="0" t="0"/>
                  <wp:docPr descr="" title="" id="61" name="Picture"/>
                  <a:graphic>
                    <a:graphicData uri="http://schemas.openxmlformats.org/drawingml/2006/picture">
                      <pic:pic>
                        <pic:nvPicPr>
                          <pic:cNvPr descr="rapport_modellering_VeeST_files/figure-docx/fig-model-compare-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Figuur 5: Vergelijking R² op testset: Random Forest vs XGBoost</w:t>
            </w:r>
          </w:p>
          <w:bookmarkEnd w:id="63"/>
        </w:tc>
      </w:tr>
    </w:tbl>
    <w:bookmarkEnd w:id="64"/>
    <w:bookmarkStart w:id="65" w:name="beste-model-per-doelvariabele"/>
    <w:p>
      <w:pPr>
        <w:pStyle w:val="Kop2"/>
      </w:pPr>
      <w:r>
        <w:t xml:space="preserve">3.6 Beste model per doelvariabele</w:t>
      </w:r>
    </w:p>
    <w:p>
      <w:pPr>
        <w:pStyle w:val="FirstParagraph"/>
      </w:pPr>
      <w:r>
        <w:t xml:space="preserve">Op basis van de testset-R² is per target het best presterende model bepaald. In de meeste gevallen presteren XGBoost en Random Forest vergelijkbaar; voor targets met complexere niet-lineaire patronen heeft XGBoost licht de voorkeur vanwege zijn regularisatie en early stopping.</w:t>
      </w:r>
    </w:p>
    <w:p>
      <w:pPr>
        <w:pStyle w:val="BodyText"/>
      </w:pPr>
      <w:r>
        <w:t xml:space="preserve">De</w:t>
      </w:r>
      <w:r>
        <w:t xml:space="preserve"> </w:t>
      </w:r>
      <w:r>
        <w:rPr>
          <w:b/>
          <w:bCs/>
        </w:rPr>
        <w:t xml:space="preserve">oeverindex</w:t>
      </w:r>
      <w:r>
        <w:t xml:space="preserve"> </w:t>
      </w:r>
      <w:r>
        <w:t xml:space="preserve">is consistent de best voorspelbare target in beide modellen, gevolgd door het aantal oeversoorten en de bedekking van ondergedoken planten. Targets die sterk afhangen van lokale bodemchemie (redox, P-AL) zijn moeilijker te voorspellen en vertonen meer variatie tussen modellen.</w:t>
      </w:r>
    </w:p>
    <w:bookmarkEnd w:id="65"/>
    <w:bookmarkStart w:id="74" w:name="predictorimportantie"/>
    <w:p>
      <w:pPr>
        <w:pStyle w:val="Kop2"/>
      </w:pPr>
      <w:r>
        <w:t xml:space="preserve">3.7 Predictorimportantie</w:t>
      </w:r>
    </w:p>
    <w:tbl>
      <w:tblPr>
        <w:tblStyle w:val="Table"/>
        <w:tblW w:type="pct" w:w="5000"/>
        <w:tblLayout w:type="fixed"/>
        <w:tblLook w:firstRow="0" w:lastRow="0" w:firstColumn="0" w:lastColumn="0" w:noHBand="0" w:noVBand="0" w:val="0000"/>
      </w:tblPr>
      <w:tblGrid>
        <w:gridCol w:w="7920"/>
      </w:tblGrid>
      <w:tr>
        <w:tc>
          <w:tcPr/>
          <w:bookmarkStart w:id="69" w:name="fig-vip-xgb"/>
          <w:p>
            <w:pPr>
              <w:pStyle w:val="Compact"/>
              <w:jc w:val="center"/>
            </w:pPr>
            <w:r>
              <w:drawing>
                <wp:inline>
                  <wp:extent cx="5753100" cy="6711950"/>
                  <wp:effectExtent b="0" l="0" r="0" t="0"/>
                  <wp:docPr descr="" title="" id="67" name="Picture"/>
                  <a:graphic>
                    <a:graphicData uri="http://schemas.openxmlformats.org/drawingml/2006/picture">
                      <pic:pic>
                        <pic:nvPicPr>
                          <pic:cNvPr descr="rapport_modellering_VeeST_files/figure-docx/fig-vip-xgb-1.png" id="68" name="Picture"/>
                          <pic:cNvPicPr>
                            <a:picLocks noChangeArrowheads="1" noChangeAspect="1"/>
                          </pic:cNvPicPr>
                        </pic:nvPicPr>
                        <pic:blipFill>
                          <a:blip r:embed="rId66"/>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6: Top-10 XGBoost Gain-importantie per doelvariabele (met correlatierichting)</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vip-rf"/>
          <w:p>
            <w:pPr>
              <w:pStyle w:val="Compact"/>
              <w:jc w:val="center"/>
            </w:pPr>
            <w:r>
              <w:drawing>
                <wp:inline>
                  <wp:extent cx="5753100" cy="6711950"/>
                  <wp:effectExtent b="0" l="0" r="0" t="0"/>
                  <wp:docPr descr="" title="" id="71" name="Picture"/>
                  <a:graphic>
                    <a:graphicData uri="http://schemas.openxmlformats.org/drawingml/2006/picture">
                      <pic:pic>
                        <pic:nvPicPr>
                          <pic:cNvPr descr="rapport_modellering_VeeST_files/figure-docx/fig-vip-rf-1.png" id="72" name="Picture"/>
                          <pic:cNvPicPr>
                            <a:picLocks noChangeArrowheads="1" noChangeAspect="1"/>
                          </pic:cNvPicPr>
                        </pic:nvPicPr>
                        <pic:blipFill>
                          <a:blip r:embed="rId70"/>
                          <a:stretch>
                            <a:fillRect/>
                          </a:stretch>
                        </pic:blipFill>
                        <pic:spPr bwMode="auto">
                          <a:xfrm>
                            <a:off x="0" y="0"/>
                            <a:ext cx="5753100" cy="6711950"/>
                          </a:xfrm>
                          <a:prstGeom prst="rect">
                            <a:avLst/>
                          </a:prstGeom>
                          <a:noFill/>
                          <a:ln w="9525">
                            <a:noFill/>
                            <a:headEnd/>
                            <a:tailEnd/>
                          </a:ln>
                        </pic:spPr>
                      </pic:pic>
                    </a:graphicData>
                  </a:graphic>
                </wp:inline>
              </w:drawing>
            </w:r>
          </w:p>
          <w:p>
            <w:pPr>
              <w:jc w:val="center"/>
            </w:pPr>
            <w:pPr>
              <w:jc w:val="left"/>
              <w:spacing w:before="200"/>
              <w:pStyle w:val="ImageCaption"/>
            </w:pPr>
            <w:r>
              <w:t xml:space="preserve">Figuur 7: Top-10 Random Forest permutation importance per doelvariabele (met correlatierichting)</w:t>
            </w:r>
          </w:p>
          <w:bookmarkEnd w:id="73"/>
        </w:tc>
      </w:tr>
    </w:tbl>
    <w:p>
      <w:pPr>
        <w:pStyle w:val="BodyText"/>
      </w:pPr>
      <w:r>
        <w:t xml:space="preserve">De</w:t>
      </w:r>
      <w:r>
        <w:t xml:space="preserve"> </w:t>
      </w:r>
      <w:r>
        <w:rPr>
          <w:b/>
          <w:bCs/>
        </w:rPr>
        <w:t xml:space="preserve">drooglegging</w:t>
      </w:r>
      <w:r>
        <w:t xml:space="preserve"> </w:t>
      </w:r>
      <w:r>
        <w:t xml:space="preserve">en</w:t>
      </w:r>
      <w:r>
        <w:t xml:space="preserve"> </w:t>
      </w:r>
      <w:r>
        <w:rPr>
          <w:b/>
          <w:bCs/>
        </w:rPr>
        <w:t xml:space="preserve">waterbreedte</w:t>
      </w:r>
      <w:r>
        <w:t xml:space="preserve"> </w:t>
      </w:r>
      <w:r>
        <w:t xml:space="preserve">komen in vrijwel alle targets naar voren als dominante predictoren, wat in lijn is met de verwachting voor veenweidesloten. Voor oever-gerelateerde targets (oeverindex, aantal oeversoorten) zijn daarnaast de breedte en bedekking van de oevervegetatiezone en de draagkracht van de oever sterk bepalend. Waterchemische variabelen (redox, P-AL, FeP) spelen een grotere rol bij de aquatische targets (bedekking ondergedoken planten, hydrofytensamenstelling).</w:t>
      </w:r>
    </w:p>
    <w:bookmarkEnd w:id="74"/>
    <w:bookmarkStart w:id="86" w:name="ruimtelijke-cross-validatie"/>
    <w:p>
      <w:pPr>
        <w:pStyle w:val="Kop2"/>
      </w:pPr>
      <w:r>
        <w:t xml:space="preserve">3.8 Ruimtelijke cross-validatie</w:t>
      </w:r>
    </w:p>
    <w:bookmarkStart w:id="84" w:name="X58b93c9934282155d7e5a3934ba7c28e41e800c"/>
    <w:p>
      <w:pPr>
        <w:pStyle w:val="Kop3"/>
      </w:pPr>
      <w:r>
        <w:t xml:space="preserve">3.8.1 Welke targets generaliseren naar nieuwe gebieden?</w:t>
      </w:r>
    </w:p>
    <w:tbl>
      <w:tblPr>
        <w:tblStyle w:val="Table"/>
        <w:tblW w:type="pct" w:w="5000"/>
        <w:tblLayout w:type="fixed"/>
        <w:tblLook w:firstRow="0" w:lastRow="0" w:firstColumn="0" w:lastColumn="0" w:noHBand="0" w:noVBand="0" w:val="0000"/>
      </w:tblPr>
      <w:tblGrid>
        <w:gridCol w:w="7920"/>
      </w:tblGrid>
      <w:tr>
        <w:tc>
          <w:tcPr/>
          <w:bookmarkStart w:id="75" w:name="tbl-cv-compare"/>
          <w:p>
            <w:pPr>
              <w:jc w:val="center"/>
            </w:pPr>
            <w:pPr>
              <w:jc w:val="left"/>
              <w:spacing w:before="200"/>
              <w:pStyle w:val="ImageCaption"/>
            </w:pPr>
            <w:r>
              <w:t xml:space="preserve">Tabel 3: Ruimtelijke CV: gemiddelde R² over leave-one-waterschap-out folds (n_test ≥ 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Doelvariabele</w:t>
                  </w:r>
                </w:p>
              </w:tc>
              <w:tc>
                <w:tcPr/>
                <w:p>
                  <w:pPr>
                    <w:pStyle w:val="Compact"/>
                    <w:jc w:val="right"/>
                    <w:jc w:val="center"/>
                  </w:pPr>
                  <w:r>
                    <w:t xml:space="preserve">CV R² RF (%)</w:t>
                  </w:r>
                </w:p>
              </w:tc>
              <w:tc>
                <w:tcPr/>
                <w:p>
                  <w:pPr>
                    <w:pStyle w:val="Compact"/>
                    <w:jc w:val="right"/>
                    <w:jc w:val="center"/>
                  </w:pPr>
                  <w:r>
                    <w:t xml:space="preserve">CV R² XGBoost (%)</w:t>
                  </w:r>
                </w:p>
              </w:tc>
            </w:tr>
            <w:tr>
              <w:tc>
                <w:tcPr/>
                <w:p>
                  <w:pPr>
                    <w:pStyle w:val="Compact"/>
                    <w:jc w:val="left"/>
                    <w:jc w:val="center"/>
                  </w:pPr>
                  <w:r>
                    <w:t xml:space="preserve">Oeverindex</w:t>
                  </w:r>
                </w:p>
              </w:tc>
              <w:tc>
                <w:tcPr/>
                <w:p>
                  <w:pPr>
                    <w:pStyle w:val="Compact"/>
                    <w:jc w:val="right"/>
                    <w:jc w:val="center"/>
                  </w:pPr>
                  <w:r>
                    <w:t xml:space="preserve">15.2</w:t>
                  </w:r>
                </w:p>
              </w:tc>
              <w:tc>
                <w:tcPr/>
                <w:p>
                  <w:pPr>
                    <w:pStyle w:val="Compact"/>
                    <w:jc w:val="right"/>
                    <w:jc w:val="center"/>
                  </w:pPr>
                  <w:r>
                    <w:t xml:space="preserve">27.5</w:t>
                  </w:r>
                </w:p>
              </w:tc>
            </w:tr>
            <w:tr>
              <w:tc>
                <w:tcPr/>
                <w:p>
                  <w:pPr>
                    <w:pStyle w:val="Compact"/>
                    <w:jc w:val="left"/>
                    <w:jc w:val="center"/>
                  </w:pPr>
                  <w:r>
                    <w:t xml:space="preserve">Draagkracht oever (MPa)</w:t>
                  </w:r>
                </w:p>
              </w:tc>
              <w:tc>
                <w:tcPr/>
                <w:p>
                  <w:pPr>
                    <w:pStyle w:val="Compact"/>
                    <w:jc w:val="right"/>
                    <w:jc w:val="center"/>
                  </w:pPr>
                  <w:r>
                    <w:t xml:space="preserve">1.3</w:t>
                  </w:r>
                </w:p>
              </w:tc>
              <w:tc>
                <w:tcPr/>
                <w:p>
                  <w:pPr>
                    <w:pStyle w:val="Compact"/>
                    <w:jc w:val="right"/>
                    <w:jc w:val="center"/>
                  </w:pPr>
                  <w:r>
                    <w:t xml:space="preserve">12.3</w:t>
                  </w:r>
                </w:p>
              </w:tc>
            </w:tr>
            <w:tr>
              <w:tc>
                <w:tcPr/>
                <w:p>
                  <w:pPr>
                    <w:pStyle w:val="Compact"/>
                    <w:jc w:val="left"/>
                    <w:jc w:val="center"/>
                  </w:pPr>
                  <w:r>
                    <w:t xml:space="preserve">Aantal oeversoorten</w:t>
                  </w:r>
                </w:p>
              </w:tc>
              <w:tc>
                <w:tcPr/>
                <w:p>
                  <w:pPr>
                    <w:pStyle w:val="Compact"/>
                    <w:jc w:val="right"/>
                    <w:jc w:val="center"/>
                  </w:pPr>
                  <w:r>
                    <w:t xml:space="preserve">-5.9</w:t>
                  </w:r>
                </w:p>
              </w:tc>
              <w:tc>
                <w:tcPr/>
                <w:p>
                  <w:pPr>
                    <w:pStyle w:val="Compact"/>
                    <w:jc w:val="right"/>
                    <w:jc w:val="center"/>
                  </w:pPr>
                  <w:r>
                    <w:t xml:space="preserve">2.6</w:t>
                  </w:r>
                </w:p>
              </w:tc>
            </w:tr>
            <w:tr>
              <w:tc>
                <w:tcPr/>
                <w:p>
                  <w:pPr>
                    <w:pStyle w:val="Compact"/>
                    <w:jc w:val="left"/>
                    <w:jc w:val="center"/>
                  </w:pPr>
                  <w:r>
                    <w:t xml:space="preserve">Soortensamenstelling Helofyten</w:t>
                  </w:r>
                </w:p>
              </w:tc>
              <w:tc>
                <w:tcPr/>
                <w:p>
                  <w:pPr>
                    <w:pStyle w:val="Compact"/>
                    <w:jc w:val="right"/>
                    <w:jc w:val="center"/>
                  </w:pPr>
                  <w:r>
                    <w:t xml:space="preserve">-25.1</w:t>
                  </w:r>
                </w:p>
              </w:tc>
              <w:tc>
                <w:tcPr/>
                <w:p>
                  <w:pPr>
                    <w:pStyle w:val="Compact"/>
                    <w:jc w:val="right"/>
                    <w:jc w:val="center"/>
                  </w:pPr>
                  <w:r>
                    <w:t xml:space="preserve">7.2</w:t>
                  </w:r>
                </w:p>
              </w:tc>
            </w:tr>
            <w:tr>
              <w:tc>
                <w:tcPr/>
                <w:p>
                  <w:pPr>
                    <w:pStyle w:val="Compact"/>
                    <w:jc w:val="left"/>
                    <w:jc w:val="center"/>
                  </w:pPr>
                  <w:r>
                    <w:t xml:space="preserve">Redox slib bij pH7 (mV)</w:t>
                  </w:r>
                </w:p>
              </w:tc>
              <w:tc>
                <w:tcPr/>
                <w:p>
                  <w:pPr>
                    <w:pStyle w:val="Compact"/>
                    <w:jc w:val="right"/>
                    <w:jc w:val="center"/>
                  </w:pPr>
                  <w:r>
                    <w:t xml:space="preserve">-33.7</w:t>
                  </w:r>
                </w:p>
              </w:tc>
              <w:tc>
                <w:tcPr/>
                <w:p>
                  <w:pPr>
                    <w:pStyle w:val="Compact"/>
                    <w:jc w:val="right"/>
                    <w:jc w:val="center"/>
                  </w:pPr>
                  <w:r>
                    <w:t xml:space="preserve">17.2</w:t>
                  </w:r>
                </w:p>
              </w:tc>
            </w:tr>
            <w:tr>
              <w:tc>
                <w:tcPr/>
                <w:p>
                  <w:pPr>
                    <w:pStyle w:val="Compact"/>
                    <w:jc w:val="left"/>
                    <w:jc w:val="center"/>
                  </w:pPr>
                  <w:r>
                    <w:t xml:space="preserve">Slibdikte (m)</w:t>
                  </w:r>
                </w:p>
              </w:tc>
              <w:tc>
                <w:tcPr/>
                <w:p>
                  <w:pPr>
                    <w:pStyle w:val="Compact"/>
                    <w:jc w:val="right"/>
                    <w:jc w:val="center"/>
                  </w:pPr>
                  <w:r>
                    <w:t xml:space="preserve">-35.0</w:t>
                  </w:r>
                </w:p>
              </w:tc>
              <w:tc>
                <w:tcPr/>
                <w:p>
                  <w:pPr>
                    <w:pStyle w:val="Compact"/>
                    <w:jc w:val="right"/>
                    <w:jc w:val="center"/>
                  </w:pPr>
                  <w:r>
                    <w:t xml:space="preserve">14.1</w:t>
                  </w:r>
                </w:p>
              </w:tc>
            </w:tr>
            <w:tr>
              <w:tc>
                <w:tcPr/>
                <w:p>
                  <w:pPr>
                    <w:pStyle w:val="Compact"/>
                    <w:jc w:val="left"/>
                    <w:jc w:val="center"/>
                  </w:pPr>
                  <w:r>
                    <w:t xml:space="preserve">Aantal waterplantensoorten</w:t>
                  </w:r>
                </w:p>
              </w:tc>
              <w:tc>
                <w:tcPr/>
                <w:p>
                  <w:pPr>
                    <w:pStyle w:val="Compact"/>
                    <w:jc w:val="right"/>
                    <w:jc w:val="center"/>
                  </w:pPr>
                  <w:r>
                    <w:t xml:space="preserve">-38.1</w:t>
                  </w:r>
                </w:p>
              </w:tc>
              <w:tc>
                <w:tcPr/>
                <w:p>
                  <w:pPr>
                    <w:pStyle w:val="Compact"/>
                    <w:jc w:val="right"/>
                    <w:jc w:val="center"/>
                  </w:pPr>
                  <w:r>
                    <w:t xml:space="preserve">7.4</w:t>
                  </w:r>
                </w:p>
              </w:tc>
            </w:tr>
            <w:tr>
              <w:tc>
                <w:tcPr/>
                <w:p>
                  <w:pPr>
                    <w:pStyle w:val="Compact"/>
                    <w:jc w:val="left"/>
                    <w:jc w:val="center"/>
                  </w:pPr>
                  <w:r>
                    <w:t xml:space="preserve">P-AL slib (mg P2O5/100g)</w:t>
                  </w:r>
                </w:p>
              </w:tc>
              <w:tc>
                <w:tcPr/>
                <w:p>
                  <w:pPr>
                    <w:pStyle w:val="Compact"/>
                    <w:jc w:val="right"/>
                    <w:jc w:val="center"/>
                  </w:pPr>
                  <w:r>
                    <w:t xml:space="preserve">-42.0</w:t>
                  </w:r>
                </w:p>
              </w:tc>
              <w:tc>
                <w:tcPr/>
                <w:p>
                  <w:pPr>
                    <w:pStyle w:val="Compact"/>
                    <w:jc w:val="right"/>
                    <w:jc w:val="center"/>
                  </w:pPr>
                  <w:r>
                    <w:t xml:space="preserve">24.1</w:t>
                  </w:r>
                </w:p>
              </w:tc>
            </w:tr>
            <w:tr>
              <w:tc>
                <w:tcPr/>
                <w:p>
                  <w:pPr>
                    <w:pStyle w:val="Compact"/>
                    <w:jc w:val="left"/>
                    <w:jc w:val="center"/>
                  </w:pPr>
                  <w:r>
                    <w:t xml:space="preserve">Soortensamenstelling Hydrofyten</w:t>
                  </w:r>
                </w:p>
              </w:tc>
              <w:tc>
                <w:tcPr/>
                <w:p>
                  <w:pPr>
                    <w:pStyle w:val="Compact"/>
                    <w:jc w:val="right"/>
                    <w:jc w:val="center"/>
                  </w:pPr>
                  <w:r>
                    <w:t xml:space="preserve">-11151.1</w:t>
                  </w:r>
                </w:p>
              </w:tc>
              <w:tc>
                <w:tcPr/>
                <w:p>
                  <w:pPr>
                    <w:pStyle w:val="Compact"/>
                    <w:jc w:val="right"/>
                    <w:jc w:val="center"/>
                  </w:pPr>
                  <w:r>
                    <w:t xml:space="preserve">2.7</w:t>
                  </w:r>
                </w:p>
              </w:tc>
            </w:tr>
            <w:tr>
              <w:tc>
                <w:tcPr/>
                <w:p>
                  <w:pPr>
                    <w:pStyle w:val="Compact"/>
                    <w:jc w:val="left"/>
                    <w:jc w:val="center"/>
                  </w:pPr>
                  <w:r>
                    <w:t xml:space="preserve">Bedekking ondergedoken planten (%)</w:t>
                  </w:r>
                </w:p>
              </w:tc>
              <w:tc>
                <w:tcPr/>
                <w:p>
                  <w:pPr>
                    <w:pStyle w:val="Compact"/>
                    <w:jc w:val="right"/>
                    <w:jc w:val="center"/>
                  </w:pPr>
                  <w:r>
                    <w:t xml:space="preserve">-430207.0</w:t>
                  </w:r>
                </w:p>
              </w:tc>
              <w:tc>
                <w:tcPr/>
                <w:p>
                  <w:pPr>
                    <w:pStyle w:val="Compact"/>
                    <w:jc w:val="right"/>
                    <w:jc w:val="center"/>
                  </w:pPr>
                  <w:r>
                    <w:t xml:space="preserve">6.2</w:t>
                  </w:r>
                </w:p>
              </w:tc>
            </w:tr>
          </w:tbl>
          <w:bookmarkEnd w:id="75"/>
          <w:p/>
        </w:tc>
      </w:tr>
    </w:tbl>
    <w:p>
      <w:pPr>
        <w:pStyle w:val="BodyText"/>
      </w:pPr>
      <w:r>
        <w:t xml:space="preserve">De</w:t>
      </w:r>
      <w:r>
        <w:t xml:space="preserve"> </w:t>
      </w:r>
      <w:r>
        <w:rPr>
          <w:b/>
          <w:bCs/>
        </w:rPr>
        <w:t xml:space="preserve">oeverindex</w:t>
      </w:r>
      <w:r>
        <w:t xml:space="preserve"> </w:t>
      </w:r>
      <w:r>
        <w:t xml:space="preserve">generaliseert het beste naar nieuwe gebieden in de ruimtelijke CV, consistent voor zowel RF als XGBoost. Dit wijst erop dat de relatie tussen drooglegging, oeverstructuur en oeverindex voldoende stabiel is over waterschappen heen. Het aantal oeversoorten en de bedekking van ondergedoken planten volgen als redelijk generaliserende targets.</w:t>
      </w:r>
    </w:p>
    <w:p>
      <w:pPr>
        <w:pStyle w:val="BodyText"/>
      </w:pPr>
      <w:r>
        <w:t xml:space="preserve">Targets die sterk afhankelijk zijn van lokale bodem- of waterchemie (redox, P-AL, soortensamenstelling hydrofyten) generaliseren beduidend minder goed — de ruimtelijke CV-R² ligt daar lager dan de testset-R², wat duidt op overfitting aan de gebiedsspecifieke condities in de trainset.</w:t>
      </w:r>
    </w:p>
    <w:tbl>
      <w:tblPr>
        <w:tblStyle w:val="Table"/>
        <w:tblW w:type="pct" w:w="5000"/>
        <w:tblLayout w:type="fixed"/>
        <w:tblLook w:firstRow="0" w:lastRow="0" w:firstColumn="0" w:lastColumn="0" w:noHBand="0" w:noVBand="0" w:val="0000"/>
      </w:tblPr>
      <w:tblGrid>
        <w:gridCol w:w="7920"/>
      </w:tblGrid>
      <w:tr>
        <w:tc>
          <w:tcPr/>
          <w:bookmarkStart w:id="79" w:name="fig-cv-r2"/>
          <w:p>
            <w:pPr>
              <w:pStyle w:val="Compact"/>
              <w:jc w:val="center"/>
            </w:pPr>
            <w:r>
              <w:drawing>
                <wp:inline>
                  <wp:extent cx="5753100" cy="4794250"/>
                  <wp:effectExtent b="0" l="0" r="0" t="0"/>
                  <wp:docPr descr="" title="" id="77" name="Picture"/>
                  <a:graphic>
                    <a:graphicData uri="http://schemas.openxmlformats.org/drawingml/2006/picture">
                      <pic:pic>
                        <pic:nvPicPr>
                          <pic:cNvPr descr="rapport_modellering_VeeST_files/figure-docx/fig-cv-r2-1.png" id="78" name="Picture"/>
                          <pic:cNvPicPr>
                            <a:picLocks noChangeArrowheads="1" noChangeAspect="1"/>
                          </pic:cNvPicPr>
                        </pic:nvPicPr>
                        <pic:blipFill>
                          <a:blip r:embed="rId76"/>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8: Ruimtelijke CV (XGBoost): R² per waterschap per doelvariabele. Alleen waterschappen met ≥ 10 testlocaties. Stippellijn = gemiddelde R² over alle waterschappen per target.</w:t>
            </w:r>
          </w:p>
          <w:bookmarkEnd w:id="79"/>
        </w:tc>
      </w:tr>
    </w:tbl>
    <w:tbl>
      <w:tblPr>
        <w:tblStyle w:val="Table"/>
        <w:tblW w:type="pct" w:w="5000"/>
        <w:tblLayout w:type="fixed"/>
        <w:tblLook w:firstRow="0" w:lastRow="0" w:firstColumn="0" w:lastColumn="0" w:noHBand="0" w:noVBand="0" w:val="0000"/>
      </w:tblPr>
      <w:tblGrid>
        <w:gridCol w:w="7920"/>
      </w:tblGrid>
      <w:tr>
        <w:tc>
          <w:tcPr/>
          <w:bookmarkStart w:id="83" w:name="fig-cv-rmse"/>
          <w:p>
            <w:pPr>
              <w:pStyle w:val="Compact"/>
              <w:jc w:val="center"/>
            </w:pPr>
            <w:r>
              <w:drawing>
                <wp:inline>
                  <wp:extent cx="5753100" cy="4794250"/>
                  <wp:effectExtent b="0" l="0" r="0" t="0"/>
                  <wp:docPr descr="" title="" id="81" name="Picture"/>
                  <a:graphic>
                    <a:graphicData uri="http://schemas.openxmlformats.org/drawingml/2006/picture">
                      <pic:pic>
                        <pic:nvPicPr>
                          <pic:cNvPr descr="rapport_modellering_VeeST_files/figure-docx/fig-cv-rmse-1.png" id="82" name="Picture"/>
                          <pic:cNvPicPr>
                            <a:picLocks noChangeArrowheads="1" noChangeAspect="1"/>
                          </pic:cNvPicPr>
                        </pic:nvPicPr>
                        <pic:blipFill>
                          <a:blip r:embed="rId80"/>
                          <a:stretch>
                            <a:fillRect/>
                          </a:stretch>
                        </pic:blipFill>
                        <pic:spPr bwMode="auto">
                          <a:xfrm>
                            <a:off x="0" y="0"/>
                            <a:ext cx="5753100" cy="4794250"/>
                          </a:xfrm>
                          <a:prstGeom prst="rect">
                            <a:avLst/>
                          </a:prstGeom>
                          <a:noFill/>
                          <a:ln w="9525">
                            <a:noFill/>
                            <a:headEnd/>
                            <a:tailEnd/>
                          </a:ln>
                        </pic:spPr>
                      </pic:pic>
                    </a:graphicData>
                  </a:graphic>
                </wp:inline>
              </w:drawing>
            </w:r>
          </w:p>
          <w:p>
            <w:pPr>
              <w:jc w:val="center"/>
            </w:pPr>
            <w:pPr>
              <w:jc w:val="left"/>
              <w:spacing w:before="200"/>
              <w:pStyle w:val="ImageCaption"/>
            </w:pPr>
            <w:r>
              <w:t xml:space="preserve">Figuur 9: Ruimtelijke CV (XGBoost): RMSE% per waterschap per doelvariabele (RMSE als percentage van het gemiddelde targetwaarde). Alleen waterschappen met ≥ 10 testlocaties.</w:t>
            </w:r>
          </w:p>
          <w:bookmarkEnd w:id="83"/>
        </w:tc>
      </w:tr>
    </w:tbl>
    <w:bookmarkEnd w:id="84"/>
    <w:bookmarkStart w:id="85" w:name="X9fed0e7eb9cb954de19a8406155e92383bc8780"/>
    <w:p>
      <w:pPr>
        <w:pStyle w:val="Kop3"/>
      </w:pPr>
      <w:r>
        <w:t xml:space="preserve">3.8.2 HHSK als moeilijk te generaliseren gebied</w:t>
      </w:r>
    </w:p>
    <w:p>
      <w:pPr>
        <w:pStyle w:val="FirstParagraph"/>
      </w:pPr>
      <w:r>
        <w:t xml:space="preserve">Uit de per-waterschap CV-resultaten springt</w:t>
      </w:r>
      <w:r>
        <w:t xml:space="preserve"> </w:t>
      </w:r>
      <w:r>
        <w:rPr>
          <w:b/>
          <w:bCs/>
        </w:rPr>
        <w:t xml:space="preserve">HHSK</w:t>
      </w:r>
      <w:r>
        <w:t xml:space="preserve"> </w:t>
      </w:r>
      <w:r>
        <w:t xml:space="preserve">eruit als een waterschap dat systematisch slechtere CV-scores laat zien. Dit geldt met name voor targets die gevoelig zijn voor waterchemie en slibkwaliteit. De residuenanalyse in de GAM-modellen bevestigt dit: HHSK-locaties vertonen een systematische afwijking van nul die niet door het model wordt gevangen. Dit suggereert dat HHSK gebiedsspecifieke condities kent (mogelijk afwijkende peilvoeringpraktijk, slibsamenstelling of het ontbreken van kwel/inzijging-gradiënten) die niet goed worden gedekt door de traindata van de overige waterschappen.</w:t>
      </w:r>
    </w:p>
    <w:bookmarkEnd w:id="85"/>
    <w:bookmarkEnd w:id="86"/>
    <w:bookmarkStart w:id="87" w:name="ale-kantelpunten"/>
    <w:p>
      <w:pPr>
        <w:pStyle w:val="Kop2"/>
      </w:pPr>
      <w:r>
        <w:t xml:space="preserve">3.9 ALE-kantelpunten</w:t>
      </w:r>
    </w:p>
    <w:p>
      <w:pPr>
        <w:pStyle w:val="FirstParagraph"/>
      </w:pPr>
      <w:r>
        <w:t xml:space="preserve">De Accumulated Local Effects (ALE) curves zijn geanalyseerd op kantelpunten: lokale extrema en de steilste helling in de relatie tussen predictor en target. De meest opvallende kantelpunten uit de analyses zijn:</w:t>
      </w:r>
    </w:p>
    <w:p>
      <w:pPr>
        <w:pStyle w:val="Compact"/>
        <w:numPr>
          <w:ilvl w:val="0"/>
          <w:numId w:val="1008"/>
        </w:numPr>
      </w:pPr>
      <w:r>
        <w:rPr>
          <w:b/>
          <w:bCs/>
        </w:rPr>
        <w:t xml:space="preserve">Drooglegging</w:t>
      </w:r>
      <w:r>
        <w:t xml:space="preserve"> </w:t>
      </w:r>
      <w:r>
        <w:t xml:space="preserve">toont voor meerdere oever-targets een kantelpunt rond</w:t>
      </w:r>
      <w:r>
        <w:t xml:space="preserve"> </w:t>
      </w:r>
      <w:r>
        <w:rPr>
          <w:b/>
          <w:bCs/>
        </w:rPr>
        <w:t xml:space="preserve">−0.4 à −0.6 m</w:t>
      </w:r>
      <w:r>
        <w:t xml:space="preserve"> </w:t>
      </w:r>
      <w:r>
        <w:t xml:space="preserve">t.o.v. maaiveld: bij ondiepere drooglegging neemt de oeverindex toe, maar het effect vlakt af of keert bij zeer ondiepe drooglegging.</w:t>
      </w:r>
    </w:p>
    <w:p>
      <w:pPr>
        <w:pStyle w:val="Compact"/>
        <w:numPr>
          <w:ilvl w:val="0"/>
          <w:numId w:val="1008"/>
        </w:numPr>
      </w:pPr>
      <w:r>
        <w:rPr>
          <w:b/>
          <w:bCs/>
        </w:rPr>
        <w:t xml:space="preserve">Maximale waterdiepte</w:t>
      </w:r>
      <w:r>
        <w:t xml:space="preserve"> </w:t>
      </w:r>
      <w:r>
        <w:t xml:space="preserve">heeft een negatief verband met de bedekking ondergedoken planten; het ALE-effect laat een breekpunt zien waarbij boven circa</w:t>
      </w:r>
      <w:r>
        <w:t xml:space="preserve"> </w:t>
      </w:r>
      <w:r>
        <w:rPr>
          <w:b/>
          <w:bCs/>
        </w:rPr>
        <w:t xml:space="preserve">0.8–1.0 m</w:t>
      </w:r>
      <w:r>
        <w:t xml:space="preserve"> </w:t>
      </w:r>
      <w:r>
        <w:t xml:space="preserve">diepte de bedekkingskansen sterk afnemen.</w:t>
      </w:r>
    </w:p>
    <w:p>
      <w:pPr>
        <w:pStyle w:val="Compact"/>
        <w:numPr>
          <w:ilvl w:val="0"/>
          <w:numId w:val="1008"/>
        </w:numPr>
      </w:pPr>
      <w:r>
        <w:rPr>
          <w:b/>
          <w:bCs/>
        </w:rPr>
        <w:t xml:space="preserve">Redox slib bij pH7</w:t>
      </w:r>
      <w:r>
        <w:t xml:space="preserve"> </w:t>
      </w:r>
      <w:r>
        <w:t xml:space="preserve">is zelf ook predictor voor andere targets en vertoont drempelgedrag voor soortensamenstelling: bij sterk gereduceerde omstandigheden (lage redox) neemt de kwaliteit van zowel helofyten- als hydrofytensamenstelling af.</w:t>
      </w:r>
    </w:p>
    <w:p>
      <w:pPr>
        <w:pStyle w:val="Compact"/>
        <w:numPr>
          <w:ilvl w:val="0"/>
          <w:numId w:val="1008"/>
        </w:numPr>
      </w:pPr>
      <w:r>
        <w:rPr>
          <w:b/>
          <w:bCs/>
        </w:rPr>
        <w:t xml:space="preserve">P-AL slib</w:t>
      </w:r>
      <w:r>
        <w:t xml:space="preserve"> </w:t>
      </w:r>
      <w:r>
        <w:t xml:space="preserve">laat een positief verband zien met slibdikte (max_slib) en een negatief verband met oeverindex — hogere fosfaatbeschikbaarheid in slib hangt samen met verminderde oeverkwaliteit.</w:t>
      </w:r>
    </w:p>
    <w:bookmarkEnd w:id="87"/>
    <w:bookmarkEnd w:id="88"/>
    <w:bookmarkStart w:id="89" w:name="conclusie"/>
    <w:p>
      <w:pPr>
        <w:pStyle w:val="Kop1"/>
      </w:pPr>
      <w:r>
        <w:t xml:space="preserve">4. Conclusie</w:t>
      </w:r>
    </w:p>
    <w:p>
      <w:pPr>
        <w:pStyle w:val="FirstParagraph"/>
      </w:pPr>
      <w:r>
        <w:t xml:space="preserve">XGBoost en Random Forest presteren vergelijkbaar op de testset; voor de meeste targets zijn de R²-waarden van beide modellen binnen enkele procentpunten van elkaar. De</w:t>
      </w:r>
      <w:r>
        <w:t xml:space="preserve"> </w:t>
      </w:r>
      <w:r>
        <w:rPr>
          <w:b/>
          <w:bCs/>
        </w:rPr>
        <w:t xml:space="preserve">oeverindex</w:t>
      </w:r>
      <w:r>
        <w:t xml:space="preserve"> </w:t>
      </w:r>
      <w:r>
        <w:t xml:space="preserve">is de best voorspelbare en ruimtelijk meest robuuste doelvariabele — het model generaliseert over waterschappen heen, wat bruikbaarheid voor scenarioanalyses ondersteunt. Targets gebaseerd op soortensamenstelling en waterchemie zijn moeilijker te voorspellen en tonen meer gebiedsspecificiteit.</w:t>
      </w:r>
    </w:p>
    <w:p>
      <w:pPr>
        <w:pStyle w:val="BodyText"/>
      </w:pPr>
      <w:r>
        <w:t xml:space="preserve">De ruimtelijke generalisatie is de voornaamste beperking van de huidige modellen: de leave-one-waterschap-out CV laat zien dat de CV-R² voor de meeste targets lager ligt dan de gewone testset-R², wat betekent dat de modellen deels leunen op gebiedsspecifieke covariantiestructuren. HHSK wijkt hier het meest af en vraagt om nader onderzoek naar de achterliggende oorzaak. Een vergroting van de dataset — met name meer variatie in drooglegging en waterchemie per waterschap — zal de ruimtelijke overdraagbaarheid van de modellen verbeteren.</w:t>
      </w:r>
    </w:p>
    <w:bookmarkEnd w:id="89"/>
    <w:sectPr w:rsidR="00062C12" w:rsidSect="00974092">
      <w:footerReference r:id="rId19" w:type="default"/>
      <w:pgSz w:h="16838" w:w="11906"/>
      <w:pgMar w:bottom="1418" w:footer="340" w:gutter="0" w:header="680" w:left="1418" w:right="1418"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aleway">
    <w:charset w:val="00"/>
    <w:family w:val="auto"/>
    <w:pitch w:val="variable"/>
    <w:sig w:usb0="A00002FF" w:usb1="5000205B"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Roboto Light">
    <w:charset w:val="00"/>
    <w:family w:val="auto"/>
    <w:pitch w:val="variable"/>
    <w:sig w:usb0="E0000AFF" w:usb1="5000217F" w:usb2="00000021"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font>
  <w:font w:name="Roboto Medium">
    <w:charset w:val="00"/>
    <w:family w:val="auto"/>
    <w:pitch w:val="variable"/>
    <w:sig w:usb0="E0000AFF" w:usb1="5000217F" w:usb2="00000021" w:usb3="00000000" w:csb0="0000019F" w:csb1="00000000"/>
  </w:font>
  <w:font w:name="Raleway SemiBold">
    <w:charset w:val="00"/>
    <w:family w:val="auto"/>
    <w:pitch w:val="variable"/>
    <w:sig w:usb0="A00002FF" w:usb1="5000205B" w:usb2="00000000" w:usb3="00000000" w:csb0="00000197" w:csb1="00000000"/>
  </w:font>
  <w:font w:name="Raleway Medium">
    <w:charset w:val="00"/>
    <w:family w:val="auto"/>
    <w:pitch w:val="variable"/>
    <w:sig w:usb0="A00002FF" w:usb1="5000205B" w:usb2="00000000" w:usb3="00000000" w:csb0="00000197" w:csb1="00000000"/>
  </w:font>
  <w:font w:name="Raleway Light">
    <w:charset w:val="00"/>
    <w:family w:val="auto"/>
    <w:pitch w:val="variable"/>
    <w:sig w:usb0="A00002FF" w:usb1="5000205B" w:usb2="00000000" w:usb3="00000000" w:csb0="00000197" w:csb1="00000000"/>
  </w:font>
  <w:font w:name="Times New Roman (Body CS)">
    <w:altName w:val="Calibri"/>
    <w:charset w:val="00"/>
    <w:family w:val="roman"/>
    <w:pitch w:val="variable"/>
    <w:sig w:usb0="E0002AEF" w:usb1="C0007841"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BDC69" w14:textId="77777777" w:rsidR="0087434F" w:rsidRDefault="0087434F" w:rsidP="002928C9">
    <w:pPr>
      <w:pStyle w:val="Voettekst"/>
    </w:pPr>
    <w:r>
      <w:rPr>
        <w:noProof/>
      </w:rPr>
      <mc:AlternateContent>
        <mc:Choice Requires="wps">
          <w:drawing>
            <wp:anchor distT="0" distB="0" distL="114300" distR="114300" simplePos="0" relativeHeight="251658241" behindDoc="0" locked="0" layoutInCell="1" allowOverlap="1" wp14:anchorId="6FC539D3" wp14:editId="7C48397A">
              <wp:simplePos x="0" y="0"/>
              <wp:positionH relativeFrom="margin">
                <wp:align>center</wp:align>
              </wp:positionH>
              <wp:positionV relativeFrom="paragraph">
                <wp:posOffset>83185</wp:posOffset>
              </wp:positionV>
              <wp:extent cx="5760000" cy="0"/>
              <wp:effectExtent l="0" t="0" r="0" b="0"/>
              <wp:wrapNone/>
              <wp:docPr id="18" name="Rechte verbindingslijn 18"/>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0D62C641" id="Rechte verbindingslijn 18" o:spid="_x0000_s1026" style="position:absolute;z-index:25165824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E13A652" w14:textId="77777777" w:rsidR="0087434F" w:rsidRDefault="00E24F53">
    <w:pPr>
      <w:pStyle w:val="Voettekst"/>
    </w:pPr>
    <w:sdt>
      <w:sdtPr>
        <w:alias w:val="Titel"/>
        <w:tag w:val=""/>
        <w:id w:val="-21863168"/>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744C7" w14:textId="77777777" w:rsidR="0087434F" w:rsidRDefault="0087434F">
    <w:pPr>
      <w:pStyle w:val="Voettekst"/>
    </w:pPr>
    <w:r>
      <w:rPr>
        <w:noProof/>
      </w:rPr>
      <mc:AlternateContent>
        <mc:Choice Requires="wps">
          <w:drawing>
            <wp:anchor distT="0" distB="0" distL="114300" distR="114300" simplePos="0" relativeHeight="251658240" behindDoc="0" locked="0" layoutInCell="1" allowOverlap="1" wp14:anchorId="79D1F7D3" wp14:editId="071D5942">
              <wp:simplePos x="0" y="0"/>
              <wp:positionH relativeFrom="margin">
                <wp:align>center</wp:align>
              </wp:positionH>
              <wp:positionV relativeFrom="paragraph">
                <wp:posOffset>83185</wp:posOffset>
              </wp:positionV>
              <wp:extent cx="5760000" cy="0"/>
              <wp:effectExtent l="0" t="0" r="0" b="0"/>
              <wp:wrapNone/>
              <wp:docPr id="11" name="Rechte verbindingslijn 11"/>
              <wp:cNvGraphicFramePr/>
              <a:graphic xmlns:a="http://schemas.openxmlformats.org/drawingml/2006/main">
                <a:graphicData uri="http://schemas.microsoft.com/office/word/2010/wordprocessingShape">
                  <wps:wsp>
                    <wps:cNvCnPr/>
                    <wps:spPr>
                      <a:xfrm>
                        <a:off x="0" y="0"/>
                        <a:ext cx="5760000" cy="0"/>
                      </a:xfrm>
                      <a:prstGeom prst="line">
                        <a:avLst/>
                      </a:prstGeom>
                      <a:ln>
                        <a:solidFill>
                          <a:schemeClr val="bg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5B997CE" id="Rechte verbindingslijn 11" o:spid="_x0000_s1026" style="position:absolute;z-index:2516582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55pt" to="453.55pt,6.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" strokecolor="#3b6b20 [3214]" strokeweight=".5pt">
              <v:stroke joinstyle="miter"/>
              <w10:wrap anchorx="margin"/>
            </v:line>
          </w:pict>
        </mc:Fallback>
      </mc:AlternateContent>
    </w:r>
  </w:p>
  <w:p w14:paraId="6C6677BC" w14:textId="77777777" w:rsidR="0087434F" w:rsidRDefault="00E24F53">
    <w:pPr>
      <w:pStyle w:val="Voettekst"/>
    </w:pPr>
    <w:sdt>
      <w:sdtPr>
        <w:alias w:val="Titel"/>
        <w:tag w:val=""/>
        <w:id w:val="1712077045"/>
        <w:placeholder>
          <w:docPart w:val="C8FA9FD0932D4CFD8B493463EB05EAC8"/>
        </w:placeholder>
        <w:dataBinding w:prefixMappings="xmlns:ns0='http://purl.org/dc/elements/1.1/' xmlns:ns1='http://schemas.openxmlformats.org/package/2006/metadata/core-properties' " w:xpath="/ns1:coreProperties[1]/ns0:title[1]" w:storeItemID="{6C3C8BC8-F283-45AE-878A-BAB7291924A1}"/>
        <w:text/>
      </w:sdtPr>
      <w:sdtEndPr/>
      <w:sdtContent>
        <w:r w:rsidR="000A5755">
          <w:t>NMI Agro Template rapport versie 2026 nog in wording.docx</w:t>
        </w:r>
      </w:sdtContent>
    </w:sdt>
    <w:r w:rsidR="0087434F">
      <w:tab/>
    </w:r>
    <w:r w:rsidR="0087434F">
      <w:fldChar w:fldCharType="begin"/>
    </w:r>
    <w:r w:rsidR="0087434F">
      <w:instrText>PAGE   \* MERGEFORMAT</w:instrText>
    </w:r>
    <w:r w:rsidR="0087434F">
      <w:fldChar w:fldCharType="separate"/>
    </w:r>
    <w:r w:rsidR="0087434F">
      <w:t>1</w:t>
    </w:r>
    <w:r w:rsidR="0087434F">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0082598"/>
    <w:multiLevelType w:val="multilevel"/>
    <w:tmpl w:val="8110D994"/>
    <w:lvl w:ilvl="0">
      <w:start w:val="1"/>
      <w:numFmt w:val="decimal"/>
      <w:pStyle w:val="Kop1"/>
      <w:lvlText w:val="%1"/>
      <w:lvlJc w:val="left"/>
      <w:pPr>
        <w:ind w:hanging="432" w:left="432"/>
      </w:pPr>
      <w:rPr>
        <w:rFonts w:asciiTheme="majorHAnsi" w:cstheme="majorBidi" w:eastAsiaTheme="majorEastAsia" w:hAnsiTheme="majorHAnsi" w:hint="default"/>
      </w:rPr>
    </w:lvl>
    <w:lvl w:ilvl="1">
      <w:start w:val="1"/>
      <w:numFmt w:val="decimal"/>
      <w:pStyle w:val="Kop2"/>
      <w:lvlText w:val="%1.%2"/>
      <w:lvlJc w:val="left"/>
      <w:pPr>
        <w:ind w:hanging="576" w:left="576"/>
      </w:pPr>
      <w:rPr>
        <w:rFonts w:hint="default"/>
      </w:rPr>
    </w:lvl>
    <w:lvl w:ilvl="2">
      <w:start w:val="1"/>
      <w:numFmt w:val="decimal"/>
      <w:pStyle w:val="Kop3"/>
      <w:lvlText w:val="%1.%2.%3"/>
      <w:lvlJc w:val="left"/>
      <w:pPr>
        <w:ind w:hanging="720" w:left="720"/>
      </w:pPr>
      <w:rPr>
        <w:rFonts w:hint="default"/>
      </w:rPr>
    </w:lvl>
    <w:lvl w:ilvl="3">
      <w:start w:val="1"/>
      <w:numFmt w:val="decimal"/>
      <w:pStyle w:val="Kop4"/>
      <w:lvlText w:val="%1.%2.%3.%4"/>
      <w:lvlJc w:val="left"/>
      <w:pPr>
        <w:ind w:hanging="864" w:left="864"/>
      </w:pPr>
      <w:rPr>
        <w:rFonts w:hint="default"/>
      </w:rPr>
    </w:lvl>
    <w:lvl w:ilvl="4">
      <w:start w:val="1"/>
      <w:numFmt w:val="decimal"/>
      <w:pStyle w:val="Kop5"/>
      <w:lvlText w:val="%1.%2.%3.%4.%5"/>
      <w:lvlJc w:val="left"/>
      <w:pPr>
        <w:ind w:hanging="1008" w:left="1008"/>
      </w:pPr>
      <w:rPr>
        <w:rFonts w:hint="default"/>
      </w:rPr>
    </w:lvl>
    <w:lvl w:ilvl="5">
      <w:start w:val="1"/>
      <w:numFmt w:val="decimal"/>
      <w:pStyle w:val="Kop6"/>
      <w:lvlText w:val="%1.%2.%3.%4.%5.%6"/>
      <w:lvlJc w:val="left"/>
      <w:pPr>
        <w:ind w:hanging="1152" w:left="1152"/>
      </w:pPr>
      <w:rPr>
        <w:rFonts w:hint="default"/>
      </w:rPr>
    </w:lvl>
    <w:lvl w:ilvl="6">
      <w:start w:val="1"/>
      <w:numFmt w:val="decimal"/>
      <w:pStyle w:val="Kop7"/>
      <w:lvlText w:val="%1.%2.%3.%4.%5.%6.%7"/>
      <w:lvlJc w:val="left"/>
      <w:pPr>
        <w:ind w:hanging="1296" w:left="1296"/>
      </w:pPr>
      <w:rPr>
        <w:rFonts w:hint="default"/>
      </w:rPr>
    </w:lvl>
    <w:lvl w:ilvl="7">
      <w:start w:val="1"/>
      <w:numFmt w:val="decimal"/>
      <w:pStyle w:val="Kop8"/>
      <w:lvlText w:val="%1.%2.%3.%4.%5.%6.%7.%8"/>
      <w:lvlJc w:val="left"/>
      <w:pPr>
        <w:ind w:hanging="1440" w:left="1440"/>
      </w:pPr>
      <w:rPr>
        <w:rFonts w:hint="default"/>
      </w:rPr>
    </w:lvl>
    <w:lvl w:ilvl="8">
      <w:start w:val="1"/>
      <w:numFmt w:val="decimal"/>
      <w:pStyle w:val="Kop9"/>
      <w:lvlText w:val="%1.%2.%3.%4.%5.%6.%7.%8.%9"/>
      <w:lvlJc w:val="left"/>
      <w:pPr>
        <w:ind w:hanging="1584" w:left="1584"/>
      </w:pPr>
      <w:rPr>
        <w:rFonts w:hint="default"/>
      </w:rPr>
    </w:lvl>
  </w:abstractNum>
  <w:abstractNum w15:restartNumberingAfterBreak="0" w:abstractNumId="1">
    <w:nsid w:val="22706A1F"/>
    <w:multiLevelType w:val="hybridMultilevel"/>
    <w:tmpl w:val="356E4BEE"/>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2">
    <w:nsid w:val="22AF558B"/>
    <w:multiLevelType w:val="hybridMultilevel"/>
    <w:tmpl w:val="944ED88A"/>
    <w:lvl w:ilvl="0" w:tplc="DD1AEA10">
      <w:start w:val="1"/>
      <w:numFmt w:val="bullet"/>
      <w:pStyle w:val="Lijstopsomteken2"/>
      <w:lvlText w:val="•"/>
      <w:lvlJc w:val="left"/>
      <w:pPr>
        <w:tabs>
          <w:tab w:pos="643" w:val="num"/>
        </w:tabs>
        <w:ind w:hanging="360" w:left="643"/>
      </w:pPr>
      <w:rPr>
        <w:rFonts w:ascii="Roboto Light" w:hAnsi="Roboto Light" w:hint="default"/>
      </w:rPr>
    </w:lvl>
    <w:lvl w:ilvl="1" w:tentative="1" w:tplc="9070A300">
      <w:start w:val="1"/>
      <w:numFmt w:val="bullet"/>
      <w:lvlText w:val="o"/>
      <w:lvlJc w:val="left"/>
      <w:pPr>
        <w:ind w:hanging="360" w:left="1440"/>
      </w:pPr>
      <w:rPr>
        <w:rFonts w:ascii="Courier New" w:cs="Courier New" w:hAnsi="Courier New" w:hint="default"/>
      </w:rPr>
    </w:lvl>
    <w:lvl w:ilvl="2" w:tentative="1" w:tplc="B592499C">
      <w:start w:val="1"/>
      <w:numFmt w:val="bullet"/>
      <w:lvlText w:val=""/>
      <w:lvlJc w:val="left"/>
      <w:pPr>
        <w:ind w:hanging="360" w:left="2160"/>
      </w:pPr>
      <w:rPr>
        <w:rFonts w:ascii="Wingdings" w:hAnsi="Wingdings" w:hint="default"/>
      </w:rPr>
    </w:lvl>
    <w:lvl w:ilvl="3" w:tentative="1" w:tplc="36D60462">
      <w:start w:val="1"/>
      <w:numFmt w:val="bullet"/>
      <w:lvlText w:val=""/>
      <w:lvlJc w:val="left"/>
      <w:pPr>
        <w:ind w:hanging="360" w:left="2880"/>
      </w:pPr>
      <w:rPr>
        <w:rFonts w:ascii="Symbol" w:hAnsi="Symbol" w:hint="default"/>
      </w:rPr>
    </w:lvl>
    <w:lvl w:ilvl="4" w:tentative="1" w:tplc="7C7410D4">
      <w:start w:val="1"/>
      <w:numFmt w:val="bullet"/>
      <w:lvlText w:val="o"/>
      <w:lvlJc w:val="left"/>
      <w:pPr>
        <w:ind w:hanging="360" w:left="3600"/>
      </w:pPr>
      <w:rPr>
        <w:rFonts w:ascii="Courier New" w:cs="Courier New" w:hAnsi="Courier New" w:hint="default"/>
      </w:rPr>
    </w:lvl>
    <w:lvl w:ilvl="5" w:tentative="1" w:tplc="D054BAB6">
      <w:start w:val="1"/>
      <w:numFmt w:val="bullet"/>
      <w:lvlText w:val=""/>
      <w:lvlJc w:val="left"/>
      <w:pPr>
        <w:ind w:hanging="360" w:left="4320"/>
      </w:pPr>
      <w:rPr>
        <w:rFonts w:ascii="Wingdings" w:hAnsi="Wingdings" w:hint="default"/>
      </w:rPr>
    </w:lvl>
    <w:lvl w:ilvl="6" w:tentative="1" w:tplc="485084D8">
      <w:start w:val="1"/>
      <w:numFmt w:val="bullet"/>
      <w:lvlText w:val=""/>
      <w:lvlJc w:val="left"/>
      <w:pPr>
        <w:ind w:hanging="360" w:left="5040"/>
      </w:pPr>
      <w:rPr>
        <w:rFonts w:ascii="Symbol" w:hAnsi="Symbol" w:hint="default"/>
      </w:rPr>
    </w:lvl>
    <w:lvl w:ilvl="7" w:tentative="1" w:tplc="F5CEA382">
      <w:start w:val="1"/>
      <w:numFmt w:val="bullet"/>
      <w:lvlText w:val="o"/>
      <w:lvlJc w:val="left"/>
      <w:pPr>
        <w:ind w:hanging="360" w:left="5760"/>
      </w:pPr>
      <w:rPr>
        <w:rFonts w:ascii="Courier New" w:cs="Courier New" w:hAnsi="Courier New" w:hint="default"/>
      </w:rPr>
    </w:lvl>
    <w:lvl w:ilvl="8" w:tentative="1" w:tplc="60201DC0">
      <w:start w:val="1"/>
      <w:numFmt w:val="bullet"/>
      <w:lvlText w:val=""/>
      <w:lvlJc w:val="left"/>
      <w:pPr>
        <w:ind w:hanging="360" w:left="6480"/>
      </w:pPr>
      <w:rPr>
        <w:rFonts w:ascii="Wingdings" w:hAnsi="Wingdings" w:hint="default"/>
      </w:rPr>
    </w:lvl>
  </w:abstractNum>
  <w:abstractNum w15:restartNumberingAfterBreak="0" w:abstractNumId="3">
    <w:nsid w:val="66D55028"/>
    <w:multiLevelType w:val="hybridMultilevel"/>
    <w:tmpl w:val="BB5AE5D2"/>
    <w:lvl w:ilvl="0" w:tplc="0413000F">
      <w:start w:val="1"/>
      <w:numFmt w:val="decimal"/>
      <w:lvlText w:val="%1."/>
      <w:lvlJc w:val="left"/>
      <w:pPr>
        <w:ind w:hanging="360" w:left="720"/>
      </w:pPr>
      <w:rPr>
        <w:rFonts w:hint="default"/>
      </w:rPr>
    </w:lvl>
    <w:lvl w:ilvl="1" w:tentative="1" w:tplc="04130019">
      <w:start w:val="1"/>
      <w:numFmt w:val="lowerLetter"/>
      <w:lvlText w:val="%2."/>
      <w:lvlJc w:val="left"/>
      <w:pPr>
        <w:ind w:hanging="360" w:left="1440"/>
      </w:pPr>
    </w:lvl>
    <w:lvl w:ilvl="2" w:tentative="1" w:tplc="0413001B">
      <w:start w:val="1"/>
      <w:numFmt w:val="lowerRoman"/>
      <w:lvlText w:val="%3."/>
      <w:lvlJc w:val="right"/>
      <w:pPr>
        <w:ind w:hanging="180" w:left="2160"/>
      </w:pPr>
    </w:lvl>
    <w:lvl w:ilvl="3" w:tentative="1" w:tplc="0413000F">
      <w:start w:val="1"/>
      <w:numFmt w:val="decimal"/>
      <w:lvlText w:val="%4."/>
      <w:lvlJc w:val="left"/>
      <w:pPr>
        <w:ind w:hanging="360" w:left="2880"/>
      </w:pPr>
    </w:lvl>
    <w:lvl w:ilvl="4" w:tentative="1" w:tplc="04130019">
      <w:start w:val="1"/>
      <w:numFmt w:val="lowerLetter"/>
      <w:lvlText w:val="%5."/>
      <w:lvlJc w:val="left"/>
      <w:pPr>
        <w:ind w:hanging="360" w:left="3600"/>
      </w:pPr>
    </w:lvl>
    <w:lvl w:ilvl="5" w:tentative="1" w:tplc="0413001B">
      <w:start w:val="1"/>
      <w:numFmt w:val="lowerRoman"/>
      <w:lvlText w:val="%6."/>
      <w:lvlJc w:val="right"/>
      <w:pPr>
        <w:ind w:hanging="180" w:left="4320"/>
      </w:pPr>
    </w:lvl>
    <w:lvl w:ilvl="6" w:tentative="1" w:tplc="0413000F">
      <w:start w:val="1"/>
      <w:numFmt w:val="decimal"/>
      <w:lvlText w:val="%7."/>
      <w:lvlJc w:val="left"/>
      <w:pPr>
        <w:ind w:hanging="360" w:left="5040"/>
      </w:pPr>
    </w:lvl>
    <w:lvl w:ilvl="7" w:tentative="1" w:tplc="04130019">
      <w:start w:val="1"/>
      <w:numFmt w:val="lowerLetter"/>
      <w:lvlText w:val="%8."/>
      <w:lvlJc w:val="left"/>
      <w:pPr>
        <w:ind w:hanging="360" w:left="5760"/>
      </w:pPr>
    </w:lvl>
    <w:lvl w:ilvl="8" w:tentative="1" w:tplc="0413001B">
      <w:start w:val="1"/>
      <w:numFmt w:val="lowerRoman"/>
      <w:lvlText w:val="%9."/>
      <w:lvlJc w:val="right"/>
      <w:pPr>
        <w:ind w:hanging="180" w:left="6480"/>
      </w:pPr>
    </w:lvl>
  </w:abstractNum>
  <w:abstractNum w15:restartNumberingAfterBreak="0" w:abstractNumId="4">
    <w:nsid w:val="6BCF41AA"/>
    <w:multiLevelType w:val="multilevel"/>
    <w:tmpl w:val="32C2C832"/>
    <w:lvl w:ilvl="0">
      <w:start w:val="1"/>
      <w:numFmt w:val="decimal"/>
      <w:pStyle w:val="Lijstnummering"/>
      <w:lvlText w:val="%1."/>
      <w:lvlJc w:val="left"/>
      <w:pPr>
        <w:ind w:hanging="360" w:left="360"/>
      </w:pPr>
      <w:rPr>
        <w:rFonts w:hint="default"/>
      </w:rPr>
    </w:lvl>
    <w:lvl w:ilvl="1">
      <w:start w:val="1"/>
      <w:numFmt w:val="decimal"/>
      <w:pStyle w:val="Lijstnummering2"/>
      <w:lvlText w:val="%1.%2."/>
      <w:lvlJc w:val="left"/>
      <w:pPr>
        <w:ind w:hanging="432" w:left="1076"/>
      </w:pPr>
      <w:rPr>
        <w:rFonts w:hint="default"/>
      </w:rPr>
    </w:lvl>
    <w:lvl w:ilvl="2">
      <w:start w:val="1"/>
      <w:numFmt w:val="decimal"/>
      <w:lvlText w:val="%1.%2.%3."/>
      <w:lvlJc w:val="left"/>
      <w:pPr>
        <w:ind w:hanging="504" w:left="1508"/>
      </w:pPr>
      <w:rPr>
        <w:rFonts w:hint="default"/>
      </w:rPr>
    </w:lvl>
    <w:lvl w:ilvl="3">
      <w:start w:val="1"/>
      <w:numFmt w:val="decimal"/>
      <w:lvlText w:val="%1.%2.%3.%4."/>
      <w:lvlJc w:val="left"/>
      <w:pPr>
        <w:ind w:hanging="648" w:left="2012"/>
      </w:pPr>
      <w:rPr>
        <w:rFonts w:hint="default"/>
      </w:rPr>
    </w:lvl>
    <w:lvl w:ilvl="4">
      <w:start w:val="1"/>
      <w:numFmt w:val="decimal"/>
      <w:lvlText w:val="%1.%2.%3.%4.%5."/>
      <w:lvlJc w:val="left"/>
      <w:pPr>
        <w:ind w:hanging="792" w:left="2516"/>
      </w:pPr>
      <w:rPr>
        <w:rFonts w:hint="default"/>
      </w:rPr>
    </w:lvl>
    <w:lvl w:ilvl="5">
      <w:start w:val="1"/>
      <w:numFmt w:val="decimal"/>
      <w:lvlText w:val="%1.%2.%3.%4.%5.%6."/>
      <w:lvlJc w:val="left"/>
      <w:pPr>
        <w:ind w:hanging="936" w:left="3020"/>
      </w:pPr>
      <w:rPr>
        <w:rFonts w:hint="default"/>
      </w:rPr>
    </w:lvl>
    <w:lvl w:ilvl="6">
      <w:start w:val="1"/>
      <w:numFmt w:val="decimal"/>
      <w:lvlText w:val="%1.%2.%3.%4.%5.%6.%7."/>
      <w:lvlJc w:val="left"/>
      <w:pPr>
        <w:ind w:hanging="1080" w:left="3524"/>
      </w:pPr>
      <w:rPr>
        <w:rFonts w:hint="default"/>
      </w:rPr>
    </w:lvl>
    <w:lvl w:ilvl="7">
      <w:start w:val="1"/>
      <w:numFmt w:val="decimal"/>
      <w:lvlText w:val="%1.%2.%3.%4.%5.%6.%7.%8."/>
      <w:lvlJc w:val="left"/>
      <w:pPr>
        <w:ind w:hanging="1224" w:left="4028"/>
      </w:pPr>
      <w:rPr>
        <w:rFonts w:hint="default"/>
      </w:rPr>
    </w:lvl>
    <w:lvl w:ilvl="8">
      <w:start w:val="1"/>
      <w:numFmt w:val="decimal"/>
      <w:lvlText w:val="%1.%2.%3.%4.%5.%6.%7.%8.%9."/>
      <w:lvlJc w:val="left"/>
      <w:pPr>
        <w:ind w:hanging="1440" w:left="4604"/>
      </w:pPr>
      <w:rPr>
        <w:rFonts w:hint="default"/>
      </w:rPr>
    </w:lvl>
  </w:abstractNum>
  <w:abstractNum w15:restartNumberingAfterBreak="0" w:abstractNumId="5">
    <w:nsid w:val="7DCE29B3"/>
    <w:multiLevelType w:val="hybridMultilevel"/>
    <w:tmpl w:val="960CF4F4"/>
    <w:lvl w:ilvl="0" w:tplc="E2DA6274">
      <w:start w:val="1"/>
      <w:numFmt w:val="bullet"/>
      <w:pStyle w:val="Lijstopsomteken"/>
      <w:lvlText w:val="•"/>
      <w:lvlJc w:val="left"/>
      <w:pPr>
        <w:tabs>
          <w:tab w:pos="360" w:val="num"/>
        </w:tabs>
        <w:ind w:hanging="360" w:left="360"/>
      </w:pPr>
      <w:rPr>
        <w:rFonts w:ascii="Roboto Light" w:hAnsi="Roboto Light" w:hint="default"/>
      </w:rPr>
    </w:lvl>
    <w:lvl w:ilvl="1" w:tentative="1" w:tplc="2EC21506">
      <w:start w:val="1"/>
      <w:numFmt w:val="bullet"/>
      <w:lvlText w:val="o"/>
      <w:lvlJc w:val="left"/>
      <w:pPr>
        <w:ind w:hanging="360" w:left="1440"/>
      </w:pPr>
      <w:rPr>
        <w:rFonts w:ascii="Courier New" w:cs="Courier New" w:hAnsi="Courier New" w:hint="default"/>
      </w:rPr>
    </w:lvl>
    <w:lvl w:ilvl="2" w:tentative="1" w:tplc="F1CCA39A">
      <w:start w:val="1"/>
      <w:numFmt w:val="bullet"/>
      <w:lvlText w:val=""/>
      <w:lvlJc w:val="left"/>
      <w:pPr>
        <w:ind w:hanging="360" w:left="2160"/>
      </w:pPr>
      <w:rPr>
        <w:rFonts w:ascii="Wingdings" w:hAnsi="Wingdings" w:hint="default"/>
      </w:rPr>
    </w:lvl>
    <w:lvl w:ilvl="3" w:tentative="1" w:tplc="DDC8C5A4">
      <w:start w:val="1"/>
      <w:numFmt w:val="bullet"/>
      <w:lvlText w:val=""/>
      <w:lvlJc w:val="left"/>
      <w:pPr>
        <w:ind w:hanging="360" w:left="2880"/>
      </w:pPr>
      <w:rPr>
        <w:rFonts w:ascii="Symbol" w:hAnsi="Symbol" w:hint="default"/>
      </w:rPr>
    </w:lvl>
    <w:lvl w:ilvl="4" w:tentative="1" w:tplc="BE207EF0">
      <w:start w:val="1"/>
      <w:numFmt w:val="bullet"/>
      <w:lvlText w:val="o"/>
      <w:lvlJc w:val="left"/>
      <w:pPr>
        <w:ind w:hanging="360" w:left="3600"/>
      </w:pPr>
      <w:rPr>
        <w:rFonts w:ascii="Courier New" w:cs="Courier New" w:hAnsi="Courier New" w:hint="default"/>
      </w:rPr>
    </w:lvl>
    <w:lvl w:ilvl="5" w:tentative="1" w:tplc="522A7C88">
      <w:start w:val="1"/>
      <w:numFmt w:val="bullet"/>
      <w:lvlText w:val=""/>
      <w:lvlJc w:val="left"/>
      <w:pPr>
        <w:ind w:hanging="360" w:left="4320"/>
      </w:pPr>
      <w:rPr>
        <w:rFonts w:ascii="Wingdings" w:hAnsi="Wingdings" w:hint="default"/>
      </w:rPr>
    </w:lvl>
    <w:lvl w:ilvl="6" w:tentative="1" w:tplc="04E6655A">
      <w:start w:val="1"/>
      <w:numFmt w:val="bullet"/>
      <w:lvlText w:val=""/>
      <w:lvlJc w:val="left"/>
      <w:pPr>
        <w:ind w:hanging="360" w:left="5040"/>
      </w:pPr>
      <w:rPr>
        <w:rFonts w:ascii="Symbol" w:hAnsi="Symbol" w:hint="default"/>
      </w:rPr>
    </w:lvl>
    <w:lvl w:ilvl="7" w:tentative="1" w:tplc="A3A69E1C">
      <w:start w:val="1"/>
      <w:numFmt w:val="bullet"/>
      <w:lvlText w:val="o"/>
      <w:lvlJc w:val="left"/>
      <w:pPr>
        <w:ind w:hanging="360" w:left="5760"/>
      </w:pPr>
      <w:rPr>
        <w:rFonts w:ascii="Courier New" w:cs="Courier New" w:hAnsi="Courier New" w:hint="default"/>
      </w:rPr>
    </w:lvl>
    <w:lvl w:ilvl="8" w:tentative="1" w:tplc="20F0DE4A">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576482631" w:numId="1">
    <w:abstractNumId w:val="0"/>
  </w:num>
  <w:num w16cid:durableId="1726561478" w:numId="2">
    <w:abstractNumId w:val="5"/>
  </w:num>
  <w:num w16cid:durableId="1511337554" w:numId="3">
    <w:abstractNumId w:val="2"/>
  </w:num>
  <w:num w16cid:durableId="177549642" w:numId="4">
    <w:abstractNumId w:val="4"/>
  </w:num>
  <w:num w16cid:durableId="1948809314" w:numId="5">
    <w:abstractNumId w:val="0"/>
  </w:num>
  <w:num w16cid:durableId="2096171070" w:numId="6">
    <w:abstractNumId w:val="0"/>
  </w:num>
  <w:num w16cid:durableId="250628383" w:numId="7">
    <w:abstractNumId w:val="0"/>
  </w:num>
  <w:num w16cid:durableId="390036222" w:numId="8">
    <w:abstractNumId w:val="0"/>
  </w:num>
  <w:num w16cid:durableId="1880823502" w:numId="9">
    <w:abstractNumId w:val="0"/>
  </w:num>
  <w:num w16cid:durableId="599684691" w:numId="10">
    <w:abstractNumId w:val="0"/>
  </w:num>
  <w:num w16cid:durableId="1228686498" w:numId="11">
    <w:abstractNumId w:val="0"/>
  </w:num>
  <w:num w16cid:durableId="1660961332" w:numId="12">
    <w:abstractNumId w:val="5"/>
  </w:num>
  <w:num w16cid:durableId="615915703" w:numId="13">
    <w:abstractNumId w:val="4"/>
  </w:num>
  <w:num w16cid:durableId="1550998028" w:numId="14">
    <w:abstractNumId w:val="2"/>
  </w:num>
  <w:num w16cid:durableId="450788545" w:numId="15">
    <w:abstractNumId w:val="4"/>
  </w:num>
  <w:num w16cid:durableId="131364278" w:numId="16">
    <w:abstractNumId w:val="0"/>
  </w:num>
  <w:num w16cid:durableId="1412584830"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3872521" w:numId="18">
    <w:abstractNumId w:val="3"/>
  </w:num>
  <w:num w16cid:durableId="1683630826" w:numId="19">
    <w:abstractNumId w:val="1"/>
  </w:num>
  <w:num w16cid:durableId="1865361265" w:numId="2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59762372"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42293"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80"/>
  <w:embedSystemFonts/>
  <w:proofState w:grammar="clean" w:spelling="clean"/>
  <w:attachedTemplate r:id="rId1"/>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ocumentProtection w:enforcement="0" w:formatting="1"/>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CwtLQwszA2NjG1MDNU0lEKTi0uzszPAykwrAUAp4rPkywAAAA="/>
  </w:docVars>
  <w:rsids>
    <w:rsidRoot w:val="00C10FCB"/>
    <w:rsid w:val="00000199"/>
    <w:rsid w:val="000044E6"/>
    <w:rsid w:val="00004B47"/>
    <w:rsid w:val="00020F77"/>
    <w:rsid w:val="00022681"/>
    <w:rsid w:val="00023151"/>
    <w:rsid w:val="00036137"/>
    <w:rsid w:val="000366FD"/>
    <w:rsid w:val="00036CAC"/>
    <w:rsid w:val="000466BB"/>
    <w:rsid w:val="0005072B"/>
    <w:rsid w:val="00054A44"/>
    <w:rsid w:val="000578D6"/>
    <w:rsid w:val="00062C12"/>
    <w:rsid w:val="00073C80"/>
    <w:rsid w:val="00076B7E"/>
    <w:rsid w:val="00082253"/>
    <w:rsid w:val="00084659"/>
    <w:rsid w:val="00084740"/>
    <w:rsid w:val="0008754C"/>
    <w:rsid w:val="0009018B"/>
    <w:rsid w:val="000A1E53"/>
    <w:rsid w:val="000A20B1"/>
    <w:rsid w:val="000A24A8"/>
    <w:rsid w:val="000A2D62"/>
    <w:rsid w:val="000A4120"/>
    <w:rsid w:val="000A5755"/>
    <w:rsid w:val="000A5B18"/>
    <w:rsid w:val="000A75BB"/>
    <w:rsid w:val="000B2368"/>
    <w:rsid w:val="000B65B9"/>
    <w:rsid w:val="000E0506"/>
    <w:rsid w:val="000E1481"/>
    <w:rsid w:val="000F18C1"/>
    <w:rsid w:val="000F1B70"/>
    <w:rsid w:val="000F3379"/>
    <w:rsid w:val="000F3451"/>
    <w:rsid w:val="000F6EEF"/>
    <w:rsid w:val="000F7AD2"/>
    <w:rsid w:val="000F7E88"/>
    <w:rsid w:val="00102603"/>
    <w:rsid w:val="00103B0C"/>
    <w:rsid w:val="00104F88"/>
    <w:rsid w:val="00113933"/>
    <w:rsid w:val="00114990"/>
    <w:rsid w:val="00120236"/>
    <w:rsid w:val="0012584F"/>
    <w:rsid w:val="0013016D"/>
    <w:rsid w:val="0013622D"/>
    <w:rsid w:val="00137042"/>
    <w:rsid w:val="001425B3"/>
    <w:rsid w:val="001464B5"/>
    <w:rsid w:val="00151339"/>
    <w:rsid w:val="001537C6"/>
    <w:rsid w:val="00156B8B"/>
    <w:rsid w:val="00156E02"/>
    <w:rsid w:val="0016146E"/>
    <w:rsid w:val="001649A1"/>
    <w:rsid w:val="001677E1"/>
    <w:rsid w:val="00172440"/>
    <w:rsid w:val="001751C5"/>
    <w:rsid w:val="00181984"/>
    <w:rsid w:val="00192583"/>
    <w:rsid w:val="00196AD8"/>
    <w:rsid w:val="0019739F"/>
    <w:rsid w:val="00197401"/>
    <w:rsid w:val="001A1EDA"/>
    <w:rsid w:val="001A3CB0"/>
    <w:rsid w:val="001A644F"/>
    <w:rsid w:val="001A6B81"/>
    <w:rsid w:val="001B318E"/>
    <w:rsid w:val="001C26D9"/>
    <w:rsid w:val="001C3CF5"/>
    <w:rsid w:val="001D7010"/>
    <w:rsid w:val="001E1E91"/>
    <w:rsid w:val="001E5436"/>
    <w:rsid w:val="001F4AAA"/>
    <w:rsid w:val="001F71EC"/>
    <w:rsid w:val="001F7200"/>
    <w:rsid w:val="001F7714"/>
    <w:rsid w:val="0020065D"/>
    <w:rsid w:val="00200971"/>
    <w:rsid w:val="00215A64"/>
    <w:rsid w:val="00215C16"/>
    <w:rsid w:val="00215FE9"/>
    <w:rsid w:val="002167F2"/>
    <w:rsid w:val="00235472"/>
    <w:rsid w:val="00237F15"/>
    <w:rsid w:val="002410A7"/>
    <w:rsid w:val="00242C03"/>
    <w:rsid w:val="002467FF"/>
    <w:rsid w:val="00252C0A"/>
    <w:rsid w:val="002558BB"/>
    <w:rsid w:val="0026662F"/>
    <w:rsid w:val="00273179"/>
    <w:rsid w:val="002754B0"/>
    <w:rsid w:val="00280C4A"/>
    <w:rsid w:val="0028269C"/>
    <w:rsid w:val="002928C9"/>
    <w:rsid w:val="002941D4"/>
    <w:rsid w:val="002A0523"/>
    <w:rsid w:val="002A0CEA"/>
    <w:rsid w:val="002A2048"/>
    <w:rsid w:val="002A6D18"/>
    <w:rsid w:val="002A7858"/>
    <w:rsid w:val="002B6C9D"/>
    <w:rsid w:val="002C3483"/>
    <w:rsid w:val="002D1474"/>
    <w:rsid w:val="002D38C5"/>
    <w:rsid w:val="002E375C"/>
    <w:rsid w:val="002E585B"/>
    <w:rsid w:val="002F5B1A"/>
    <w:rsid w:val="00300265"/>
    <w:rsid w:val="00301E99"/>
    <w:rsid w:val="00301FA2"/>
    <w:rsid w:val="0030458F"/>
    <w:rsid w:val="003048B3"/>
    <w:rsid w:val="0032346F"/>
    <w:rsid w:val="003312FB"/>
    <w:rsid w:val="00331A69"/>
    <w:rsid w:val="00332732"/>
    <w:rsid w:val="003519CE"/>
    <w:rsid w:val="003820AA"/>
    <w:rsid w:val="003A1BA9"/>
    <w:rsid w:val="003A4B6F"/>
    <w:rsid w:val="003C6108"/>
    <w:rsid w:val="003D37D4"/>
    <w:rsid w:val="003E035D"/>
    <w:rsid w:val="003F0909"/>
    <w:rsid w:val="003F0FEB"/>
    <w:rsid w:val="003F180B"/>
    <w:rsid w:val="003F49B2"/>
    <w:rsid w:val="00400D7D"/>
    <w:rsid w:val="00411CCA"/>
    <w:rsid w:val="00411FDF"/>
    <w:rsid w:val="00434AE5"/>
    <w:rsid w:val="0044291F"/>
    <w:rsid w:val="004604B6"/>
    <w:rsid w:val="00464A3E"/>
    <w:rsid w:val="004668D9"/>
    <w:rsid w:val="00467D98"/>
    <w:rsid w:val="00472639"/>
    <w:rsid w:val="004729F0"/>
    <w:rsid w:val="00475B69"/>
    <w:rsid w:val="00481AF9"/>
    <w:rsid w:val="004850C1"/>
    <w:rsid w:val="0048707F"/>
    <w:rsid w:val="00494E09"/>
    <w:rsid w:val="004B16D5"/>
    <w:rsid w:val="004B23AF"/>
    <w:rsid w:val="004B605D"/>
    <w:rsid w:val="004C0E67"/>
    <w:rsid w:val="004C27A2"/>
    <w:rsid w:val="004D3530"/>
    <w:rsid w:val="004F2932"/>
    <w:rsid w:val="004F630B"/>
    <w:rsid w:val="00501BDD"/>
    <w:rsid w:val="0050790A"/>
    <w:rsid w:val="00514849"/>
    <w:rsid w:val="00516013"/>
    <w:rsid w:val="005249F8"/>
    <w:rsid w:val="005254E0"/>
    <w:rsid w:val="00535ED5"/>
    <w:rsid w:val="00537446"/>
    <w:rsid w:val="0054125F"/>
    <w:rsid w:val="005559CE"/>
    <w:rsid w:val="00565F2F"/>
    <w:rsid w:val="00567379"/>
    <w:rsid w:val="00567A73"/>
    <w:rsid w:val="00576E76"/>
    <w:rsid w:val="0059336F"/>
    <w:rsid w:val="00595C5D"/>
    <w:rsid w:val="005A2342"/>
    <w:rsid w:val="005A5DC1"/>
    <w:rsid w:val="005A794C"/>
    <w:rsid w:val="005C31B0"/>
    <w:rsid w:val="005E181E"/>
    <w:rsid w:val="005E1C77"/>
    <w:rsid w:val="005E4D38"/>
    <w:rsid w:val="005E54CD"/>
    <w:rsid w:val="005F0D8D"/>
    <w:rsid w:val="005F4184"/>
    <w:rsid w:val="005F7E9F"/>
    <w:rsid w:val="00611344"/>
    <w:rsid w:val="006136D8"/>
    <w:rsid w:val="00623C20"/>
    <w:rsid w:val="00630CDD"/>
    <w:rsid w:val="006547B6"/>
    <w:rsid w:val="00657961"/>
    <w:rsid w:val="00665B0F"/>
    <w:rsid w:val="00666709"/>
    <w:rsid w:val="006702BE"/>
    <w:rsid w:val="00671D57"/>
    <w:rsid w:val="0069095A"/>
    <w:rsid w:val="00692341"/>
    <w:rsid w:val="0069396E"/>
    <w:rsid w:val="00694FF1"/>
    <w:rsid w:val="006A4633"/>
    <w:rsid w:val="006A4B37"/>
    <w:rsid w:val="006B0331"/>
    <w:rsid w:val="006B1BB5"/>
    <w:rsid w:val="006B1FC9"/>
    <w:rsid w:val="006B4BCB"/>
    <w:rsid w:val="006B7359"/>
    <w:rsid w:val="006C61FA"/>
    <w:rsid w:val="006C7825"/>
    <w:rsid w:val="006C7B02"/>
    <w:rsid w:val="006D385C"/>
    <w:rsid w:val="006D5CE5"/>
    <w:rsid w:val="006E654E"/>
    <w:rsid w:val="006E6701"/>
    <w:rsid w:val="006E6DF2"/>
    <w:rsid w:val="006F025E"/>
    <w:rsid w:val="006F0280"/>
    <w:rsid w:val="006F4AC1"/>
    <w:rsid w:val="007002B4"/>
    <w:rsid w:val="00712748"/>
    <w:rsid w:val="00714869"/>
    <w:rsid w:val="007253CA"/>
    <w:rsid w:val="00735FCA"/>
    <w:rsid w:val="00743CF9"/>
    <w:rsid w:val="00746B2B"/>
    <w:rsid w:val="00756F6B"/>
    <w:rsid w:val="007756F3"/>
    <w:rsid w:val="00781C8C"/>
    <w:rsid w:val="00784B47"/>
    <w:rsid w:val="00785585"/>
    <w:rsid w:val="00794592"/>
    <w:rsid w:val="007A25DC"/>
    <w:rsid w:val="007B5303"/>
    <w:rsid w:val="007B54EC"/>
    <w:rsid w:val="007B5B87"/>
    <w:rsid w:val="007B7842"/>
    <w:rsid w:val="007C347B"/>
    <w:rsid w:val="007C5A71"/>
    <w:rsid w:val="007D3259"/>
    <w:rsid w:val="007D3D03"/>
    <w:rsid w:val="007E397A"/>
    <w:rsid w:val="007F04C0"/>
    <w:rsid w:val="007F25D8"/>
    <w:rsid w:val="007F7AFD"/>
    <w:rsid w:val="008002F0"/>
    <w:rsid w:val="00801B02"/>
    <w:rsid w:val="008023C0"/>
    <w:rsid w:val="00807C2C"/>
    <w:rsid w:val="00811623"/>
    <w:rsid w:val="00832CC2"/>
    <w:rsid w:val="0085008D"/>
    <w:rsid w:val="00851B93"/>
    <w:rsid w:val="0085478A"/>
    <w:rsid w:val="00860B73"/>
    <w:rsid w:val="00860D5B"/>
    <w:rsid w:val="00860F3B"/>
    <w:rsid w:val="00865406"/>
    <w:rsid w:val="0086653F"/>
    <w:rsid w:val="0087322F"/>
    <w:rsid w:val="0087434F"/>
    <w:rsid w:val="00890465"/>
    <w:rsid w:val="00897052"/>
    <w:rsid w:val="008A0F70"/>
    <w:rsid w:val="008A6BB8"/>
    <w:rsid w:val="008C0AB2"/>
    <w:rsid w:val="008C111C"/>
    <w:rsid w:val="008C2C63"/>
    <w:rsid w:val="008D0AEB"/>
    <w:rsid w:val="008D586D"/>
    <w:rsid w:val="008E4DE7"/>
    <w:rsid w:val="008E5240"/>
    <w:rsid w:val="008F710A"/>
    <w:rsid w:val="009101C2"/>
    <w:rsid w:val="00912A5F"/>
    <w:rsid w:val="009403C6"/>
    <w:rsid w:val="00942826"/>
    <w:rsid w:val="00944839"/>
    <w:rsid w:val="009537E6"/>
    <w:rsid w:val="00972468"/>
    <w:rsid w:val="00974092"/>
    <w:rsid w:val="00981838"/>
    <w:rsid w:val="00981CAF"/>
    <w:rsid w:val="00982C18"/>
    <w:rsid w:val="009849DF"/>
    <w:rsid w:val="009A1A85"/>
    <w:rsid w:val="009B7474"/>
    <w:rsid w:val="009C2B9A"/>
    <w:rsid w:val="009D1099"/>
    <w:rsid w:val="009D2071"/>
    <w:rsid w:val="00A0426F"/>
    <w:rsid w:val="00A06F97"/>
    <w:rsid w:val="00A07654"/>
    <w:rsid w:val="00A16748"/>
    <w:rsid w:val="00A23764"/>
    <w:rsid w:val="00A267C9"/>
    <w:rsid w:val="00A310AF"/>
    <w:rsid w:val="00A33D04"/>
    <w:rsid w:val="00A370A6"/>
    <w:rsid w:val="00A40751"/>
    <w:rsid w:val="00A50373"/>
    <w:rsid w:val="00A50F8E"/>
    <w:rsid w:val="00A60484"/>
    <w:rsid w:val="00A64851"/>
    <w:rsid w:val="00A64CD2"/>
    <w:rsid w:val="00A72428"/>
    <w:rsid w:val="00A7470D"/>
    <w:rsid w:val="00A7545C"/>
    <w:rsid w:val="00A775E1"/>
    <w:rsid w:val="00A82166"/>
    <w:rsid w:val="00A87712"/>
    <w:rsid w:val="00AA12D0"/>
    <w:rsid w:val="00AB71BE"/>
    <w:rsid w:val="00AB7BF9"/>
    <w:rsid w:val="00AC2BD7"/>
    <w:rsid w:val="00AC7A6B"/>
    <w:rsid w:val="00AC7B69"/>
    <w:rsid w:val="00AD389A"/>
    <w:rsid w:val="00AE2E51"/>
    <w:rsid w:val="00AE42F2"/>
    <w:rsid w:val="00AF067B"/>
    <w:rsid w:val="00AF083B"/>
    <w:rsid w:val="00AF7851"/>
    <w:rsid w:val="00B045B0"/>
    <w:rsid w:val="00B141BF"/>
    <w:rsid w:val="00B24515"/>
    <w:rsid w:val="00B26990"/>
    <w:rsid w:val="00B326C5"/>
    <w:rsid w:val="00B32C8B"/>
    <w:rsid w:val="00B346EA"/>
    <w:rsid w:val="00B515C9"/>
    <w:rsid w:val="00B55647"/>
    <w:rsid w:val="00B56D86"/>
    <w:rsid w:val="00B57D4D"/>
    <w:rsid w:val="00B63660"/>
    <w:rsid w:val="00B64C0F"/>
    <w:rsid w:val="00B66C34"/>
    <w:rsid w:val="00B72D37"/>
    <w:rsid w:val="00B737DF"/>
    <w:rsid w:val="00B826E7"/>
    <w:rsid w:val="00B86770"/>
    <w:rsid w:val="00B87419"/>
    <w:rsid w:val="00B90D16"/>
    <w:rsid w:val="00B92C47"/>
    <w:rsid w:val="00BA098D"/>
    <w:rsid w:val="00BB227E"/>
    <w:rsid w:val="00BB28F2"/>
    <w:rsid w:val="00BB4B5A"/>
    <w:rsid w:val="00BB4B7C"/>
    <w:rsid w:val="00BC27C3"/>
    <w:rsid w:val="00BC3D0A"/>
    <w:rsid w:val="00BD7286"/>
    <w:rsid w:val="00BE3DE6"/>
    <w:rsid w:val="00BE660E"/>
    <w:rsid w:val="00C04FB2"/>
    <w:rsid w:val="00C05C6A"/>
    <w:rsid w:val="00C10FCB"/>
    <w:rsid w:val="00C13699"/>
    <w:rsid w:val="00C1594F"/>
    <w:rsid w:val="00C166DE"/>
    <w:rsid w:val="00C17FD6"/>
    <w:rsid w:val="00C20EB5"/>
    <w:rsid w:val="00C21CC4"/>
    <w:rsid w:val="00C23D58"/>
    <w:rsid w:val="00C24344"/>
    <w:rsid w:val="00C247DC"/>
    <w:rsid w:val="00C24AE6"/>
    <w:rsid w:val="00C33917"/>
    <w:rsid w:val="00C4476A"/>
    <w:rsid w:val="00C466D2"/>
    <w:rsid w:val="00C47A3B"/>
    <w:rsid w:val="00C52FCB"/>
    <w:rsid w:val="00C537A0"/>
    <w:rsid w:val="00C54FBC"/>
    <w:rsid w:val="00C62E77"/>
    <w:rsid w:val="00C647A8"/>
    <w:rsid w:val="00C6562F"/>
    <w:rsid w:val="00C7278B"/>
    <w:rsid w:val="00C735FE"/>
    <w:rsid w:val="00C84D56"/>
    <w:rsid w:val="00C84E92"/>
    <w:rsid w:val="00C86CD4"/>
    <w:rsid w:val="00C9778D"/>
    <w:rsid w:val="00CA559D"/>
    <w:rsid w:val="00CB6643"/>
    <w:rsid w:val="00CC4CEC"/>
    <w:rsid w:val="00CD2033"/>
    <w:rsid w:val="00CE28C0"/>
    <w:rsid w:val="00CE47C4"/>
    <w:rsid w:val="00CE4D84"/>
    <w:rsid w:val="00CF0323"/>
    <w:rsid w:val="00CF3A87"/>
    <w:rsid w:val="00CF41A8"/>
    <w:rsid w:val="00CF5BE7"/>
    <w:rsid w:val="00D04230"/>
    <w:rsid w:val="00D04449"/>
    <w:rsid w:val="00D07AB3"/>
    <w:rsid w:val="00D14F66"/>
    <w:rsid w:val="00D15EDC"/>
    <w:rsid w:val="00D25F72"/>
    <w:rsid w:val="00D2649A"/>
    <w:rsid w:val="00D36F5D"/>
    <w:rsid w:val="00D43CF3"/>
    <w:rsid w:val="00D473BD"/>
    <w:rsid w:val="00D47931"/>
    <w:rsid w:val="00D650D8"/>
    <w:rsid w:val="00D6594F"/>
    <w:rsid w:val="00D66488"/>
    <w:rsid w:val="00D67BCA"/>
    <w:rsid w:val="00D722FE"/>
    <w:rsid w:val="00D80ECE"/>
    <w:rsid w:val="00D83FB3"/>
    <w:rsid w:val="00D93AC0"/>
    <w:rsid w:val="00DA31C1"/>
    <w:rsid w:val="00DA699C"/>
    <w:rsid w:val="00DA7F52"/>
    <w:rsid w:val="00DC0A10"/>
    <w:rsid w:val="00DC0C29"/>
    <w:rsid w:val="00DC2903"/>
    <w:rsid w:val="00DC4EF0"/>
    <w:rsid w:val="00DD6DE3"/>
    <w:rsid w:val="00DE4F49"/>
    <w:rsid w:val="00E0789B"/>
    <w:rsid w:val="00E13D5D"/>
    <w:rsid w:val="00E1523B"/>
    <w:rsid w:val="00E24F53"/>
    <w:rsid w:val="00E2524B"/>
    <w:rsid w:val="00E35DF0"/>
    <w:rsid w:val="00E4057C"/>
    <w:rsid w:val="00E40C26"/>
    <w:rsid w:val="00E52038"/>
    <w:rsid w:val="00E735BD"/>
    <w:rsid w:val="00E73CF0"/>
    <w:rsid w:val="00E95D17"/>
    <w:rsid w:val="00EA2E46"/>
    <w:rsid w:val="00EA59ED"/>
    <w:rsid w:val="00EA6A65"/>
    <w:rsid w:val="00EB47AC"/>
    <w:rsid w:val="00EB4896"/>
    <w:rsid w:val="00EB51F5"/>
    <w:rsid w:val="00EE60F8"/>
    <w:rsid w:val="00EE7798"/>
    <w:rsid w:val="00EE7D64"/>
    <w:rsid w:val="00EF2C4C"/>
    <w:rsid w:val="00F03B88"/>
    <w:rsid w:val="00F074D3"/>
    <w:rsid w:val="00F12FAA"/>
    <w:rsid w:val="00F2139E"/>
    <w:rsid w:val="00F23EFA"/>
    <w:rsid w:val="00F33141"/>
    <w:rsid w:val="00F42EC8"/>
    <w:rsid w:val="00F51D22"/>
    <w:rsid w:val="00F52CDF"/>
    <w:rsid w:val="00F57822"/>
    <w:rsid w:val="00F64333"/>
    <w:rsid w:val="00F7281A"/>
    <w:rsid w:val="00F76601"/>
    <w:rsid w:val="00FA0B3F"/>
    <w:rsid w:val="00FA36C0"/>
    <w:rsid w:val="00FA7C93"/>
    <w:rsid w:val="00FB0596"/>
    <w:rsid w:val="00FB706B"/>
    <w:rsid w:val="00FC3818"/>
    <w:rsid w:val="00FC3F79"/>
    <w:rsid w:val="00FC44A1"/>
    <w:rsid w:val="00FD137F"/>
    <w:rsid w:val="00FD399F"/>
    <w:rsid w:val="00FD3DAD"/>
    <w:rsid w:val="00FD547F"/>
    <w:rsid w:val="00FD6851"/>
    <w:rsid w:val="00FE63AE"/>
  </w:rsids>
  <w:themeFontLang w:val="nl-NL"/>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nl"/>
      </w:rPr>
    </w:rPrDefault>
    <w:pPrDefault>
      <w:pPr>
        <w:spacing w:line="276" w:lineRule="auto"/>
      </w:pPr>
    </w:pPrDefault>
  </w:docDefaults>
  <w:latentStyles w:count="376" w:defLockedState="1" w:defQFormat="0" w:defSemiHidden="0" w:defUIPriority="99" w:defUnhideWhenUsed="0">
    <w:lsdException w:locked="0" w:name="Normal" w:qFormat="1" w:uiPriority="13"/>
    <w:lsdException w:locked="0" w:name="heading 1" w:qFormat="1" w:uiPriority="8"/>
    <w:lsdException w:locked="0" w:name="heading 2" w:qFormat="1" w:semiHidden="1" w:uiPriority="10" w:unhideWhenUsed="1"/>
    <w:lsdException w:locked="0" w:name="heading 3" w:qFormat="1" w:semiHidden="1" w:uiPriority="11" w:unhideWhenUsed="1"/>
    <w:lsdException w:name="heading 4" w:semiHidden="1" w:uiPriority="9" w:unhideWhenUsed="1"/>
    <w:lsdException w:locked="0" w:name="heading 5" w:semiHidden="1" w:uiPriority="9" w:unhideWhenUsed="1"/>
    <w:lsdException w:locked="0" w:name="heading 6" w:qFormat="1" w:semiHidden="1" w:unhideWhenUsed="1"/>
    <w:lsdException w:locked="0" w:name="heading 7" w:qFormat="1" w:semiHidden="1" w:unhideWhenUsed="1"/>
    <w:lsdException w:locked="0" w:name="heading 8" w:qFormat="1" w:semiHidden="1" w:unhideWhenUsed="1"/>
    <w:lsdException w:locked="0" w:name="heading 9" w:qFormat="1" w:semiHidden="1"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locked="0" w:name="toc 1" w:semiHidden="1" w:uiPriority="39"/>
    <w:lsdException w:locked="0" w:name="toc 2" w:semiHidden="1" w:uiPriority="39"/>
    <w:lsdException w:locked="0" w:name="toc 3" w:semiHidden="1" w:uiPriority="39"/>
    <w:lsdException w:name="toc 4" w:semiHidden="1"/>
    <w:lsdException w:name="toc 5" w:semiHidden="1"/>
    <w:lsdException w:name="toc 6" w:semiHidden="1"/>
    <w:lsdException w:name="toc 7" w:semiHidden="1"/>
    <w:lsdException w:name="toc 8" w:semiHidden="1"/>
    <w:lsdException w:name="toc 9" w:semiHidden="1"/>
    <w:lsdException w:name="Normal Indent" w:semiHidden="1"/>
    <w:lsdException w:name="footnote text" w:semiHidden="1"/>
    <w:lsdException w:name="annotation text" w:semiHidden="1"/>
    <w:lsdException w:name="header" w:semiHidden="1"/>
    <w:lsdException w:locked="0" w:name="footer" w:semiHidden="1"/>
    <w:lsdException w:name="index heading" w:semiHidden="1"/>
    <w:lsdException w:locked="0" w:name="caption" w:qFormat="1" w:semiHidden="1" w:uiPriority="15" w:unhideWhenUsed="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locked="0" w:name="page number" w:semiHidden="1"/>
    <w:lsdException w:name="endnote reference" w:semiHidden="1"/>
    <w:lsdException w:name="endnote text" w:semiHidden="1"/>
    <w:lsdException w:name="table of authorities" w:semiHidden="1"/>
    <w:lsdException w:name="macro" w:semiHidden="1"/>
    <w:lsdException w:name="toa heading" w:semiHidden="1"/>
    <w:lsdException w:locked="0" w:name="List" w:semiHidden="1" w:unhideWhenUsed="1"/>
    <w:lsdException w:locked="0" w:name="List Bullet" w:qFormat="1" w:semiHidden="1" w:uiPriority="8" w:unhideWhenUsed="1"/>
    <w:lsdException w:locked="0" w:name="List Number" w:qFormat="1" w:semiHidden="1" w:uiPriority="18" w:unhideWhenUsed="1"/>
    <w:lsdException w:locked="0" w:name="List 2" w:semiHidden="1" w:unhideWhenUsed="1"/>
    <w:lsdException w:name="List 3" w:semiHidden="1"/>
    <w:lsdException w:name="List 4" w:semiHidden="1"/>
    <w:lsdException w:name="List 5" w:semiHidden="1"/>
    <w:lsdException w:locked="0" w:name="List Bullet 2" w:qFormat="1" w:semiHidden="1" w:uiPriority="17" w:unhideWhenUsed="1"/>
    <w:lsdException w:name="List Bullet 3" w:semiHidden="1"/>
    <w:lsdException w:name="List Bullet 4" w:semiHidden="1"/>
    <w:lsdException w:name="List Bullet 5" w:semiHidden="1"/>
    <w:lsdException w:locked="0" w:name="List Number 2" w:qFormat="1" w:semiHidden="1" w:uiPriority="19" w:unhideWhenUsed="1"/>
    <w:lsdException w:name="List Number 3" w:semiHidden="1"/>
    <w:lsdException w:name="List Number 4" w:semiHidden="1"/>
    <w:lsdException w:name="List Number 5" w:semiHidden="1"/>
    <w:lsdException w:locked="0" w:name="Title" w:uiPriority="0"/>
    <w:lsdException w:name="Closing" w:semiHidden="1"/>
    <w:lsdException w:name="Signature" w:semiHidden="1"/>
    <w:lsdException w:locked="0"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locked="0" w:name="Subtitle" w:semiHidden="1" w:uiPriority="1"/>
    <w:lsdException w:locked="0" w:name="Salutation" w:semiHidden="1"/>
    <w:lsdException w:name="Date" w:semiHidden="1"/>
    <w:lsdException w:name="Body Text First Indent" w:semiHidden="1"/>
    <w:lsdException w:name="Body Text First Indent 2" w:semiHidden="1"/>
    <w:lsdException w:locked="0"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locked="0" w:name="FollowedHyperlink" w:semiHidden="1"/>
    <w:lsdException w:locked="0" w:name="Strong" w:qFormat="1" w:semiHidden="1"/>
    <w:lsdException w:name="Emphasis" w:semiHidden="1"/>
    <w:lsdException w:name="Document Map" w:semiHidden="1"/>
    <w:lsdException w:name="Plain Text" w:semiHidden="1"/>
    <w:lsdException w:name="E-mail Signature" w:semiHidden="1"/>
    <w:lsdException w:locked="0" w:name="HTML Top of Form" w:semiHidden="1" w:unhideWhenUsed="1"/>
    <w:lsdException w:locked="0"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unhideWhenUsed="1"/>
    <w:lsdException w:locked="0" w:name="Normal Table" w:semiHidden="1" w:unhideWhenUsed="1"/>
    <w:lsdException w:name="annotation subject" w:semiHidden="1"/>
    <w:lsdException w:locked="0"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locked="0"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locked="0" w:name="Balloon Text" w:semiHidden="1" w:unhideWhenUsed="1"/>
    <w:lsdException w:name="Table Grid" w:uiPriority="39"/>
    <w:lsdException w:name="Table Theme" w:semiHidden="1" w:unhideWhenUsed="1"/>
    <w:lsdException w:locked="0" w:name="Placeholder Text" w:semiHidden="1"/>
    <w:lsdException w:name="No Spacing" w:semiHidden="1" w:uiPriority="8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locked="0" w:name="Revision" w:semiHidden="1"/>
    <w:lsdException w:name="List Paragraph" w:semiHidden="1"/>
    <w:lsdException w:name="Quote" w:semiHidden="1"/>
    <w:lsdException w:name="Intense Quote"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locked="0" w:name="Light Shading Accent 3" w:uiPriority="60"/>
    <w:lsdException w:locked="0" w:name="Light List Accent 3" w:uiPriority="61"/>
    <w:lsdException w:locked="0" w:name="Light Grid Accent 3" w:uiPriority="62"/>
    <w:lsdException w:locked="0" w:name="Medium Shading 1 Accent 3" w:uiPriority="63"/>
    <w:lsdException w:locked="0" w:name="Medium Shading 2 Accent 3" w:uiPriority="64"/>
    <w:lsdException w:locked="0" w:name="Medium List 1 Accent 3" w:uiPriority="65"/>
    <w:lsdException w:locked="0" w:name="Medium List 2 Accent 3" w:uiPriority="66"/>
    <w:lsdException w:locked="0" w:name="Medium Grid 1 Accent 3" w:uiPriority="67"/>
    <w:lsdException w:locked="0" w:name="Medium Grid 2 Accent 3" w:uiPriority="68"/>
    <w:lsdException w:locked="0" w:name="Medium Grid 3 Accent 3" w:uiPriority="69"/>
    <w:lsdException w:locked="0" w:name="Dark List Accent 3" w:uiPriority="70"/>
    <w:lsdException w:locked="0" w:name="Colorful Shading Accent 3" w:uiPriority="71"/>
    <w:lsdException w:locked="0" w:name="Colorful List Accent 3" w:uiPriority="72"/>
    <w:lsdException w:locked="0"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locked="0" w:name="Light Shading Accent 6" w:uiPriority="60"/>
    <w:lsdException w:locked="0" w:name="Light List Accent 6" w:uiPriority="61"/>
    <w:lsdException w:locked="0" w:name="Light Grid Accent 6" w:uiPriority="62"/>
    <w:lsdException w:locked="0" w:name="Medium Shading 1 Accent 6" w:uiPriority="63"/>
    <w:lsdException w:locked="0" w:name="Medium Shading 2 Accent 6" w:uiPriority="64"/>
    <w:lsdException w:locked="0" w:name="Medium List 1 Accent 6" w:uiPriority="65"/>
    <w:lsdException w:locked="0" w:name="Medium List 2 Accent 6" w:uiPriority="66"/>
    <w:lsdException w:locked="0" w:name="Medium Grid 1 Accent 6" w:uiPriority="67"/>
    <w:lsdException w:locked="0" w:name="Medium Grid 2 Accent 6" w:uiPriority="68"/>
    <w:lsdException w:locked="0" w:name="Medium Grid 3 Accent 6" w:uiPriority="69"/>
    <w:lsdException w:locked="0" w:name="Dark List Accent 6" w:uiPriority="70"/>
    <w:lsdException w:locked="0" w:name="Colorful Shading Accent 6" w:uiPriority="71"/>
    <w:lsdException w:locked="0" w:name="Colorful List Accent 6" w:uiPriority="72"/>
    <w:lsdException w:locked="0" w:name="Colorful Grid Accent 6" w:uiPriority="73"/>
    <w:lsdException w:name="Subtle Emphasis" w:semiHidden="1"/>
    <w:lsdException w:name="Intense Emphasis" w:semiHidden="1"/>
    <w:lsdException w:name="Subtle Reference" w:semiHidden="1"/>
    <w:lsdException w:name="Intense Reference" w:semiHidden="1"/>
    <w:lsdException w:locked="0" w:name="Book Title" w:semiHidden="1"/>
    <w:lsdException w:name="Bibliography" w:semiHidden="1"/>
    <w:lsdException w:locked="0" w:name="TOC Heading" w:semiHidden="1" w:uiPriority="39" w:unhideWhenUsed="1"/>
    <w:lsdException w:locked="0" w:name="Plain Table 1" w:uiPriority="41"/>
    <w:lsdException w:locked="0" w:name="Plain Table 2" w:uiPriority="42"/>
    <w:lsdException w:locked="0" w:name="Plain Table 3" w:uiPriority="43"/>
    <w:lsdException w:locked="0" w:name="Plain Table 4" w:uiPriority="44"/>
    <w:lsdException w:locked="0" w:name="Plain Table 5" w:uiPriority="45"/>
    <w:lsdException w:locked="0" w:name="Grid Table Light" w:uiPriority="40"/>
    <w:lsdException w:locked="0" w:name="Grid Table 1 Light" w:uiPriority="46"/>
    <w:lsdException w:locked="0" w:name="Grid Table 2" w:uiPriority="47"/>
    <w:lsdException w:locked="0" w:name="Grid Table 3" w:uiPriority="48"/>
    <w:lsdException w:locked="0" w:name="Grid Table 4" w:uiPriority="49"/>
    <w:lsdException w:locked="0" w:name="Grid Table 5 Dark" w:uiPriority="50"/>
    <w:lsdException w:locked="0" w:name="Grid Table 6 Colorful" w:uiPriority="51"/>
    <w:lsdException w:locked="0" w:name="Grid Table 7 Colorful" w:uiPriority="52"/>
    <w:lsdException w:locked="0" w:name="Grid Table 1 Light Accent 1" w:uiPriority="46"/>
    <w:lsdException w:locked="0" w:name="Grid Table 2 Accent 1" w:uiPriority="47"/>
    <w:lsdException w:locked="0" w:name="Grid Table 3 Accent 1" w:uiPriority="48"/>
    <w:lsdException w:locked="0" w:name="Grid Table 4 Accent 1" w:uiPriority="49"/>
    <w:lsdException w:locked="0" w:name="Grid Table 5 Dark Accent 1" w:uiPriority="50"/>
    <w:lsdException w:locked="0" w:name="Grid Table 6 Colorful Accent 1" w:uiPriority="51"/>
    <w:lsdException w:locked="0" w:name="Grid Table 7 Colorful Accent 1" w:uiPriority="52"/>
    <w:lsdException w:locked="0" w:name="Grid Table 1 Light Accent 2" w:uiPriority="46"/>
    <w:lsdException w:locked="0" w:name="Grid Table 2 Accent 2" w:uiPriority="47"/>
    <w:lsdException w:locked="0" w:name="Grid Table 3 Accent 2" w:uiPriority="48"/>
    <w:lsdException w:locked="0" w:name="Grid Table 4 Accent 2" w:uiPriority="49"/>
    <w:lsdException w:locked="0" w:name="Grid Table 5 Dark Accent 2" w:uiPriority="50"/>
    <w:lsdException w:locked="0" w:name="Grid Table 6 Colorful Accent 2" w:uiPriority="51"/>
    <w:lsdException w:locked="0" w:name="Grid Table 7 Colorful Accent 2" w:uiPriority="52"/>
    <w:lsdException w:locked="0" w:name="Grid Table 1 Light Accent 3" w:uiPriority="46"/>
    <w:lsdException w:locked="0" w:name="Grid Table 2 Accent 3" w:uiPriority="47"/>
    <w:lsdException w:locked="0" w:name="Grid Table 3 Accent 3" w:uiPriority="48"/>
    <w:lsdException w:locked="0" w:name="Grid Table 4 Accent 3" w:uiPriority="49"/>
    <w:lsdException w:locked="0" w:name="Grid Table 5 Dark Accent 3" w:uiPriority="50"/>
    <w:lsdException w:locked="0" w:name="Grid Table 6 Colorful Accent 3" w:uiPriority="51"/>
    <w:lsdException w:locked="0" w:name="Grid Table 7 Colorful Accent 3" w:uiPriority="52"/>
    <w:lsdException w:locked="0" w:name="Grid Table 1 Light Accent 4" w:uiPriority="46"/>
    <w:lsdException w:locked="0" w:name="Grid Table 2 Accent 4" w:uiPriority="47"/>
    <w:lsdException w:locked="0" w:name="Grid Table 3 Accent 4" w:uiPriority="48"/>
    <w:lsdException w:locked="0" w:name="Grid Table 4 Accent 4" w:uiPriority="49"/>
    <w:lsdException w:locked="0" w:name="Grid Table 5 Dark Accent 4" w:uiPriority="50"/>
    <w:lsdException w:locked="0" w:name="Grid Table 6 Colorful Accent 4" w:uiPriority="51"/>
    <w:lsdException w:locked="0" w:name="Grid Table 7 Colorful Accent 4" w:uiPriority="52"/>
    <w:lsdException w:locked="0" w:name="Grid Table 1 Light Accent 5" w:uiPriority="46"/>
    <w:lsdException w:locked="0" w:name="Grid Table 2 Accent 5" w:uiPriority="47"/>
    <w:lsdException w:locked="0" w:name="Grid Table 3 Accent 5" w:uiPriority="48"/>
    <w:lsdException w:locked="0" w:name="Grid Table 4 Accent 5" w:uiPriority="49"/>
    <w:lsdException w:locked="0" w:name="Grid Table 5 Dark Accent 5" w:uiPriority="50"/>
    <w:lsdException w:locked="0" w:name="Grid Table 6 Colorful Accent 5" w:uiPriority="51"/>
    <w:lsdException w:locked="0" w:name="Grid Table 7 Colorful Accent 5" w:uiPriority="52"/>
    <w:lsdException w:locked="0" w:name="Grid Table 1 Light Accent 6" w:uiPriority="46"/>
    <w:lsdException w:locked="0" w:name="Grid Table 2 Accent 6" w:uiPriority="47"/>
    <w:lsdException w:locked="0" w:name="Grid Table 3 Accent 6" w:uiPriority="48"/>
    <w:lsdException w:locked="0" w:name="Grid Table 4 Accent 6" w:uiPriority="49"/>
    <w:lsdException w:locked="0" w:name="Grid Table 5 Dark Accent 6" w:uiPriority="50"/>
    <w:lsdException w:locked="0" w:name="Grid Table 6 Colorful Accent 6" w:uiPriority="51"/>
    <w:lsdException w:locked="0" w:name="Grid Table 7 Colorful Accent 6" w:uiPriority="52"/>
    <w:lsdException w:name="List Table 1 Light" w:uiPriority="46"/>
    <w:lsdException w:name="List Table 2" w:uiPriority="47"/>
    <w:lsdException w:name="List Table 3" w:uiPriority="48"/>
    <w:lsdException w:name="List Table 4" w:uiPriority="49"/>
    <w:lsdException w:locked="0"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locked="0" w:name="List Table 1 Light Accent 3" w:uiPriority="46"/>
    <w:lsdException w:locked="0" w:name="List Table 2 Accent 3" w:uiPriority="47"/>
    <w:lsdException w:name="List Table 3 Accent 3" w:uiPriority="48"/>
    <w:lsdException w:locked="0" w:name="List Table 4 Accent 3" w:uiPriority="49"/>
    <w:lsdException w:locked="0" w:name="List Table 5 Dark Accent 3" w:uiPriority="50"/>
    <w:lsdException w:locked="0" w:name="List Table 6 Colorful Accent 3" w:uiPriority="51"/>
    <w:lsdException w:locked="0"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locked="0"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locked="0" w:name="List Table 1 Light Accent 6" w:uiPriority="46"/>
    <w:lsdException w:locked="0" w:name="List Table 2 Accent 6" w:uiPriority="47"/>
    <w:lsdException w:name="List Table 3 Accent 6" w:uiPriority="48"/>
    <w:lsdException w:name="List Table 4 Accent 6" w:uiPriority="49"/>
    <w:lsdException w:locked="0" w:name="List Table 5 Dark Accent 6" w:uiPriority="50"/>
    <w:lsdException w:locked="0" w:name="List Table 6 Colorful Accent 6" w:uiPriority="51"/>
    <w:lsdException w:locked="0" w:name="List Table 7 Colorful Accent 6" w:uiPriority="52"/>
    <w:lsdException w:locked="0" w:name="Mention" w:semiHidden="1"/>
    <w:lsdException w:name="Smart Hyperlink" w:semiHidden="1"/>
    <w:lsdException w:name="Hashtag" w:semiHidden="1"/>
    <w:lsdException w:locked="0" w:name="Unresolved Mention" w:semiHidden="1"/>
    <w:lsdException w:locked="0" w:name="Smart Link" w:semiHidden="1" w:unhideWhenUsed="1"/>
  </w:latentStyles>
  <w:style w:default="1" w:styleId="Standaard" w:type="paragraph">
    <w:name w:val="Normal"/>
    <w:uiPriority w:val="13"/>
    <w:qFormat/>
    <w:rsid w:val="004F630B"/>
    <w:pPr>
      <w:spacing w:after="120"/>
      <w:jc w:val="both"/>
    </w:pPr>
    <w:rPr>
      <w:rFonts w:ascii="Roboto" w:hAnsi="Roboto"/>
      <w:color w:val="3C3C3C"/>
      <w:sz w:val="20"/>
      <w:szCs w:val="20"/>
    </w:rPr>
  </w:style>
  <w:style w:styleId="Kop1" w:type="paragraph">
    <w:name w:val="heading 1"/>
    <w:basedOn w:val="Standaard"/>
    <w:next w:val="Standaard"/>
    <w:link w:val="Kop1Char"/>
    <w:uiPriority w:val="8"/>
    <w:qFormat/>
    <w:rsid w:val="000F3379"/>
    <w:pPr>
      <w:keepNext/>
      <w:keepLines/>
      <w:numPr>
        <w:numId w:val="16"/>
      </w:numPr>
      <w:spacing w:after="2160" w:afterLines="900"/>
      <w:jc w:val="left"/>
      <w:outlineLvl w:val="0"/>
    </w:pPr>
    <w:rPr>
      <w:rFonts w:asciiTheme="majorHAnsi" w:cstheme="majorBidi" w:eastAsiaTheme="majorEastAsia" w:hAnsiTheme="majorHAnsi"/>
      <w:b/>
      <w:bCs/>
      <w:color w:val="3B6B20"/>
      <w:sz w:val="48"/>
      <w:szCs w:val="48"/>
    </w:rPr>
  </w:style>
  <w:style w:styleId="Kop2" w:type="paragraph">
    <w:name w:val="heading 2"/>
    <w:basedOn w:val="Standaard"/>
    <w:next w:val="Standaard"/>
    <w:link w:val="Kop2Char"/>
    <w:uiPriority w:val="10"/>
    <w:qFormat/>
    <w:rsid w:val="000F3379"/>
    <w:pPr>
      <w:keepNext/>
      <w:keepLines/>
      <w:numPr>
        <w:ilvl w:val="1"/>
        <w:numId w:val="11"/>
      </w:numPr>
      <w:spacing w:before="480"/>
      <w:jc w:val="left"/>
      <w:outlineLvl w:val="1"/>
    </w:pPr>
    <w:rPr>
      <w:rFonts w:asciiTheme="majorHAnsi" w:cstheme="majorBidi" w:eastAsiaTheme="majorEastAsia" w:hAnsiTheme="majorHAnsi"/>
      <w:b/>
      <w:color w:val="3B6B20"/>
      <w:sz w:val="28"/>
      <w:szCs w:val="24"/>
    </w:rPr>
  </w:style>
  <w:style w:styleId="Kop3" w:type="paragraph">
    <w:name w:val="heading 3"/>
    <w:basedOn w:val="Standaard"/>
    <w:next w:val="Standaard"/>
    <w:link w:val="Kop3Char"/>
    <w:uiPriority w:val="11"/>
    <w:qFormat/>
    <w:rsid w:val="000F3379"/>
    <w:pPr>
      <w:keepNext/>
      <w:keepLines/>
      <w:numPr>
        <w:ilvl w:val="2"/>
        <w:numId w:val="16"/>
      </w:numPr>
      <w:spacing w:before="240"/>
      <w:jc w:val="left"/>
      <w:outlineLvl w:val="2"/>
    </w:pPr>
    <w:rPr>
      <w:rFonts w:asciiTheme="majorHAnsi" w:cstheme="majorBidi" w:eastAsiaTheme="majorEastAsia" w:hAnsiTheme="majorHAnsi"/>
      <w:b/>
      <w:color w:val="3B6B20"/>
      <w:sz w:val="24"/>
      <w:szCs w:val="28"/>
    </w:rPr>
  </w:style>
  <w:style w:styleId="Kop4" w:type="paragraph">
    <w:name w:val="heading 4"/>
    <w:next w:val="Standaard"/>
    <w:link w:val="Kop4Char"/>
    <w:uiPriority w:val="92"/>
    <w:semiHidden/>
    <w:locked/>
    <w:rsid w:val="00FA7C93"/>
    <w:pPr>
      <w:keepNext/>
      <w:keepLines/>
      <w:numPr>
        <w:ilvl w:val="3"/>
        <w:numId w:val="16"/>
      </w:numPr>
      <w:spacing w:before="40"/>
      <w:outlineLvl w:val="3"/>
    </w:pPr>
    <w:rPr>
      <w:rFonts w:ascii="Roboto Medium" w:cstheme="majorBidi" w:eastAsiaTheme="majorEastAsia" w:hAnsi="Roboto Medium"/>
      <w:iCs/>
      <w:color w:val="5A5A5A"/>
      <w:spacing w:val="6"/>
      <w:sz w:val="16"/>
      <w:szCs w:val="16"/>
    </w:rPr>
  </w:style>
  <w:style w:styleId="Kop5" w:type="paragraph">
    <w:name w:val="heading 5"/>
    <w:basedOn w:val="Standaard"/>
    <w:next w:val="Standaard"/>
    <w:link w:val="Kop5Char"/>
    <w:uiPriority w:val="99"/>
    <w:semiHidden/>
    <w:locked/>
    <w:rsid w:val="00FA7C93"/>
    <w:pPr>
      <w:keepNext/>
      <w:keepLines/>
      <w:numPr>
        <w:ilvl w:val="4"/>
        <w:numId w:val="16"/>
      </w:numPr>
      <w:spacing w:before="40"/>
      <w:outlineLvl w:val="4"/>
    </w:pPr>
    <w:rPr>
      <w:rFonts w:asciiTheme="majorHAnsi" w:cstheme="majorBidi" w:eastAsiaTheme="majorEastAsia" w:hAnsiTheme="majorHAnsi"/>
      <w:color w:themeColor="accent1" w:themeShade="BF" w:val="2B5018"/>
    </w:rPr>
  </w:style>
  <w:style w:styleId="Kop6" w:type="paragraph">
    <w:name w:val="heading 6"/>
    <w:basedOn w:val="Standaard"/>
    <w:next w:val="Standaard"/>
    <w:link w:val="Kop6Char"/>
    <w:uiPriority w:val="99"/>
    <w:semiHidden/>
    <w:qFormat/>
    <w:locked/>
    <w:rsid w:val="00FA7C93"/>
    <w:pPr>
      <w:keepNext/>
      <w:keepLines/>
      <w:numPr>
        <w:ilvl w:val="5"/>
        <w:numId w:val="16"/>
      </w:numPr>
      <w:spacing w:before="40"/>
      <w:outlineLvl w:val="5"/>
    </w:pPr>
    <w:rPr>
      <w:rFonts w:asciiTheme="majorHAnsi" w:cstheme="majorBidi" w:eastAsiaTheme="majorEastAsia" w:hAnsiTheme="majorHAnsi"/>
      <w:color w:themeColor="accent1" w:themeShade="7F" w:val="1D3510"/>
    </w:rPr>
  </w:style>
  <w:style w:styleId="Kop7" w:type="paragraph">
    <w:name w:val="heading 7"/>
    <w:basedOn w:val="Standaard"/>
    <w:next w:val="Standaard"/>
    <w:link w:val="Kop7Char"/>
    <w:uiPriority w:val="99"/>
    <w:semiHidden/>
    <w:qFormat/>
    <w:locked/>
    <w:rsid w:val="00FA7C93"/>
    <w:pPr>
      <w:keepNext/>
      <w:keepLines/>
      <w:numPr>
        <w:ilvl w:val="6"/>
        <w:numId w:val="16"/>
      </w:numPr>
      <w:spacing w:before="40"/>
      <w:outlineLvl w:val="6"/>
    </w:pPr>
    <w:rPr>
      <w:rFonts w:asciiTheme="majorHAnsi" w:cstheme="majorBidi" w:eastAsiaTheme="majorEastAsia" w:hAnsiTheme="majorHAnsi"/>
      <w:i/>
      <w:iCs/>
      <w:color w:themeColor="accent1" w:themeShade="7F" w:val="1D3510"/>
    </w:rPr>
  </w:style>
  <w:style w:styleId="Kop8" w:type="paragraph">
    <w:name w:val="heading 8"/>
    <w:basedOn w:val="Standaard"/>
    <w:next w:val="Standaard"/>
    <w:link w:val="Kop8Char"/>
    <w:uiPriority w:val="99"/>
    <w:semiHidden/>
    <w:qFormat/>
    <w:locked/>
    <w:rsid w:val="00FA7C93"/>
    <w:pPr>
      <w:keepNext/>
      <w:keepLines/>
      <w:numPr>
        <w:ilvl w:val="7"/>
        <w:numId w:val="16"/>
      </w:numPr>
      <w:spacing w:before="40"/>
      <w:outlineLvl w:val="7"/>
    </w:pPr>
    <w:rPr>
      <w:rFonts w:asciiTheme="majorHAnsi" w:cstheme="majorBidi" w:eastAsiaTheme="majorEastAsia" w:hAnsiTheme="majorHAnsi"/>
      <w:color w:themeColor="text1" w:themeTint="D8" w:val="353535"/>
      <w:sz w:val="21"/>
      <w:szCs w:val="21"/>
    </w:rPr>
  </w:style>
  <w:style w:styleId="Kop9" w:type="paragraph">
    <w:name w:val="heading 9"/>
    <w:basedOn w:val="Standaard"/>
    <w:next w:val="Standaard"/>
    <w:link w:val="Kop9Char"/>
    <w:uiPriority w:val="99"/>
    <w:semiHidden/>
    <w:qFormat/>
    <w:locked/>
    <w:rsid w:val="00FA7C93"/>
    <w:pPr>
      <w:keepNext/>
      <w:keepLines/>
      <w:numPr>
        <w:ilvl w:val="8"/>
        <w:numId w:val="16"/>
      </w:numPr>
      <w:spacing w:before="40"/>
      <w:outlineLvl w:val="8"/>
    </w:pPr>
    <w:rPr>
      <w:rFonts w:asciiTheme="majorHAnsi" w:cstheme="majorBidi" w:eastAsiaTheme="majorEastAsia" w:hAnsiTheme="majorHAnsi"/>
      <w:i/>
      <w:iCs/>
      <w:color w:themeColor="text1" w:themeTint="D8" w:val="353535"/>
      <w:sz w:val="21"/>
      <w:szCs w:val="21"/>
    </w:rPr>
  </w:style>
  <w:style w:default="1" w:styleId="Standaardalinea-lettertype" w:type="character">
    <w:name w:val="Default Paragraph Font"/>
    <w:uiPriority w:val="1"/>
    <w:semiHidden/>
    <w:unhideWhenUsed/>
  </w:style>
  <w:style w:default="1" w:styleId="Standaardtabel" w:type="table">
    <w:name w:val="Normal Table"/>
    <w:uiPriority w:val="99"/>
    <w:semiHidden/>
    <w:unhideWhenUsed/>
    <w:tblPr>
      <w:tblInd w:type="dxa" w:w="0"/>
      <w:tblCellMar>
        <w:top w:type="dxa" w:w="0"/>
        <w:left w:type="dxa" w:w="108"/>
        <w:bottom w:type="dxa" w:w="0"/>
        <w:right w:type="dxa" w:w="108"/>
      </w:tblCellMar>
    </w:tblPr>
  </w:style>
  <w:style w:default="1" w:styleId="Geenlijst" w:type="numbering">
    <w:name w:val="No List"/>
    <w:uiPriority w:val="99"/>
    <w:semiHidden/>
    <w:unhideWhenUsed/>
  </w:style>
  <w:style w:customStyle="1" w:styleId="Kop1Char" w:type="character">
    <w:name w:val="Kop 1 Char"/>
    <w:basedOn w:val="Standaardalinea-lettertype"/>
    <w:link w:val="Kop1"/>
    <w:uiPriority w:val="8"/>
    <w:rsid w:val="000F3379"/>
    <w:rPr>
      <w:rFonts w:asciiTheme="majorHAnsi" w:cstheme="majorBidi" w:eastAsiaTheme="majorEastAsia" w:hAnsiTheme="majorHAnsi"/>
      <w:b/>
      <w:bCs/>
      <w:color w:val="3B6B20"/>
      <w:sz w:val="48"/>
      <w:szCs w:val="48"/>
    </w:rPr>
  </w:style>
  <w:style w:styleId="Titel" w:type="paragraph">
    <w:name w:val="Title"/>
    <w:next w:val="Ondertitel"/>
    <w:link w:val="TitelChar"/>
    <w:autoRedefine/>
    <w:rsid w:val="00B045B0"/>
    <w:pPr>
      <w:spacing w:after="120" w:line="240" w:lineRule="auto"/>
      <w:contextualSpacing/>
    </w:pPr>
    <w:rPr>
      <w:rFonts w:asciiTheme="majorHAnsi" w:cstheme="majorBidi" w:eastAsiaTheme="majorEastAsia" w:hAnsiTheme="majorHAnsi"/>
      <w:b/>
      <w:color w:themeColor="background1" w:val="F8F8F8"/>
      <w:spacing w:val="-10"/>
      <w:kern w:val="28"/>
      <w:sz w:val="56"/>
      <w:szCs w:val="56"/>
    </w:rPr>
  </w:style>
  <w:style w:customStyle="1" w:styleId="TitelChar" w:type="character">
    <w:name w:val="Titel Char"/>
    <w:basedOn w:val="Standaardalinea-lettertype"/>
    <w:link w:val="Titel"/>
    <w:rsid w:val="0020065D"/>
    <w:rPr>
      <w:rFonts w:asciiTheme="majorHAnsi" w:cstheme="majorBidi" w:eastAsiaTheme="majorEastAsia" w:hAnsiTheme="majorHAnsi"/>
      <w:b/>
      <w:color w:themeColor="background1" w:val="F8F8F8"/>
      <w:spacing w:val="-10"/>
      <w:kern w:val="28"/>
      <w:sz w:val="56"/>
      <w:szCs w:val="56"/>
    </w:rPr>
  </w:style>
  <w:style w:customStyle="1" w:styleId="Kop2Char" w:type="character">
    <w:name w:val="Kop 2 Char"/>
    <w:basedOn w:val="Standaardalinea-lettertype"/>
    <w:link w:val="Kop2"/>
    <w:uiPriority w:val="10"/>
    <w:rsid w:val="000F3379"/>
    <w:rPr>
      <w:rFonts w:asciiTheme="majorHAnsi" w:cstheme="majorBidi" w:eastAsiaTheme="majorEastAsia" w:hAnsiTheme="majorHAnsi"/>
      <w:b/>
      <w:color w:val="3B6B20"/>
      <w:sz w:val="28"/>
      <w:szCs w:val="24"/>
    </w:rPr>
  </w:style>
  <w:style w:customStyle="1" w:styleId="Kop3Char" w:type="character">
    <w:name w:val="Kop 3 Char"/>
    <w:basedOn w:val="Standaardalinea-lettertype"/>
    <w:link w:val="Kop3"/>
    <w:uiPriority w:val="11"/>
    <w:rsid w:val="000F3379"/>
    <w:rPr>
      <w:rFonts w:asciiTheme="majorHAnsi" w:cstheme="majorBidi" w:eastAsiaTheme="majorEastAsia" w:hAnsiTheme="majorHAnsi"/>
      <w:b/>
      <w:color w:val="3B6B20"/>
      <w:sz w:val="24"/>
      <w:szCs w:val="28"/>
    </w:rPr>
  </w:style>
  <w:style w:styleId="Lijst" w:type="paragraph">
    <w:name w:val="List"/>
    <w:basedOn w:val="Standaard"/>
    <w:uiPriority w:val="99"/>
    <w:semiHidden/>
    <w:locked/>
    <w:rsid w:val="0087322F"/>
    <w:pPr>
      <w:ind w:hanging="283" w:left="283"/>
      <w:contextualSpacing/>
    </w:pPr>
  </w:style>
  <w:style w:styleId="Lijst2" w:type="paragraph">
    <w:name w:val="List 2"/>
    <w:basedOn w:val="Standaard"/>
    <w:uiPriority w:val="99"/>
    <w:semiHidden/>
    <w:locked/>
    <w:rsid w:val="0087322F"/>
    <w:pPr>
      <w:ind w:hanging="283" w:left="566"/>
      <w:contextualSpacing/>
    </w:pPr>
  </w:style>
  <w:style w:styleId="Lijstopsomteken" w:type="paragraph">
    <w:name w:val="List Bullet"/>
    <w:uiPriority w:val="8"/>
    <w:qFormat/>
    <w:rsid w:val="001A644F"/>
    <w:pPr>
      <w:numPr>
        <w:numId w:val="12"/>
      </w:numPr>
      <w:tabs>
        <w:tab w:pos="360" w:val="clear"/>
      </w:tabs>
      <w:ind w:hanging="426" w:left="426"/>
      <w:contextualSpacing/>
      <w:jc w:val="both"/>
    </w:pPr>
    <w:rPr>
      <w:color w:val="3C3C3C"/>
      <w:sz w:val="20"/>
      <w:szCs w:val="20"/>
      <w:lang w:val="en-GB"/>
    </w:rPr>
  </w:style>
  <w:style w:styleId="Lijstopsomteken2" w:type="paragraph">
    <w:name w:val="List Bullet 2"/>
    <w:basedOn w:val="Lijstopsomteken"/>
    <w:uiPriority w:val="17"/>
    <w:qFormat/>
    <w:rsid w:val="001A644F"/>
    <w:pPr>
      <w:numPr>
        <w:numId w:val="14"/>
      </w:numPr>
      <w:tabs>
        <w:tab w:pos="643" w:val="clear"/>
      </w:tabs>
      <w:ind w:hanging="425" w:left="851"/>
    </w:pPr>
  </w:style>
  <w:style w:styleId="Lijstnummering" w:type="paragraph">
    <w:name w:val="List Number"/>
    <w:uiPriority w:val="18"/>
    <w:qFormat/>
    <w:rsid w:val="00C13699"/>
    <w:pPr>
      <w:numPr>
        <w:numId w:val="4"/>
      </w:numPr>
      <w:ind w:hanging="426" w:left="426"/>
      <w:contextualSpacing/>
      <w:jc w:val="both"/>
    </w:pPr>
    <w:rPr>
      <w:color w:val="3C3C3C"/>
      <w:sz w:val="20"/>
      <w:szCs w:val="20"/>
      <w:lang w:val="en-GB"/>
    </w:rPr>
  </w:style>
  <w:style w:styleId="Lijstnummering2" w:type="paragraph">
    <w:name w:val="List Number 2"/>
    <w:basedOn w:val="Lijstnummering"/>
    <w:uiPriority w:val="19"/>
    <w:qFormat/>
    <w:rsid w:val="001A644F"/>
    <w:pPr>
      <w:numPr>
        <w:ilvl w:val="1"/>
        <w:numId w:val="15"/>
      </w:numPr>
      <w:ind w:left="851"/>
    </w:pPr>
  </w:style>
  <w:style w:customStyle="1" w:styleId="Kop4Char" w:type="character">
    <w:name w:val="Kop 4 Char"/>
    <w:basedOn w:val="Standaardalinea-lettertype"/>
    <w:link w:val="Kop4"/>
    <w:uiPriority w:val="92"/>
    <w:semiHidden/>
    <w:rsid w:val="00756F6B"/>
    <w:rPr>
      <w:rFonts w:ascii="Roboto Medium" w:cstheme="majorBidi" w:eastAsiaTheme="majorEastAsia" w:hAnsi="Roboto Medium"/>
      <w:iCs/>
      <w:color w:val="5A5A5A"/>
      <w:spacing w:val="6"/>
      <w:sz w:val="16"/>
      <w:szCs w:val="16"/>
    </w:rPr>
  </w:style>
  <w:style w:customStyle="1" w:styleId="Kop5Char" w:type="character">
    <w:name w:val="Kop 5 Char"/>
    <w:basedOn w:val="Standaardalinea-lettertype"/>
    <w:link w:val="Kop5"/>
    <w:uiPriority w:val="99"/>
    <w:semiHidden/>
    <w:rsid w:val="005254E0"/>
    <w:rPr>
      <w:rFonts w:asciiTheme="majorHAnsi" w:cstheme="majorBidi" w:eastAsiaTheme="majorEastAsia" w:hAnsiTheme="majorHAnsi"/>
      <w:color w:themeColor="accent1" w:themeShade="BF" w:val="2B5018"/>
      <w:sz w:val="20"/>
      <w:szCs w:val="20"/>
    </w:rPr>
  </w:style>
  <w:style w:customStyle="1" w:styleId="Kop6Char" w:type="character">
    <w:name w:val="Kop 6 Char"/>
    <w:basedOn w:val="Standaardalinea-lettertype"/>
    <w:link w:val="Kop6"/>
    <w:uiPriority w:val="99"/>
    <w:semiHidden/>
    <w:rsid w:val="00CE4D84"/>
    <w:rPr>
      <w:rFonts w:asciiTheme="majorHAnsi" w:cstheme="majorBidi" w:eastAsiaTheme="majorEastAsia" w:hAnsiTheme="majorHAnsi"/>
      <w:color w:themeColor="accent1" w:themeShade="7F" w:val="1D3510"/>
      <w:sz w:val="20"/>
      <w:szCs w:val="20"/>
    </w:rPr>
  </w:style>
  <w:style w:customStyle="1" w:styleId="Kop7Char" w:type="character">
    <w:name w:val="Kop 7 Char"/>
    <w:basedOn w:val="Standaardalinea-lettertype"/>
    <w:link w:val="Kop7"/>
    <w:uiPriority w:val="99"/>
    <w:semiHidden/>
    <w:rsid w:val="00CE4D84"/>
    <w:rPr>
      <w:rFonts w:asciiTheme="majorHAnsi" w:cstheme="majorBidi" w:eastAsiaTheme="majorEastAsia" w:hAnsiTheme="majorHAnsi"/>
      <w:i/>
      <w:iCs/>
      <w:color w:themeColor="accent1" w:themeShade="7F" w:val="1D3510"/>
      <w:sz w:val="20"/>
      <w:szCs w:val="20"/>
    </w:rPr>
  </w:style>
  <w:style w:customStyle="1" w:styleId="Kop8Char" w:type="character">
    <w:name w:val="Kop 8 Char"/>
    <w:basedOn w:val="Standaardalinea-lettertype"/>
    <w:link w:val="Kop8"/>
    <w:uiPriority w:val="99"/>
    <w:semiHidden/>
    <w:rsid w:val="00CE4D84"/>
    <w:rPr>
      <w:rFonts w:asciiTheme="majorHAnsi" w:cstheme="majorBidi" w:eastAsiaTheme="majorEastAsia" w:hAnsiTheme="majorHAnsi"/>
      <w:color w:themeColor="text1" w:themeTint="D8" w:val="353535"/>
      <w:sz w:val="21"/>
      <w:szCs w:val="21"/>
    </w:rPr>
  </w:style>
  <w:style w:customStyle="1" w:styleId="Kop9Char" w:type="character">
    <w:name w:val="Kop 9 Char"/>
    <w:basedOn w:val="Standaardalinea-lettertype"/>
    <w:link w:val="Kop9"/>
    <w:uiPriority w:val="99"/>
    <w:semiHidden/>
    <w:rsid w:val="00CE4D84"/>
    <w:rPr>
      <w:rFonts w:asciiTheme="majorHAnsi" w:cstheme="majorBidi" w:eastAsiaTheme="majorEastAsia" w:hAnsiTheme="majorHAnsi"/>
      <w:i/>
      <w:iCs/>
      <w:color w:themeColor="text1" w:themeTint="D8" w:val="353535"/>
      <w:sz w:val="21"/>
      <w:szCs w:val="21"/>
    </w:rPr>
  </w:style>
  <w:style w:styleId="Bijschrift" w:type="paragraph">
    <w:name w:val="caption"/>
    <w:basedOn w:val="Standaard"/>
    <w:next w:val="Standaard"/>
    <w:uiPriority w:val="15"/>
    <w:qFormat/>
    <w:rsid w:val="00CE4D84"/>
    <w:pPr>
      <w:spacing w:after="40" w:line="240" w:lineRule="auto"/>
    </w:pPr>
    <w:rPr>
      <w:i/>
      <w:iCs/>
      <w:sz w:val="18"/>
      <w:szCs w:val="18"/>
    </w:rPr>
  </w:style>
  <w:style w:customStyle="1" w:styleId="Linkwit" w:type="character">
    <w:name w:val="Link wit"/>
    <w:uiPriority w:val="32"/>
    <w:qFormat/>
    <w:rsid w:val="00CE4D84"/>
    <w:rPr>
      <w:color w:themeColor="background1" w:val="F8F8F8"/>
      <w:u w:val="single"/>
    </w:rPr>
  </w:style>
  <w:style w:styleId="Tekstvantijdelijkeaanduiding" w:type="character">
    <w:name w:val="Placeholder Text"/>
    <w:basedOn w:val="Standaardalinea-lettertype"/>
    <w:uiPriority w:val="99"/>
    <w:semiHidden/>
    <w:locked/>
    <w:rsid w:val="001537C6"/>
    <w:rPr>
      <w:color w:val="808080"/>
    </w:rPr>
  </w:style>
  <w:style w:customStyle="1" w:styleId="Publicatienummer" w:type="paragraph">
    <w:name w:val="Publicatienummer"/>
    <w:basedOn w:val="Standaard"/>
    <w:autoRedefine/>
    <w:uiPriority w:val="2"/>
    <w:locked/>
    <w:rsid w:val="003A1BA9"/>
    <w:pPr>
      <w:spacing w:after="100" w:afterAutospacing="1"/>
      <w:jc w:val="right"/>
    </w:pPr>
    <w:rPr>
      <w:color w:themeColor="background1" w:val="F8F8F8"/>
    </w:rPr>
  </w:style>
  <w:style w:styleId="Tabelraster" w:type="table">
    <w:name w:val="Table Grid"/>
    <w:aliases w:val="NMI Agro Tabel"/>
    <w:basedOn w:val="Standaardtabel"/>
    <w:uiPriority w:val="39"/>
    <w:rsid w:val="00E2524B"/>
    <w:pPr>
      <w:spacing w:line="240" w:lineRule="auto"/>
    </w:pPr>
    <w:rPr>
      <w:rFonts w:ascii="Roboto Light" w:hAnsi="Roboto Light"/>
      <w:sz w:val="18"/>
      <w:szCs w:val="20"/>
      <w:lang w:eastAsia="nl-NL"/>
    </w:rPr>
    <w:tblPr>
      <w:tblStyleRowBandSize w:val="1"/>
      <w:tblBorders>
        <w:bottom w:color="3B6B20" w:space="0" w:sz="18" w:val="single"/>
      </w:tblBorders>
      <w:tblCellMar>
        <w:top w:type="dxa" w:w="57"/>
        <w:bottom w:type="dxa" w:w="57"/>
      </w:tblCellMar>
    </w:tblPr>
    <w:tcPr>
      <w:shd w:color="auto" w:fill="auto" w:val="clear"/>
    </w:tcPr>
    <w:tblStylePr w:type="firstRow">
      <w:rPr>
        <w:rFonts w:asciiTheme="majorHAnsi" w:hAnsiTheme="majorHAnsi"/>
        <w:b/>
        <w:color w:val="auto"/>
        <w:sz w:val="16"/>
        <w:u w:val="none"/>
      </w:rPr>
      <w:tblPr/>
      <w:tcPr>
        <w:shd w:color="auto" w:fill="3B6B20" w:themeFill="background2" w:val="clear"/>
      </w:tcPr>
    </w:tblStylePr>
    <w:tblStylePr w:type="band1Horz">
      <w:tblPr/>
      <w:tcPr>
        <w:shd w:color="auto" w:fill="FAFAFA" w:val="clear"/>
      </w:tcPr>
    </w:tblStylePr>
    <w:tblStylePr w:type="band2Horz">
      <w:tblPr/>
      <w:tcPr>
        <w:shd w:color="auto" w:fill="F5F5F5" w:val="clear"/>
      </w:tcPr>
    </w:tblStylePr>
  </w:style>
  <w:style w:styleId="Onopgemaaktetabel1" w:type="table">
    <w:name w:val="Plain Table 1"/>
    <w:basedOn w:val="Standaardtabel"/>
    <w:uiPriority w:val="41"/>
    <w:rsid w:val="00576E76"/>
    <w:pPr>
      <w:spacing w:line="240" w:lineRule="auto"/>
    </w:pPr>
    <w:tblPr>
      <w:tblStyleRowBandSize w:val="1"/>
      <w:tblStyleColBandSize w:val="1"/>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tblStylePr w:type="firstRow">
      <w:rPr>
        <w:b/>
        <w:bCs/>
      </w:rPr>
    </w:tblStylePr>
    <w:tblStylePr w:type="lastRow">
      <w:rPr>
        <w:b/>
        <w:bCs/>
      </w:rPr>
      <w:tblPr/>
      <w:tcPr>
        <w:tcBorders>
          <w:top w:color="B9B9B9" w:space="0" w:sz="4" w:themeColor="background1" w:themeShade="BF" w:val="double"/>
        </w:tcBorders>
      </w:tc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Rastertabel7kleurrijk-Accent6" w:type="table">
    <w:name w:val="Grid Table 7 Colorful Accent 6"/>
    <w:basedOn w:val="Standaardtabel"/>
    <w:uiPriority w:val="52"/>
    <w:rsid w:val="00F64333"/>
    <w:pPr>
      <w:spacing w:line="240" w:lineRule="auto"/>
    </w:pPr>
    <w:rPr>
      <w:color w:themeColor="accent6" w:themeShade="BF" w:val="462900"/>
    </w:r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1licht-Accent6" w:type="table">
    <w:name w:val="List Table 1 Light Accent 6"/>
    <w:basedOn w:val="Standaardtabel"/>
    <w:uiPriority w:val="46"/>
    <w:rsid w:val="00A267C9"/>
    <w:pPr>
      <w:spacing w:line="240" w:lineRule="auto"/>
    </w:pPr>
    <w:tblPr>
      <w:tblStyleRowBandSize w:val="1"/>
      <w:tblStyleColBandSize w:val="1"/>
    </w:tblPr>
    <w:tblStylePr w:type="firstRow">
      <w:rPr>
        <w:b/>
        <w:bCs/>
      </w:rPr>
      <w:tblPr/>
      <w:tcPr>
        <w:tcBorders>
          <w:bottom w:color="FF9705" w:space="0" w:sz="4" w:themeColor="accent6" w:themeTint="99" w:val="single"/>
        </w:tcBorders>
      </w:tcPr>
    </w:tblStylePr>
    <w:tblStylePr w:type="lastRow">
      <w:rPr>
        <w:b/>
        <w:bCs/>
      </w:rPr>
      <w:tblPr/>
      <w:tcPr>
        <w:tcBorders>
          <w:top w:color="FF9705" w:space="0" w:sz="4" w:themeColor="accent6" w:themeTint="99" w:val="sing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customStyle="1" w:styleId="Tabelkopwit" w:type="paragraph">
    <w:name w:val="Tabel kop wit"/>
    <w:basedOn w:val="Standaard"/>
    <w:uiPriority w:val="20"/>
    <w:qFormat/>
    <w:rsid w:val="00CE4D84"/>
    <w:pPr>
      <w:spacing w:line="240" w:lineRule="auto"/>
    </w:pPr>
    <w:rPr>
      <w:rFonts w:ascii="Raleway SemiBold" w:hAnsi="Raleway SemiBold"/>
      <w:bCs/>
      <w:color w:val="FFFFFF"/>
      <w:szCs w:val="16"/>
    </w:rPr>
  </w:style>
  <w:style w:customStyle="1" w:styleId="Tabelstandaard" w:type="paragraph">
    <w:name w:val="Tabel standaard"/>
    <w:basedOn w:val="Standaard"/>
    <w:uiPriority w:val="22"/>
    <w:qFormat/>
    <w:rsid w:val="00CE4D84"/>
    <w:pPr>
      <w:spacing w:after="0" w:line="240" w:lineRule="auto"/>
    </w:pPr>
    <w:rPr>
      <w:sz w:val="18"/>
      <w:szCs w:val="18"/>
    </w:rPr>
  </w:style>
  <w:style w:styleId="Onopgemaaktetabel2" w:type="table">
    <w:name w:val="Plain Table 2"/>
    <w:basedOn w:val="Standaardtabel"/>
    <w:uiPriority w:val="42"/>
    <w:rsid w:val="00576E76"/>
    <w:pPr>
      <w:spacing w:line="240" w:lineRule="auto"/>
    </w:pPr>
    <w:tblPr>
      <w:tblStyleRowBandSize w:val="1"/>
      <w:tblStyleColBandSize w:val="1"/>
      <w:tblBorders>
        <w:top w:color="878787" w:space="0" w:sz="4" w:themeColor="text1" w:themeTint="80" w:val="single"/>
        <w:bottom w:color="878787" w:space="0" w:sz="4" w:themeColor="text1" w:themeTint="80" w:val="single"/>
      </w:tblBorders>
    </w:tblPr>
    <w:tblStylePr w:type="firstRow">
      <w:rPr>
        <w:b/>
        <w:bCs/>
      </w:rPr>
      <w:tblPr/>
      <w:tcPr>
        <w:tcBorders>
          <w:bottom w:color="878787" w:space="0" w:sz="4" w:themeColor="text1" w:themeTint="80" w:val="single"/>
        </w:tcBorders>
      </w:tcPr>
    </w:tblStylePr>
    <w:tblStylePr w:type="lastRow">
      <w:rPr>
        <w:b/>
        <w:bCs/>
      </w:rPr>
      <w:tblPr/>
      <w:tcPr>
        <w:tcBorders>
          <w:top w:color="878787" w:space="0" w:sz="4" w:themeColor="text1" w:themeTint="80" w:val="single"/>
        </w:tcBorders>
      </w:tcPr>
    </w:tblStylePr>
    <w:tblStylePr w:type="firstCol">
      <w:rPr>
        <w:b/>
        <w:bCs/>
      </w:rPr>
    </w:tblStylePr>
    <w:tblStylePr w:type="lastCol">
      <w:rPr>
        <w:b/>
        <w:bCs/>
      </w:rPr>
    </w:tblStylePr>
    <w:tblStylePr w:type="band1Vert">
      <w:tblPr/>
      <w:tcPr>
        <w:tcBorders>
          <w:left w:color="878787" w:space="0" w:sz="4" w:themeColor="text1" w:themeTint="80" w:val="single"/>
          <w:right w:color="878787" w:space="0" w:sz="4" w:themeColor="text1" w:themeTint="80" w:val="single"/>
        </w:tcBorders>
      </w:tcPr>
    </w:tblStylePr>
    <w:tblStylePr w:type="band2Vert">
      <w:tblPr/>
      <w:tcPr>
        <w:tcBorders>
          <w:left w:color="878787" w:space="0" w:sz="4" w:themeColor="text1" w:themeTint="80" w:val="single"/>
          <w:right w:color="878787" w:space="0" w:sz="4" w:themeColor="text1" w:themeTint="80" w:val="single"/>
        </w:tcBorders>
      </w:tcPr>
    </w:tblStylePr>
    <w:tblStylePr w:type="band1Horz">
      <w:tblPr/>
      <w:tcPr>
        <w:tcBorders>
          <w:top w:color="878787" w:space="0" w:sz="4" w:themeColor="text1" w:themeTint="80" w:val="single"/>
          <w:bottom w:color="878787" w:space="0" w:sz="4" w:themeColor="text1" w:themeTint="80" w:val="single"/>
        </w:tcBorders>
      </w:tcPr>
    </w:tblStylePr>
  </w:style>
  <w:style w:styleId="Onopgemaaktetabel4" w:type="table">
    <w:name w:val="Plain Table 4"/>
    <w:basedOn w:val="Standaardtabel"/>
    <w:uiPriority w:val="44"/>
    <w:rsid w:val="004C27A2"/>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style>
  <w:style w:styleId="Onopgemaaktetabel3" w:type="table">
    <w:name w:val="Plain Table 3"/>
    <w:basedOn w:val="Standaardtabel"/>
    <w:uiPriority w:val="43"/>
    <w:rsid w:val="004C27A2"/>
    <w:pPr>
      <w:spacing w:line="240" w:lineRule="auto"/>
    </w:pPr>
    <w:tblPr>
      <w:tblStyleRowBandSize w:val="1"/>
      <w:tblStyleColBandSize w:val="1"/>
    </w:tblPr>
    <w:tblStylePr w:type="firstRow">
      <w:rPr>
        <w:b/>
        <w:bCs/>
        <w:caps/>
      </w:rPr>
      <w:tblPr/>
      <w:tcPr>
        <w:tcBorders>
          <w:bottom w:color="878787"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878787" w:space="0" w:sz="4" w:themeColor="text1" w:themeTint="80" w:val="single"/>
        </w:tcBorders>
      </w:tcPr>
    </w:tblStylePr>
    <w:tblStylePr w:type="lastCol">
      <w:rPr>
        <w:b/>
        <w:bCs/>
        <w:caps/>
      </w:rPr>
      <w:tblPr/>
      <w:tcPr>
        <w:tcBorders>
          <w:left w:val="nil"/>
        </w:tcBorders>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style>
  <w:style w:styleId="Lijsttabel3-Accent3" w:type="table">
    <w:name w:val="List Table 3 Accent 3"/>
    <w:basedOn w:val="Standaardtabel"/>
    <w:uiPriority w:val="48"/>
    <w:rsid w:val="004C27A2"/>
    <w:pPr>
      <w:spacing w:line="240" w:lineRule="auto"/>
    </w:pPr>
    <w:tblPr>
      <w:tblStyleRowBandSize w:val="1"/>
      <w:tblStyleColBandSize w:val="1"/>
      <w:tblBorders>
        <w:top w:color="FF6600" w:space="0" w:sz="4" w:themeColor="accent3" w:val="single"/>
        <w:left w:color="FF6600" w:space="0" w:sz="4" w:themeColor="accent3" w:val="single"/>
        <w:bottom w:color="FF6600" w:space="0" w:sz="4" w:themeColor="accent3" w:val="single"/>
        <w:right w:color="FF6600" w:space="0" w:sz="4" w:themeColor="accent3" w:val="single"/>
      </w:tblBorders>
    </w:tblPr>
    <w:tblStylePr w:type="firstRow">
      <w:rPr>
        <w:b/>
        <w:bCs/>
        <w:color w:themeColor="background1" w:val="F8F8F8"/>
      </w:rPr>
      <w:tblPr/>
      <w:tcPr>
        <w:shd w:color="auto" w:fill="FF6600" w:themeFill="accent3" w:val="clear"/>
      </w:tcPr>
    </w:tblStylePr>
    <w:tblStylePr w:type="lastRow">
      <w:rPr>
        <w:b/>
        <w:bCs/>
      </w:rPr>
      <w:tblPr/>
      <w:tcPr>
        <w:tcBorders>
          <w:top w:color="FF6600" w:space="0" w:sz="4" w:themeColor="accent3"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FF6600" w:space="0" w:sz="4" w:themeColor="accent3" w:val="single"/>
          <w:right w:color="FF6600" w:space="0" w:sz="4" w:themeColor="accent3" w:val="single"/>
        </w:tcBorders>
      </w:tcPr>
    </w:tblStylePr>
    <w:tblStylePr w:type="band1Horz">
      <w:tblPr/>
      <w:tcPr>
        <w:tcBorders>
          <w:top w:color="FF6600" w:space="0" w:sz="4" w:themeColor="accent3" w:val="single"/>
          <w:bottom w:color="FF6600"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F6600" w:space="0" w:sz="4" w:themeColor="accent3" w:val="double"/>
          <w:left w:val="nil"/>
        </w:tcBorders>
      </w:tcPr>
    </w:tblStylePr>
    <w:tblStylePr w:type="swCell">
      <w:tblPr/>
      <w:tcPr>
        <w:tcBorders>
          <w:top w:color="FF6600" w:space="0" w:sz="4" w:themeColor="accent3" w:val="double"/>
          <w:right w:val="nil"/>
        </w:tcBorders>
      </w:tcPr>
    </w:tblStylePr>
  </w:style>
  <w:style w:styleId="Lijsttabel5donker-Accent3" w:type="table">
    <w:name w:val="List Table 5 Dark Accent 3"/>
    <w:basedOn w:val="Standaardtabel"/>
    <w:uiPriority w:val="50"/>
    <w:rsid w:val="004C27A2"/>
    <w:pPr>
      <w:spacing w:line="240" w:lineRule="auto"/>
    </w:pPr>
    <w:rPr>
      <w:color w:themeColor="background1" w:val="F8F8F8"/>
    </w:rPr>
    <w:tblPr>
      <w:tblStyleRowBandSize w:val="1"/>
      <w:tblStyleColBandSize w:val="1"/>
      <w:tblBorders>
        <w:top w:color="FF6600" w:space="0" w:sz="24" w:themeColor="accent3" w:val="single"/>
        <w:left w:color="FF6600" w:space="0" w:sz="24" w:themeColor="accent3" w:val="single"/>
        <w:bottom w:color="FF6600" w:space="0" w:sz="24" w:themeColor="accent3" w:val="single"/>
        <w:right w:color="FF6600" w:space="0" w:sz="24" w:themeColor="accent3" w:val="single"/>
      </w:tblBorders>
    </w:tblPr>
    <w:tcPr>
      <w:shd w:color="auto" w:fill="FF6600" w:themeFill="accent3"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jsttabel6kleurrijk-Accent3" w:type="table">
    <w:name w:val="List Table 6 Colorful Accent 3"/>
    <w:basedOn w:val="Standaardtabel"/>
    <w:uiPriority w:val="51"/>
    <w:rsid w:val="004C27A2"/>
    <w:pPr>
      <w:spacing w:line="240" w:lineRule="auto"/>
    </w:pPr>
    <w:rPr>
      <w:color w:themeColor="accent3" w:themeShade="BF" w:val="BF4C00"/>
    </w:rPr>
    <w:tblPr>
      <w:tblStyleRowBandSize w:val="1"/>
      <w:tblStyleColBandSize w:val="1"/>
      <w:tblBorders>
        <w:top w:color="FF6600" w:space="0" w:sz="4" w:themeColor="accent3" w:val="single"/>
        <w:bottom w:color="FF6600" w:space="0" w:sz="4" w:themeColor="accent3" w:val="single"/>
      </w:tblBorders>
    </w:tblPr>
    <w:tblStylePr w:type="firstRow">
      <w:rPr>
        <w:b/>
        <w:bCs/>
      </w:rPr>
      <w:tblPr/>
      <w:tcPr>
        <w:tcBorders>
          <w:bottom w:color="FF6600" w:space="0" w:sz="4" w:themeColor="accent3" w:val="single"/>
        </w:tcBorders>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5donker-Accent6" w:type="table">
    <w:name w:val="List Table 5 Dark Accent 6"/>
    <w:basedOn w:val="Standaardtabel"/>
    <w:uiPriority w:val="50"/>
    <w:rsid w:val="004C27A2"/>
    <w:pPr>
      <w:spacing w:line="240" w:lineRule="auto"/>
    </w:pPr>
    <w:rPr>
      <w:color w:themeColor="background1" w:val="F8F8F8"/>
    </w:rPr>
    <w:tblPr>
      <w:tblStyleRowBandSize w:val="1"/>
      <w:tblStyleColBandSize w:val="1"/>
      <w:tblBorders>
        <w:top w:color="5E3700" w:space="0" w:sz="24" w:themeColor="accent6" w:val="single"/>
        <w:left w:color="5E3700" w:space="0" w:sz="24" w:themeColor="accent6" w:val="single"/>
        <w:bottom w:color="5E3700" w:space="0" w:sz="24" w:themeColor="accent6" w:val="single"/>
        <w:right w:color="5E3700" w:space="0" w:sz="24" w:themeColor="accent6" w:val="single"/>
      </w:tblBorders>
    </w:tblPr>
    <w:tcPr>
      <w:shd w:color="auto" w:fill="5E3700" w:themeFill="accent6"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4-Accent3" w:type="table">
    <w:name w:val="Grid Table 4 Accent 3"/>
    <w:basedOn w:val="Standaardtabel"/>
    <w:uiPriority w:val="49"/>
    <w:rsid w:val="000A5B18"/>
    <w:pPr>
      <w:spacing w:line="240" w:lineRule="auto"/>
    </w:p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color w:themeColor="background1" w:val="F8F8F8"/>
      </w:rPr>
      <w:tblPr/>
      <w:tcPr>
        <w:tcBorders>
          <w:top w:color="FF6600" w:space="0" w:sz="4" w:themeColor="accent3" w:val="single"/>
          <w:left w:color="FF6600" w:space="0" w:sz="4" w:themeColor="accent3" w:val="single"/>
          <w:bottom w:color="FF6600" w:space="0" w:sz="4" w:themeColor="accent3" w:val="single"/>
          <w:right w:color="FF6600" w:space="0" w:sz="4" w:themeColor="accent3" w:val="single"/>
          <w:insideH w:val="nil"/>
          <w:insideV w:val="nil"/>
        </w:tcBorders>
        <w:shd w:color="auto" w:fill="FF6600" w:themeFill="accent3" w:val="clear"/>
      </w:tcPr>
    </w:tblStylePr>
    <w:tblStylePr w:type="lastRow">
      <w:rPr>
        <w:b/>
        <w:bCs/>
      </w:rPr>
      <w:tblPr/>
      <w:tcPr>
        <w:tcBorders>
          <w:top w:color="FF6600" w:space="0" w:sz="4" w:themeColor="accent3"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Kopvaninhoudsopgave" w:type="paragraph">
    <w:name w:val="TOC Heading"/>
    <w:basedOn w:val="Kop1"/>
    <w:next w:val="Standaard"/>
    <w:autoRedefine/>
    <w:uiPriority w:val="34"/>
    <w:rsid w:val="000044E6"/>
    <w:pPr>
      <w:framePr w:hAnchor="text" w:vAnchor="text" w:wrap="around" w:y="1"/>
      <w:numPr>
        <w:numId w:val="0"/>
      </w:numPr>
      <w:spacing w:after="720" w:afterLines="0" w:line="259" w:lineRule="auto"/>
      <w:jc w:val="center"/>
      <w:outlineLvl w:val="9"/>
    </w:pPr>
    <w:rPr>
      <w:rFonts w:ascii="Raleway Medium" w:hAnsi="Raleway Medium"/>
      <w:b w:val="0"/>
      <w:color w:themeColor="background2" w:val="3B6B20"/>
      <w:sz w:val="44"/>
      <w:szCs w:val="32"/>
      <w:lang w:eastAsia="nl-NL"/>
    </w:rPr>
  </w:style>
  <w:style w:styleId="Inhopg1" w:type="paragraph">
    <w:name w:val="toc 1"/>
    <w:basedOn w:val="Standaard"/>
    <w:next w:val="Standaard"/>
    <w:autoRedefine/>
    <w:uiPriority w:val="39"/>
    <w:rsid w:val="00860F3B"/>
    <w:pPr>
      <w:framePr w:hAnchor="text" w:vAnchor="text" w:wrap="around" w:y="1"/>
      <w:tabs>
        <w:tab w:pos="9062" w:val="right"/>
      </w:tabs>
      <w:spacing w:after="40" w:before="200"/>
      <w:ind w:hanging="709" w:left="709"/>
    </w:pPr>
    <w:rPr>
      <w:rFonts w:ascii="Raleway" w:hAnsi="Raleway"/>
      <w:b/>
      <w:noProof/>
      <w:color w:themeColor="background2" w:val="3B6B20"/>
      <w:sz w:val="24"/>
    </w:rPr>
  </w:style>
  <w:style w:styleId="Inhopg2" w:type="paragraph">
    <w:name w:val="toc 2"/>
    <w:basedOn w:val="Standaard"/>
    <w:next w:val="Standaard"/>
    <w:autoRedefine/>
    <w:uiPriority w:val="39"/>
    <w:rsid w:val="00860F3B"/>
    <w:pPr>
      <w:tabs>
        <w:tab w:pos="9062" w:val="right"/>
      </w:tabs>
      <w:spacing w:after="40" w:before="120"/>
      <w:ind w:hanging="709" w:left="709"/>
    </w:pPr>
    <w:rPr>
      <w:rFonts w:ascii="Raleway SemiBold" w:hAnsi="Raleway SemiBold"/>
      <w:noProof/>
      <w:color w:themeColor="background2" w:val="3B6B20"/>
      <w:sz w:val="18"/>
      <w:szCs w:val="18"/>
    </w:rPr>
  </w:style>
  <w:style w:styleId="Inhopg3" w:type="paragraph">
    <w:name w:val="toc 3"/>
    <w:basedOn w:val="Standaard"/>
    <w:next w:val="Standaard"/>
    <w:autoRedefine/>
    <w:uiPriority w:val="39"/>
    <w:rsid w:val="000044E6"/>
    <w:pPr>
      <w:tabs>
        <w:tab w:pos="9062" w:val="right"/>
      </w:tabs>
      <w:spacing w:after="40"/>
      <w:ind w:hanging="567" w:left="1276"/>
    </w:pPr>
    <w:rPr>
      <w:rFonts w:ascii="Raleway Light" w:hAnsi="Raleway Light"/>
      <w:noProof/>
      <w:color w:themeColor="background2" w:val="3B6B20"/>
      <w:sz w:val="18"/>
      <w:szCs w:val="18"/>
    </w:rPr>
  </w:style>
  <w:style w:styleId="Professioneletabel" w:type="table">
    <w:name w:val="Table Professional"/>
    <w:basedOn w:val="Standaardtabel"/>
    <w:uiPriority w:val="99"/>
    <w:semiHidden/>
    <w:unhideWhenUsed/>
    <w:locked/>
    <w:rsid w:val="000A5B18"/>
    <w:pPr>
      <w:spacing w:after="276" w:afterLines="115"/>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Hyperlink" w:type="character">
    <w:name w:val="Hyperlink"/>
    <w:uiPriority w:val="99"/>
    <w:rsid w:val="007B7842"/>
    <w:rPr>
      <w:u w:val="none"/>
    </w:rPr>
  </w:style>
  <w:style w:styleId="Onopgelostemelding" w:type="character">
    <w:name w:val="Unresolved Mention"/>
    <w:basedOn w:val="Standaardalinea-lettertype"/>
    <w:uiPriority w:val="99"/>
    <w:semiHidden/>
    <w:locked/>
    <w:rsid w:val="00C04FB2"/>
    <w:rPr>
      <w:color w:val="605E5C"/>
      <w:shd w:color="auto" w:fill="E1DFDD" w:val="clear"/>
    </w:rPr>
  </w:style>
  <w:style w:styleId="Ondertitel" w:type="paragraph">
    <w:name w:val="Subtitle"/>
    <w:basedOn w:val="Standaard"/>
    <w:next w:val="Standaard"/>
    <w:link w:val="OndertitelChar"/>
    <w:autoRedefine/>
    <w:uiPriority w:val="1"/>
    <w:rsid w:val="00B045B0"/>
    <w:pPr>
      <w:numPr>
        <w:ilvl w:val="1"/>
      </w:numPr>
      <w:spacing w:after="720"/>
    </w:pPr>
    <w:rPr>
      <w:rFonts w:eastAsiaTheme="minorEastAsia"/>
      <w:color w:themeColor="background1" w:val="F8F8F8"/>
      <w:spacing w:val="15"/>
      <w:sz w:val="28"/>
      <w:szCs w:val="28"/>
    </w:rPr>
  </w:style>
  <w:style w:customStyle="1" w:styleId="OndertitelChar" w:type="character">
    <w:name w:val="Ondertitel Char"/>
    <w:basedOn w:val="Standaardalinea-lettertype"/>
    <w:link w:val="Ondertitel"/>
    <w:uiPriority w:val="1"/>
    <w:rsid w:val="00981CAF"/>
    <w:rPr>
      <w:rFonts w:ascii="Roboto" w:eastAsiaTheme="minorEastAsia" w:hAnsi="Roboto"/>
      <w:color w:themeColor="background1" w:val="F8F8F8"/>
      <w:spacing w:val="15"/>
      <w:sz w:val="28"/>
      <w:szCs w:val="28"/>
    </w:rPr>
  </w:style>
  <w:style w:customStyle="1" w:styleId="Auteurs" w:type="paragraph">
    <w:name w:val="Auteurs"/>
    <w:basedOn w:val="Standaard"/>
    <w:next w:val="Standaard"/>
    <w:autoRedefine/>
    <w:uiPriority w:val="3"/>
    <w:rsid w:val="00B045B0"/>
    <w:pPr>
      <w:framePr w:hAnchor="text" w:vAnchor="text" w:wrap="around" w:y="1"/>
    </w:pPr>
    <w:rPr>
      <w:rFonts w:ascii="Roboto Medium" w:hAnsi="Roboto Medium"/>
      <w:color w:themeColor="background1" w:val="F8F8F8"/>
      <w:sz w:val="24"/>
      <w:szCs w:val="24"/>
    </w:rPr>
  </w:style>
  <w:style w:customStyle="1" w:styleId="Contactgegevens" w:type="paragraph">
    <w:name w:val="Contactgegevens"/>
    <w:basedOn w:val="Standaard"/>
    <w:link w:val="ContactgegevensChar"/>
    <w:autoRedefine/>
    <w:uiPriority w:val="4"/>
    <w:rsid w:val="0026662F"/>
    <w:pPr>
      <w:spacing w:after="0"/>
      <w:jc w:val="right"/>
    </w:pPr>
    <w:rPr>
      <w:b/>
      <w:color w:themeColor="background1" w:val="F8F8F8"/>
    </w:rPr>
  </w:style>
  <w:style w:styleId="Koptekst" w:type="paragraph">
    <w:name w:val="header"/>
    <w:basedOn w:val="Standaard"/>
    <w:link w:val="KoptekstChar"/>
    <w:uiPriority w:val="99"/>
    <w:semiHidden/>
    <w:locked/>
    <w:rsid w:val="004850C1"/>
    <w:pPr>
      <w:tabs>
        <w:tab w:pos="4536" w:val="center"/>
        <w:tab w:pos="9072" w:val="right"/>
      </w:tabs>
      <w:spacing w:line="240" w:lineRule="auto"/>
    </w:pPr>
  </w:style>
  <w:style w:customStyle="1" w:styleId="KoptekstChar" w:type="character">
    <w:name w:val="Koptekst Char"/>
    <w:basedOn w:val="Standaardalinea-lettertype"/>
    <w:link w:val="Koptekst"/>
    <w:uiPriority w:val="99"/>
    <w:semiHidden/>
    <w:rsid w:val="004850C1"/>
    <w:rPr>
      <w:rFonts w:ascii="Roboto Light" w:hAnsi="Roboto Light"/>
      <w:color w:val="5A5A5A"/>
      <w:sz w:val="20"/>
      <w:szCs w:val="20"/>
    </w:rPr>
  </w:style>
  <w:style w:styleId="Voettekst" w:type="paragraph">
    <w:name w:val="footer"/>
    <w:basedOn w:val="Standaard"/>
    <w:link w:val="VoettekstChar"/>
    <w:autoRedefine/>
    <w:uiPriority w:val="99"/>
    <w:semiHidden/>
    <w:rsid w:val="00301FA2"/>
    <w:pPr>
      <w:tabs>
        <w:tab w:pos="9072" w:val="right"/>
      </w:tabs>
      <w:spacing w:line="240" w:lineRule="auto"/>
    </w:pPr>
    <w:rPr>
      <w:color w:themeColor="background2" w:val="3B6B20"/>
      <w:sz w:val="16"/>
    </w:rPr>
  </w:style>
  <w:style w:customStyle="1" w:styleId="VoettekstChar" w:type="character">
    <w:name w:val="Voettekst Char"/>
    <w:basedOn w:val="Standaardalinea-lettertype"/>
    <w:link w:val="Voettekst"/>
    <w:uiPriority w:val="99"/>
    <w:semiHidden/>
    <w:rsid w:val="00756F6B"/>
    <w:rPr>
      <w:rFonts w:ascii="Roboto Light" w:hAnsi="Roboto Light"/>
      <w:color w:themeColor="background2" w:val="3B6B20"/>
      <w:sz w:val="16"/>
      <w:szCs w:val="20"/>
    </w:rPr>
  </w:style>
  <w:style w:customStyle="1" w:styleId="Disclaimer" w:type="paragraph">
    <w:name w:val="Disclaimer"/>
    <w:basedOn w:val="Standaard"/>
    <w:autoRedefine/>
    <w:uiPriority w:val="6"/>
    <w:rsid w:val="007E397A"/>
  </w:style>
  <w:style w:customStyle="1" w:styleId="Disclaimertop" w:type="paragraph">
    <w:name w:val="Disclaimer top"/>
    <w:basedOn w:val="Disclaimer"/>
    <w:autoRedefine/>
    <w:uiPriority w:val="5"/>
    <w:rsid w:val="009403C6"/>
    <w:pPr>
      <w:pBdr>
        <w:top w:color="auto" w:space="24" w:sz="4" w:val="single"/>
      </w:pBdr>
    </w:pPr>
  </w:style>
  <w:style w:customStyle="1" w:styleId="Disclaimerbottom" w:type="paragraph">
    <w:name w:val="Disclaimer bottom"/>
    <w:basedOn w:val="Disclaimertop"/>
    <w:autoRedefine/>
    <w:uiPriority w:val="7"/>
    <w:rsid w:val="009403C6"/>
    <w:pPr>
      <w:pBdr>
        <w:top w:color="auto" w:space="0" w:sz="0" w:val="none"/>
        <w:bottom w:color="auto" w:space="24" w:sz="4" w:val="single"/>
      </w:pBdr>
      <w:tabs>
        <w:tab w:pos="8749" w:val="right"/>
      </w:tabs>
    </w:pPr>
  </w:style>
  <w:style w:styleId="Zwaar" w:type="character">
    <w:name w:val="Strong"/>
    <w:basedOn w:val="Standaardalinea-lettertype"/>
    <w:uiPriority w:val="99"/>
    <w:semiHidden/>
    <w:qFormat/>
    <w:locked/>
    <w:rsid w:val="00CE4D84"/>
    <w:rPr>
      <w:b/>
      <w:bCs/>
    </w:rPr>
  </w:style>
  <w:style w:styleId="Paginanummer" w:type="character">
    <w:name w:val="page number"/>
    <w:basedOn w:val="Standaardalinea-lettertype"/>
    <w:uiPriority w:val="99"/>
    <w:semiHidden/>
    <w:rsid w:val="004B16D5"/>
  </w:style>
  <w:style w:styleId="GevolgdeHyperlink" w:type="character">
    <w:name w:val="FollowedHyperlink"/>
    <w:basedOn w:val="Standaardalinea-lettertype"/>
    <w:uiPriority w:val="99"/>
    <w:semiHidden/>
    <w:rsid w:val="00D43CF3"/>
    <w:rPr>
      <w:color w:themeColor="followedHyperlink" w:val="954F72"/>
      <w:u w:val="single"/>
    </w:rPr>
  </w:style>
  <w:style w:customStyle="1" w:styleId="Accent" w:type="character">
    <w:name w:val="Accent"/>
    <w:basedOn w:val="Standaardalinea-lettertype"/>
    <w:uiPriority w:val="33"/>
    <w:qFormat/>
    <w:rsid w:val="00CE4D84"/>
    <w:rPr>
      <w:color w:val="3982CC"/>
    </w:rPr>
  </w:style>
  <w:style w:customStyle="1" w:styleId="Link" w:type="character">
    <w:name w:val="Link"/>
    <w:uiPriority w:val="31"/>
    <w:qFormat/>
    <w:rsid w:val="00CE4D84"/>
    <w:rPr>
      <w:color w:val="3982CC"/>
      <w:u w:val="single"/>
    </w:rPr>
  </w:style>
  <w:style w:customStyle="1" w:styleId="Paragraafkop" w:type="paragraph">
    <w:name w:val="Paragraaf kop"/>
    <w:basedOn w:val="Standaard"/>
    <w:uiPriority w:val="4"/>
    <w:qFormat/>
    <w:rsid w:val="00CE4D84"/>
    <w:pPr>
      <w:spacing w:before="240"/>
    </w:pPr>
    <w:rPr>
      <w:rFonts w:cs="Times New Roman (Body CS)" w:eastAsiaTheme="minorEastAsia"/>
      <w:b/>
      <w:noProof/>
      <w:spacing w:val="26"/>
      <w:szCs w:val="16"/>
      <w:lang w:eastAsia="nl-NL"/>
    </w:rPr>
  </w:style>
  <w:style w:customStyle="1" w:styleId="Standaard-zndspace" w:type="paragraph">
    <w:name w:val="Standaard - znd space"/>
    <w:basedOn w:val="Standaard"/>
    <w:uiPriority w:val="6"/>
    <w:qFormat/>
    <w:rsid w:val="004F630B"/>
    <w:pPr>
      <w:spacing w:after="0"/>
    </w:pPr>
  </w:style>
  <w:style w:styleId="Ballontekst" w:type="paragraph">
    <w:name w:val="Balloon Text"/>
    <w:basedOn w:val="Standaard"/>
    <w:link w:val="BallontekstChar"/>
    <w:uiPriority w:val="99"/>
    <w:semiHidden/>
    <w:locked/>
    <w:rsid w:val="009537E6"/>
    <w:pPr>
      <w:spacing w:line="240" w:lineRule="auto"/>
    </w:pPr>
    <w:rPr>
      <w:rFonts w:ascii="Segoe UI" w:cs="Segoe UI" w:hAnsi="Segoe UI"/>
      <w:sz w:val="18"/>
      <w:szCs w:val="18"/>
    </w:rPr>
  </w:style>
  <w:style w:customStyle="1" w:styleId="BallontekstChar" w:type="character">
    <w:name w:val="Ballontekst Char"/>
    <w:basedOn w:val="Standaardalinea-lettertype"/>
    <w:link w:val="Ballontekst"/>
    <w:uiPriority w:val="99"/>
    <w:semiHidden/>
    <w:rsid w:val="009537E6"/>
    <w:rPr>
      <w:rFonts w:ascii="Segoe UI" w:cs="Segoe UI" w:hAnsi="Segoe UI"/>
      <w:color w:val="5A5A5A"/>
      <w:sz w:val="18"/>
      <w:szCs w:val="18"/>
    </w:rPr>
  </w:style>
  <w:style w:customStyle="1" w:styleId="Kop1-zndNo" w:type="paragraph">
    <w:name w:val="Kop 1 - znd No"/>
    <w:basedOn w:val="Kop1"/>
    <w:uiPriority w:val="9"/>
    <w:qFormat/>
    <w:rsid w:val="000F3379"/>
    <w:pPr>
      <w:numPr>
        <w:numId w:val="0"/>
      </w:numPr>
      <w:spacing w:after="100" w:afterLines="100"/>
    </w:pPr>
    <w:rPr>
      <w:lang w:val="en-US"/>
    </w:rPr>
  </w:style>
  <w:style w:customStyle="1" w:styleId="Bold" w:type="character">
    <w:name w:val="Bold"/>
    <w:basedOn w:val="Standaardalinea-lettertype"/>
    <w:uiPriority w:val="78"/>
    <w:semiHidden/>
    <w:locked/>
    <w:rsid w:val="003C6108"/>
    <w:rPr>
      <w:b/>
    </w:rPr>
  </w:style>
  <w:style w:customStyle="1" w:styleId="Vet" w:type="character">
    <w:name w:val="Vet"/>
    <w:basedOn w:val="Standaardalinea-lettertype"/>
    <w:uiPriority w:val="12"/>
    <w:qFormat/>
    <w:rsid w:val="007C5A71"/>
    <w:rPr>
      <w:rFonts w:asciiTheme="minorHAnsi" w:hAnsiTheme="minorHAnsi"/>
      <w:b/>
      <w:i w:val="0"/>
      <w:color w:val="3C3C3C"/>
    </w:rPr>
  </w:style>
  <w:style w:customStyle="1" w:styleId="Cursief" w:type="character">
    <w:name w:val="Cursief"/>
    <w:basedOn w:val="Standaardalinea-lettertype"/>
    <w:uiPriority w:val="13"/>
    <w:qFormat/>
    <w:rsid w:val="00CE4D84"/>
    <w:rPr>
      <w:i/>
    </w:rPr>
  </w:style>
  <w:style w:customStyle="1" w:styleId="Onderstrepen" w:type="character">
    <w:name w:val="Onderstrepen"/>
    <w:basedOn w:val="Standaardalinea-lettertype"/>
    <w:uiPriority w:val="26"/>
    <w:qFormat/>
    <w:rsid w:val="00CE4D84"/>
    <w:rPr>
      <w:u w:val="single"/>
    </w:rPr>
  </w:style>
  <w:style w:customStyle="1" w:styleId="Doorhalen" w:type="character">
    <w:name w:val="Doorhalen"/>
    <w:basedOn w:val="Standaardalinea-lettertype"/>
    <w:uiPriority w:val="27"/>
    <w:qFormat/>
    <w:rsid w:val="00CE4D84"/>
    <w:rPr>
      <w:strike/>
      <w:dstrike w:val="0"/>
    </w:rPr>
  </w:style>
  <w:style w:customStyle="1" w:styleId="Subscript" w:type="character">
    <w:name w:val="Subscript"/>
    <w:basedOn w:val="Standaardalinea-lettertype"/>
    <w:uiPriority w:val="28"/>
    <w:qFormat/>
    <w:rsid w:val="00CE4D84"/>
    <w:rPr>
      <w:vertAlign w:val="subscript"/>
    </w:rPr>
  </w:style>
  <w:style w:customStyle="1" w:styleId="Superscript" w:type="character">
    <w:name w:val="Superscript"/>
    <w:basedOn w:val="Standaardalinea-lettertype"/>
    <w:uiPriority w:val="29"/>
    <w:qFormat/>
    <w:rsid w:val="00CE4D84"/>
    <w:rPr>
      <w:vertAlign w:val="superscript"/>
    </w:rPr>
  </w:style>
  <w:style w:customStyle="1" w:styleId="Hoofdletters" w:type="character">
    <w:name w:val="Hoofdletters"/>
    <w:basedOn w:val="Standaardalinea-lettertype"/>
    <w:uiPriority w:val="30"/>
    <w:qFormat/>
    <w:rsid w:val="00CE4D84"/>
    <w:rPr>
      <w:caps/>
      <w:smallCaps w:val="0"/>
    </w:rPr>
  </w:style>
  <w:style w:styleId="Lijsttabel1licht-Accent3" w:type="table">
    <w:name w:val="List Table 1 Light Accent 3"/>
    <w:basedOn w:val="Standaardtabel"/>
    <w:uiPriority w:val="46"/>
    <w:rsid w:val="00A267C9"/>
    <w:pPr>
      <w:spacing w:line="240" w:lineRule="auto"/>
    </w:pPr>
    <w:tblPr>
      <w:tblStyleRowBandSize w:val="1"/>
      <w:tblStyleColBandSize w:val="1"/>
    </w:tblPr>
    <w:tblStylePr w:type="firstRow">
      <w:rPr>
        <w:b/>
        <w:bCs/>
      </w:rPr>
      <w:tblPr/>
      <w:tcPr>
        <w:tcBorders>
          <w:bottom w:color="FFA366" w:space="0" w:sz="4" w:themeColor="accent3" w:themeTint="99" w:val="single"/>
        </w:tcBorders>
      </w:tcPr>
    </w:tblStylePr>
    <w:tblStylePr w:type="lastRow">
      <w:rPr>
        <w:b/>
        <w:bCs/>
      </w:rPr>
      <w:tblPr/>
      <w:tcPr>
        <w:tcBorders>
          <w:top w:color="FFA366" w:space="0" w:sz="4" w:themeColor="accent3" w:themeTint="99" w:val="sing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customStyle="1" w:styleId="Kleurnaam" w:type="paragraph">
    <w:name w:val="Kleurnaam"/>
    <w:uiPriority w:val="78"/>
    <w:semiHidden/>
    <w:rsid w:val="000A1E53"/>
    <w:pPr>
      <w:spacing w:line="264" w:lineRule="auto"/>
      <w:jc w:val="center"/>
    </w:pPr>
    <w:rPr>
      <w:rFonts w:eastAsia="Times New Roman"/>
      <w:color w:val="FFFFFF"/>
      <w:sz w:val="18"/>
      <w:szCs w:val="20"/>
      <w:lang w:val="en-US"/>
    </w:rPr>
  </w:style>
  <w:style w:styleId="Aanhef" w:type="paragraph">
    <w:name w:val="Salutation"/>
    <w:basedOn w:val="Standaard"/>
    <w:next w:val="Standaard"/>
    <w:link w:val="AanhefChar"/>
    <w:uiPriority w:val="99"/>
    <w:semiHidden/>
    <w:locked/>
    <w:rsid w:val="00C20EB5"/>
  </w:style>
  <w:style w:customStyle="1" w:styleId="AanhefChar" w:type="character">
    <w:name w:val="Aanhef Char"/>
    <w:basedOn w:val="Standaardalinea-lettertype"/>
    <w:link w:val="Aanhef"/>
    <w:uiPriority w:val="99"/>
    <w:semiHidden/>
    <w:rsid w:val="00C20EB5"/>
    <w:rPr>
      <w:rFonts w:ascii="Roboto Light" w:hAnsi="Roboto Light"/>
      <w:color w:val="5A5A5A"/>
      <w:sz w:val="20"/>
      <w:szCs w:val="20"/>
    </w:rPr>
  </w:style>
  <w:style w:styleId="Vermelding" w:type="character">
    <w:name w:val="Mention"/>
    <w:basedOn w:val="Standaardalinea-lettertype"/>
    <w:uiPriority w:val="99"/>
    <w:semiHidden/>
    <w:locked/>
    <w:rsid w:val="00C20EB5"/>
    <w:rPr>
      <w:color w:val="2B579A"/>
      <w:shd w:color="auto" w:fill="E1DFDD" w:val="clear"/>
    </w:rPr>
  </w:style>
  <w:style w:styleId="Titelvanboek" w:type="character">
    <w:name w:val="Book Title"/>
    <w:basedOn w:val="Standaardalinea-lettertype"/>
    <w:uiPriority w:val="99"/>
    <w:semiHidden/>
    <w:locked/>
    <w:rsid w:val="00C20EB5"/>
    <w:rPr>
      <w:b/>
      <w:bCs/>
      <w:i/>
      <w:iCs/>
      <w:spacing w:val="5"/>
    </w:rPr>
  </w:style>
  <w:style w:styleId="Notitiekop" w:type="paragraph">
    <w:name w:val="Note Heading"/>
    <w:basedOn w:val="Standaard"/>
    <w:next w:val="Standaard"/>
    <w:link w:val="NotitiekopChar"/>
    <w:uiPriority w:val="99"/>
    <w:semiHidden/>
    <w:locked/>
    <w:rsid w:val="00C20EB5"/>
    <w:pPr>
      <w:spacing w:line="240" w:lineRule="auto"/>
    </w:pPr>
  </w:style>
  <w:style w:customStyle="1" w:styleId="NotitiekopChar" w:type="character">
    <w:name w:val="Notitiekop Char"/>
    <w:basedOn w:val="Standaardalinea-lettertype"/>
    <w:link w:val="Notitiekop"/>
    <w:uiPriority w:val="99"/>
    <w:semiHidden/>
    <w:rsid w:val="00C20EB5"/>
    <w:rPr>
      <w:rFonts w:ascii="Roboto Light" w:hAnsi="Roboto Light"/>
      <w:color w:val="5A5A5A"/>
      <w:sz w:val="20"/>
      <w:szCs w:val="20"/>
    </w:rPr>
  </w:style>
  <w:style w:styleId="Tabelrasterlicht" w:type="table">
    <w:name w:val="Grid Table Light"/>
    <w:basedOn w:val="Standaardtabel"/>
    <w:uiPriority w:val="40"/>
    <w:rsid w:val="00A267C9"/>
    <w:pPr>
      <w:spacing w:line="240" w:lineRule="auto"/>
    </w:pPr>
    <w:tblPr>
      <w:tblBorders>
        <w:top w:color="B9B9B9" w:space="0" w:sz="4" w:themeColor="background1" w:themeShade="BF" w:val="single"/>
        <w:left w:color="B9B9B9" w:space="0" w:sz="4" w:themeColor="background1" w:themeShade="BF" w:val="single"/>
        <w:bottom w:color="B9B9B9" w:space="0" w:sz="4" w:themeColor="background1" w:themeShade="BF" w:val="single"/>
        <w:right w:color="B9B9B9" w:space="0" w:sz="4" w:themeColor="background1" w:themeShade="BF" w:val="single"/>
        <w:insideH w:color="B9B9B9" w:space="0" w:sz="4" w:themeColor="background1" w:themeShade="BF" w:val="single"/>
        <w:insideV w:color="B9B9B9" w:space="0" w:sz="4" w:themeColor="background1" w:themeShade="BF" w:val="single"/>
      </w:tblBorders>
    </w:tblPr>
  </w:style>
  <w:style w:styleId="Rastertabel5donker-Accent3" w:type="table">
    <w:name w:val="Grid Table 5 Dark Accent 3"/>
    <w:basedOn w:val="Standaardtabel"/>
    <w:uiPriority w:val="50"/>
    <w:rsid w:val="00A267C9"/>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E0CC" w:themeFill="accent3"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FF6600" w:themeFill="accent3"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FF6600" w:themeFill="accent3"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FF6600" w:themeFill="accent3"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FF6600" w:themeFill="accent3" w:val="clear"/>
      </w:tcPr>
    </w:tblStylePr>
    <w:tblStylePr w:type="band1Vert">
      <w:tblPr/>
      <w:tcPr>
        <w:shd w:color="auto" w:fill="FFC199" w:themeFill="accent3" w:themeFillTint="66" w:val="clear"/>
      </w:tcPr>
    </w:tblStylePr>
    <w:tblStylePr w:type="band1Horz">
      <w:tblPr/>
      <w:tcPr>
        <w:shd w:color="auto" w:fill="FFC199" w:themeFill="accent3" w:themeFillTint="66" w:val="clear"/>
      </w:tcPr>
    </w:tblStylePr>
  </w:style>
  <w:style w:styleId="Rastertabel1licht-Accent3" w:type="table">
    <w:name w:val="Grid Table 1 Light Accent 3"/>
    <w:basedOn w:val="Standaardtabel"/>
    <w:uiPriority w:val="46"/>
    <w:rsid w:val="00A267C9"/>
    <w:pPr>
      <w:spacing w:line="240" w:lineRule="auto"/>
    </w:pPr>
    <w:tblPr>
      <w:tblStyleRowBandSize w:val="1"/>
      <w:tblStyleColBandSize w:val="1"/>
      <w:tblBorders>
        <w:top w:color="FFC199" w:space="0" w:sz="4" w:themeColor="accent3" w:themeTint="66" w:val="single"/>
        <w:left w:color="FFC199" w:space="0" w:sz="4" w:themeColor="accent3" w:themeTint="66" w:val="single"/>
        <w:bottom w:color="FFC199" w:space="0" w:sz="4" w:themeColor="accent3" w:themeTint="66" w:val="single"/>
        <w:right w:color="FFC199" w:space="0" w:sz="4" w:themeColor="accent3" w:themeTint="66" w:val="single"/>
        <w:insideH w:color="FFC199" w:space="0" w:sz="4" w:themeColor="accent3" w:themeTint="66" w:val="single"/>
        <w:insideV w:color="FFC199" w:space="0" w:sz="4" w:themeColor="accent3" w:themeTint="66"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2" w:themeColor="accent3" w:themeTint="99" w:val="double"/>
        </w:tcBorders>
      </w:tcPr>
    </w:tblStylePr>
    <w:tblStylePr w:type="firstCol">
      <w:rPr>
        <w:b/>
        <w:bCs/>
      </w:rPr>
    </w:tblStylePr>
    <w:tblStylePr w:type="lastCol">
      <w:rPr>
        <w:b/>
        <w:bCs/>
      </w:rPr>
    </w:tblStylePr>
  </w:style>
  <w:style w:styleId="Rastertabel3-Accent6" w:type="table">
    <w:name w:val="Grid Table 3 Accent 6"/>
    <w:basedOn w:val="Standaardtabel"/>
    <w:uiPriority w:val="48"/>
    <w:rsid w:val="00CF41A8"/>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rPr>
      <w:tblPr/>
      <w:tcPr>
        <w:tcBorders>
          <w:top w:val="nil"/>
          <w:left w:val="nil"/>
          <w:right w:val="nil"/>
          <w:insideH w:val="nil"/>
          <w:insideV w:val="nil"/>
        </w:tcBorders>
        <w:shd w:color="auto" w:fill="F8F8F8" w:themeFill="background1" w:val="clear"/>
      </w:tcPr>
    </w:tblStylePr>
    <w:tblStylePr w:type="lastRow">
      <w:rPr>
        <w:b/>
        <w:bCs/>
      </w:rPr>
      <w:tblPr/>
      <w:tcPr>
        <w:tcBorders>
          <w:left w:val="nil"/>
          <w:bottom w:val="nil"/>
          <w:right w:val="nil"/>
          <w:insideH w:val="nil"/>
          <w:insideV w:val="nil"/>
        </w:tcBorders>
        <w:shd w:color="auto" w:fill="F8F8F8" w:themeFill="background1" w:val="clear"/>
      </w:tcPr>
    </w:tblStylePr>
    <w:tblStylePr w:type="firstCol">
      <w:pPr>
        <w:jc w:val="right"/>
      </w:pPr>
      <w:rPr>
        <w:i/>
        <w:iCs/>
      </w:rPr>
      <w:tblPr/>
      <w:tcPr>
        <w:tcBorders>
          <w:top w:val="nil"/>
          <w:left w:val="nil"/>
          <w:bottom w:val="nil"/>
          <w:insideH w:val="nil"/>
          <w:insideV w:val="nil"/>
        </w:tcBorders>
        <w:shd w:color="auto" w:fill="F8F8F8" w:themeFill="background1" w:val="clear"/>
      </w:tcPr>
    </w:tblStylePr>
    <w:tblStylePr w:type="lastCol">
      <w:rPr>
        <w:i/>
        <w:iCs/>
      </w:rPr>
      <w:tblPr/>
      <w:tcPr>
        <w:tcBorders>
          <w:top w:val="nil"/>
          <w:bottom w:val="nil"/>
          <w:right w:val="nil"/>
          <w:insideH w:val="nil"/>
          <w:insideV w:val="nil"/>
        </w:tcBorders>
        <w:shd w:color="auto" w:fill="F8F8F8" w:themeFill="background1" w:val="clear"/>
      </w:tcPr>
    </w:tblStylePr>
    <w:tblStylePr w:type="band1Vert">
      <w:tblPr/>
      <w:tcPr>
        <w:shd w:color="auto" w:fill="FFDCAB" w:themeFill="accent6" w:themeFillTint="33" w:val="clear"/>
      </w:tcPr>
    </w:tblStylePr>
    <w:tblStylePr w:type="band1Horz">
      <w:tblPr/>
      <w:tcPr>
        <w:shd w:color="auto" w:fill="FFDCAB" w:themeFill="accent6" w:themeFillTint="33" w:val="clear"/>
      </w:tcPr>
    </w:tblStylePr>
    <w:tblStylePr w:type="neCell">
      <w:tblPr/>
      <w:tcPr>
        <w:tcBorders>
          <w:bottom w:color="FF9705" w:space="0" w:sz="4" w:themeColor="accent6" w:themeTint="99" w:val="single"/>
        </w:tcBorders>
      </w:tcPr>
    </w:tblStylePr>
    <w:tblStylePr w:type="nwCell">
      <w:tblPr/>
      <w:tcPr>
        <w:tcBorders>
          <w:bottom w:color="FF9705" w:space="0" w:sz="4" w:themeColor="accent6" w:themeTint="99" w:val="single"/>
        </w:tcBorders>
      </w:tcPr>
    </w:tblStylePr>
    <w:tblStylePr w:type="seCell">
      <w:tblPr/>
      <w:tcPr>
        <w:tcBorders>
          <w:top w:color="FF9705" w:space="0" w:sz="4" w:themeColor="accent6" w:themeTint="99" w:val="single"/>
        </w:tcBorders>
      </w:tcPr>
    </w:tblStylePr>
    <w:tblStylePr w:type="swCell">
      <w:tblPr/>
      <w:tcPr>
        <w:tcBorders>
          <w:top w:color="FF9705" w:space="0" w:sz="4" w:themeColor="accent6" w:themeTint="99" w:val="single"/>
        </w:tcBorders>
      </w:tcPr>
    </w:tblStylePr>
  </w:style>
  <w:style w:styleId="Lijsttabel2-Accent3" w:type="table">
    <w:name w:val="List Table 2 Accent 3"/>
    <w:basedOn w:val="Standaardtabel"/>
    <w:uiPriority w:val="47"/>
    <w:rsid w:val="00A267C9"/>
    <w:pPr>
      <w:spacing w:line="240" w:lineRule="auto"/>
    </w:pPr>
    <w:tblPr>
      <w:tblStyleRowBandSize w:val="1"/>
      <w:tblStyleColBandSize w:val="1"/>
      <w:tblBorders>
        <w:top w:color="FFA366" w:space="0" w:sz="4" w:themeColor="accent3" w:themeTint="99" w:val="single"/>
        <w:bottom w:color="FFA366" w:space="0" w:sz="4" w:themeColor="accent3" w:themeTint="99" w:val="single"/>
        <w:insideH w:color="FFA366"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Lijsttabel3-Accent5" w:type="table">
    <w:name w:val="List Table 3 Accent 5"/>
    <w:basedOn w:val="Standaardtabel"/>
    <w:uiPriority w:val="48"/>
    <w:rsid w:val="00A267C9"/>
    <w:pPr>
      <w:spacing w:line="240" w:lineRule="auto"/>
    </w:pPr>
    <w:tblPr>
      <w:tblStyleRowBandSize w:val="1"/>
      <w:tblStyleColBandSize w:val="1"/>
      <w:tblBorders>
        <w:top w:color="7CC144" w:space="0" w:sz="4" w:themeColor="accent5" w:val="single"/>
        <w:left w:color="7CC144" w:space="0" w:sz="4" w:themeColor="accent5" w:val="single"/>
        <w:bottom w:color="7CC144" w:space="0" w:sz="4" w:themeColor="accent5" w:val="single"/>
        <w:right w:color="7CC144" w:space="0" w:sz="4" w:themeColor="accent5" w:val="single"/>
      </w:tblBorders>
    </w:tblPr>
    <w:tblStylePr w:type="firstRow">
      <w:rPr>
        <w:b/>
        <w:bCs/>
        <w:color w:themeColor="background1" w:val="F8F8F8"/>
      </w:rPr>
      <w:tblPr/>
      <w:tcPr>
        <w:shd w:color="auto" w:fill="7CC144" w:themeFill="accent5" w:val="clear"/>
      </w:tcPr>
    </w:tblStylePr>
    <w:tblStylePr w:type="lastRow">
      <w:rPr>
        <w:b/>
        <w:bCs/>
      </w:rPr>
      <w:tblPr/>
      <w:tcPr>
        <w:tcBorders>
          <w:top w:color="7CC144" w:space="0" w:sz="4" w:themeColor="accent5" w:val="double"/>
        </w:tcBorders>
        <w:shd w:color="auto" w:fill="F8F8F8" w:themeFill="background1" w:val="clear"/>
      </w:tcPr>
    </w:tblStylePr>
    <w:tblStylePr w:type="firstCol">
      <w:rPr>
        <w:b/>
        <w:bCs/>
      </w:rPr>
      <w:tblPr/>
      <w:tcPr>
        <w:tcBorders>
          <w:right w:val="nil"/>
        </w:tcBorders>
        <w:shd w:color="auto" w:fill="F8F8F8" w:themeFill="background1" w:val="clear"/>
      </w:tcPr>
    </w:tblStylePr>
    <w:tblStylePr w:type="lastCol">
      <w:rPr>
        <w:b/>
        <w:bCs/>
      </w:rPr>
      <w:tblPr/>
      <w:tcPr>
        <w:tcBorders>
          <w:left w:val="nil"/>
        </w:tcBorders>
        <w:shd w:color="auto" w:fill="F8F8F8" w:themeFill="background1" w:val="clear"/>
      </w:tcPr>
    </w:tblStylePr>
    <w:tblStylePr w:type="band1Vert">
      <w:tblPr/>
      <w:tcPr>
        <w:tcBorders>
          <w:left w:color="7CC144" w:space="0" w:sz="4" w:themeColor="accent5" w:val="single"/>
          <w:right w:color="7CC144" w:space="0" w:sz="4" w:themeColor="accent5" w:val="single"/>
        </w:tcBorders>
      </w:tcPr>
    </w:tblStylePr>
    <w:tblStylePr w:type="band1Horz">
      <w:tblPr/>
      <w:tcPr>
        <w:tcBorders>
          <w:top w:color="7CC144" w:space="0" w:sz="4" w:themeColor="accent5" w:val="single"/>
          <w:bottom w:color="7CC144"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7CC144" w:space="0" w:sz="4" w:themeColor="accent5" w:val="double"/>
          <w:left w:val="nil"/>
        </w:tcBorders>
      </w:tcPr>
    </w:tblStylePr>
    <w:tblStylePr w:type="swCell">
      <w:tblPr/>
      <w:tcPr>
        <w:tcBorders>
          <w:top w:color="7CC144" w:space="0" w:sz="4" w:themeColor="accent5" w:val="double"/>
          <w:right w:val="nil"/>
        </w:tcBorders>
      </w:tcPr>
    </w:tblStylePr>
  </w:style>
  <w:style w:styleId="Lijsttabel2-Accent6" w:type="table">
    <w:name w:val="List Table 2 Accent 6"/>
    <w:basedOn w:val="Standaardtabel"/>
    <w:uiPriority w:val="47"/>
    <w:rsid w:val="00301E99"/>
    <w:pPr>
      <w:spacing w:line="240" w:lineRule="auto"/>
    </w:pPr>
    <w:tblPr>
      <w:tblStyleRowBandSize w:val="1"/>
      <w:tblStyleColBandSize w:val="1"/>
      <w:tblBorders>
        <w:top w:color="FF9705" w:space="0" w:sz="4" w:themeColor="accent6" w:themeTint="99" w:val="single"/>
        <w:bottom w:color="FF9705" w:space="0" w:sz="4" w:themeColor="accent6" w:themeTint="99" w:val="single"/>
        <w:insideH w:color="FF9705"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1licht-Accent2" w:type="table">
    <w:name w:val="List Table 1 Light Accent 2"/>
    <w:basedOn w:val="Standaardtabel"/>
    <w:uiPriority w:val="46"/>
    <w:locked/>
    <w:rsid w:val="00301E99"/>
    <w:pPr>
      <w:spacing w:line="240" w:lineRule="auto"/>
    </w:pPr>
    <w:tblPr>
      <w:tblStyleRowBandSize w:val="1"/>
      <w:tblStyleColBandSize w:val="1"/>
    </w:tblPr>
    <w:tblStylePr w:type="firstRow">
      <w:rPr>
        <w:b/>
        <w:bCs/>
      </w:rPr>
      <w:tblPr/>
      <w:tcPr>
        <w:tcBorders>
          <w:bottom w:color="84E0FF" w:space="0" w:sz="4" w:themeColor="accent2" w:themeTint="99" w:val="single"/>
        </w:tcBorders>
      </w:tcPr>
    </w:tblStylePr>
    <w:tblStylePr w:type="lastRow">
      <w:rPr>
        <w:b/>
        <w:bCs/>
      </w:rPr>
      <w:tblPr/>
      <w:tcPr>
        <w:tcBorders>
          <w:top w:color="84E0FF" w:space="0" w:sz="4" w:themeColor="accent2" w:themeTint="99" w:val="single"/>
        </w:tcBorders>
      </w:tcPr>
    </w:tblStylePr>
    <w:tblStylePr w:type="firstCol">
      <w:rPr>
        <w:b/>
        <w:bCs/>
      </w:rPr>
    </w:tblStylePr>
    <w:tblStylePr w:type="lastCol">
      <w:rPr>
        <w:b/>
        <w:bCs/>
      </w:rPr>
    </w:tblStylePr>
    <w:tblStylePr w:type="band1Vert">
      <w:tblPr/>
      <w:tcPr>
        <w:shd w:color="auto" w:fill="D6F4FF" w:themeFill="accent2" w:themeFillTint="33" w:val="clear"/>
      </w:tcPr>
    </w:tblStylePr>
    <w:tblStylePr w:type="band1Horz">
      <w:tblPr/>
      <w:tcPr>
        <w:shd w:color="auto" w:fill="D6F4FF" w:themeFill="accent2" w:themeFillTint="33" w:val="clear"/>
      </w:tcPr>
    </w:tblStylePr>
  </w:style>
  <w:style w:styleId="Rastertabel4-Accent6" w:type="table">
    <w:name w:val="Grid Table 4 Accent 6"/>
    <w:basedOn w:val="Standaardtabel"/>
    <w:uiPriority w:val="49"/>
    <w:rsid w:val="00301E99"/>
    <w:pPr>
      <w:spacing w:line="240" w:lineRule="auto"/>
    </w:pPr>
    <w:tblPr>
      <w:tblStyleRowBandSize w:val="1"/>
      <w:tblStyleColBandSize w:val="1"/>
      <w:tblBorders>
        <w:top w:color="FF9705" w:space="0" w:sz="4" w:themeColor="accent6" w:themeTint="99" w:val="single"/>
        <w:left w:color="FF9705" w:space="0" w:sz="4" w:themeColor="accent6" w:themeTint="99" w:val="single"/>
        <w:bottom w:color="FF9705" w:space="0" w:sz="4" w:themeColor="accent6" w:themeTint="99" w:val="single"/>
        <w:right w:color="FF9705" w:space="0" w:sz="4" w:themeColor="accent6" w:themeTint="99" w:val="single"/>
        <w:insideH w:color="FF9705" w:space="0" w:sz="4" w:themeColor="accent6" w:themeTint="99" w:val="single"/>
        <w:insideV w:color="FF9705" w:space="0" w:sz="4" w:themeColor="accent6" w:themeTint="99" w:val="single"/>
      </w:tblBorders>
    </w:tblPr>
    <w:tblStylePr w:type="firstRow">
      <w:rPr>
        <w:b/>
        <w:bCs/>
        <w:color w:themeColor="background1" w:val="F8F8F8"/>
      </w:rPr>
      <w:tblPr/>
      <w:tcPr>
        <w:tcBorders>
          <w:top w:color="5E3700" w:space="0" w:sz="4" w:themeColor="accent6" w:val="single"/>
          <w:left w:color="5E3700" w:space="0" w:sz="4" w:themeColor="accent6" w:val="single"/>
          <w:bottom w:color="5E3700" w:space="0" w:sz="4" w:themeColor="accent6" w:val="single"/>
          <w:right w:color="5E3700" w:space="0" w:sz="4" w:themeColor="accent6" w:val="single"/>
          <w:insideH w:val="nil"/>
          <w:insideV w:val="nil"/>
        </w:tcBorders>
        <w:shd w:color="auto" w:fill="5E3700" w:themeFill="accent6" w:val="clear"/>
      </w:tcPr>
    </w:tblStylePr>
    <w:tblStylePr w:type="lastRow">
      <w:rPr>
        <w:b/>
        <w:bCs/>
      </w:rPr>
      <w:tblPr/>
      <w:tcPr>
        <w:tcBorders>
          <w:top w:color="5E3700" w:space="0" w:sz="4" w:themeColor="accent6" w:val="double"/>
        </w:tcBorders>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Lijsttabel5donker" w:type="table">
    <w:name w:val="List Table 5 Dark"/>
    <w:basedOn w:val="Standaardtabel"/>
    <w:uiPriority w:val="50"/>
    <w:rsid w:val="00301E99"/>
    <w:pPr>
      <w:spacing w:line="240" w:lineRule="auto"/>
    </w:pPr>
    <w:rPr>
      <w:color w:themeColor="background1" w:val="F8F8F8"/>
    </w:rPr>
    <w:tblPr>
      <w:tblStyleRowBandSize w:val="1"/>
      <w:tblStyleColBandSize w:val="1"/>
      <w:tblBorders>
        <w:top w:color="111111" w:space="0" w:sz="24" w:themeColor="text1" w:val="single"/>
        <w:left w:color="111111" w:space="0" w:sz="24" w:themeColor="text1" w:val="single"/>
        <w:bottom w:color="111111" w:space="0" w:sz="24" w:themeColor="text1" w:val="single"/>
        <w:right w:color="111111" w:space="0" w:sz="24" w:themeColor="text1" w:val="single"/>
      </w:tblBorders>
    </w:tblPr>
    <w:tcPr>
      <w:shd w:color="auto" w:fill="111111" w:themeFill="text1" w:val="clear"/>
    </w:tcPr>
    <w:tblStylePr w:type="firstRow">
      <w:rPr>
        <w:b/>
        <w:bCs/>
      </w:rPr>
      <w:tblPr/>
      <w:tcPr>
        <w:tcBorders>
          <w:bottom w:color="F8F8F8" w:space="0" w:sz="18" w:themeColor="background1" w:val="single"/>
        </w:tcBorders>
      </w:tcPr>
    </w:tblStylePr>
    <w:tblStylePr w:type="lastRow">
      <w:rPr>
        <w:b/>
        <w:bCs/>
      </w:rPr>
      <w:tblPr/>
      <w:tcPr>
        <w:tcBorders>
          <w:top w:color="F8F8F8" w:space="0" w:sz="4" w:themeColor="background1" w:val="single"/>
        </w:tcBorders>
      </w:tcPr>
    </w:tblStylePr>
    <w:tblStylePr w:type="firstCol">
      <w:rPr>
        <w:b/>
        <w:bCs/>
      </w:rPr>
      <w:tblPr/>
      <w:tcPr>
        <w:tcBorders>
          <w:right w:color="F8F8F8" w:space="0" w:sz="4" w:themeColor="background1" w:val="single"/>
        </w:tcBorders>
      </w:tcPr>
    </w:tblStylePr>
    <w:tblStylePr w:type="lastCol">
      <w:rPr>
        <w:b/>
        <w:bCs/>
      </w:rPr>
      <w:tblPr/>
      <w:tcPr>
        <w:tcBorders>
          <w:left w:color="F8F8F8" w:space="0" w:sz="4" w:themeColor="background1" w:val="single"/>
        </w:tcBorders>
      </w:tcPr>
    </w:tblStylePr>
    <w:tblStylePr w:type="band1Vert">
      <w:tblPr/>
      <w:tcPr>
        <w:tcBorders>
          <w:left w:color="F8F8F8" w:space="0" w:sz="4" w:themeColor="background1" w:val="single"/>
          <w:right w:color="F8F8F8" w:space="0" w:sz="4" w:themeColor="background1" w:val="single"/>
        </w:tcBorders>
      </w:tcPr>
    </w:tblStylePr>
    <w:tblStylePr w:type="band2Vert">
      <w:tblPr/>
      <w:tcPr>
        <w:tcBorders>
          <w:left w:color="F8F8F8" w:space="0" w:sz="4" w:themeColor="background1" w:val="single"/>
          <w:right w:color="F8F8F8" w:space="0" w:sz="4" w:themeColor="background1" w:val="single"/>
        </w:tcBorders>
      </w:tcPr>
    </w:tblStylePr>
    <w:tblStylePr w:type="band1Horz">
      <w:tblPr/>
      <w:tcPr>
        <w:tcBorders>
          <w:top w:color="F8F8F8" w:space="0" w:sz="4" w:themeColor="background1" w:val="single"/>
          <w:bottom w:color="F8F8F8"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Rastertabel6kleurrijk-Accent3" w:type="table">
    <w:name w:val="Grid Table 6 Colorful Accent 3"/>
    <w:basedOn w:val="Standaardtabel"/>
    <w:uiPriority w:val="51"/>
    <w:rsid w:val="00301E99"/>
    <w:pPr>
      <w:spacing w:line="240" w:lineRule="auto"/>
    </w:pPr>
    <w:rPr>
      <w:color w:themeColor="accent3" w:themeShade="BF" w:val="BF4C00"/>
    </w:rPr>
    <w:tblPr>
      <w:tblStyleRowBandSize w:val="1"/>
      <w:tblStyleColBandSize w:val="1"/>
      <w:tblBorders>
        <w:top w:color="FFA366" w:space="0" w:sz="4" w:themeColor="accent3" w:themeTint="99" w:val="single"/>
        <w:left w:color="FFA366" w:space="0" w:sz="4" w:themeColor="accent3" w:themeTint="99" w:val="single"/>
        <w:bottom w:color="FFA366" w:space="0" w:sz="4" w:themeColor="accent3" w:themeTint="99" w:val="single"/>
        <w:right w:color="FFA366" w:space="0" w:sz="4" w:themeColor="accent3" w:themeTint="99" w:val="single"/>
        <w:insideH w:color="FFA366" w:space="0" w:sz="4" w:themeColor="accent3" w:themeTint="99" w:val="single"/>
        <w:insideV w:color="FFA366" w:space="0" w:sz="4" w:themeColor="accent3" w:themeTint="99" w:val="single"/>
      </w:tblBorders>
    </w:tblPr>
    <w:tblStylePr w:type="firstRow">
      <w:rPr>
        <w:b/>
        <w:bCs/>
      </w:rPr>
      <w:tblPr/>
      <w:tcPr>
        <w:tcBorders>
          <w:bottom w:color="FFA366" w:space="0" w:sz="12" w:themeColor="accent3" w:themeTint="99" w:val="single"/>
        </w:tcBorders>
      </w:tcPr>
    </w:tblStylePr>
    <w:tblStylePr w:type="lastRow">
      <w:rPr>
        <w:b/>
        <w:bCs/>
      </w:rPr>
      <w:tblPr/>
      <w:tcPr>
        <w:tcBorders>
          <w:top w:color="FFA366" w:space="0" w:sz="4" w:themeColor="accent3" w:themeTint="99" w:val="double"/>
        </w:tcBorders>
      </w:tcPr>
    </w:tblStylePr>
    <w:tblStylePr w:type="firstCol">
      <w:rPr>
        <w:b/>
        <w:bCs/>
      </w:rPr>
    </w:tblStylePr>
    <w:tblStylePr w:type="lastCol">
      <w:rPr>
        <w:b/>
        <w:bCs/>
      </w:rPr>
    </w:tblStylePr>
    <w:tblStylePr w:type="band1Vert">
      <w:tblPr/>
      <w:tcPr>
        <w:shd w:color="auto" w:fill="FFE0CC" w:themeFill="accent3" w:themeFillTint="33" w:val="clear"/>
      </w:tcPr>
    </w:tblStylePr>
    <w:tblStylePr w:type="band1Horz">
      <w:tblPr/>
      <w:tcPr>
        <w:shd w:color="auto" w:fill="FFE0CC" w:themeFill="accent3" w:themeFillTint="33" w:val="clear"/>
      </w:tcPr>
    </w:tblStylePr>
  </w:style>
  <w:style w:styleId="Onopgemaaktetabel5" w:type="table">
    <w:name w:val="Plain Table 5"/>
    <w:basedOn w:val="Standaardtabel"/>
    <w:uiPriority w:val="45"/>
    <w:rsid w:val="00301E99"/>
    <w:pPr>
      <w:spacing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878787" w:space="0" w:sz="4" w:themeColor="text1" w:themeTint="80" w:val="single"/>
        </w:tcBorders>
        <w:shd w:color="auto" w:fill="F8F8F8" w:themeFill="background1" w:val="clear"/>
      </w:tcPr>
    </w:tblStylePr>
    <w:tblStylePr w:type="lastRow">
      <w:rPr>
        <w:rFonts w:asciiTheme="majorHAnsi" w:cstheme="majorBidi" w:eastAsiaTheme="majorEastAsia" w:hAnsiTheme="majorHAnsi"/>
        <w:i/>
        <w:iCs/>
        <w:sz w:val="26"/>
      </w:rPr>
      <w:tblPr/>
      <w:tcPr>
        <w:tcBorders>
          <w:top w:color="878787" w:space="0" w:sz="4" w:themeColor="text1" w:themeTint="80" w:val="single"/>
        </w:tcBorders>
        <w:shd w:color="auto" w:fill="F8F8F8" w:themeFill="background1" w:val="clear"/>
      </w:tcPr>
    </w:tblStylePr>
    <w:tblStylePr w:type="firstCol">
      <w:pPr>
        <w:jc w:val="right"/>
      </w:pPr>
      <w:rPr>
        <w:rFonts w:asciiTheme="majorHAnsi" w:cstheme="majorBidi" w:eastAsiaTheme="majorEastAsia" w:hAnsiTheme="majorHAnsi"/>
        <w:i/>
        <w:iCs/>
        <w:sz w:val="26"/>
      </w:rPr>
      <w:tblPr/>
      <w:tcPr>
        <w:tcBorders>
          <w:right w:color="878787" w:space="0" w:sz="4" w:themeColor="text1" w:themeTint="80" w:val="single"/>
        </w:tcBorders>
        <w:shd w:color="auto" w:fill="F8F8F8" w:themeFill="background1" w:val="clear"/>
      </w:tcPr>
    </w:tblStylePr>
    <w:tblStylePr w:type="lastCol">
      <w:rPr>
        <w:rFonts w:asciiTheme="majorHAnsi" w:cstheme="majorBidi" w:eastAsiaTheme="majorEastAsia" w:hAnsiTheme="majorHAnsi"/>
        <w:i/>
        <w:iCs/>
        <w:sz w:val="26"/>
      </w:rPr>
      <w:tblPr/>
      <w:tcPr>
        <w:tcBorders>
          <w:left w:color="878787" w:space="0" w:sz="4" w:themeColor="text1" w:themeTint="80" w:val="single"/>
        </w:tcBorders>
        <w:shd w:color="auto" w:fill="F8F8F8" w:themeFill="background1" w:val="clear"/>
      </w:tcPr>
    </w:tblStylePr>
    <w:tblStylePr w:type="band1Vert">
      <w:tblPr/>
      <w:tcPr>
        <w:shd w:color="auto" w:fill="EBEBEB" w:themeFill="background1" w:themeFillShade="F2" w:val="clear"/>
      </w:tcPr>
    </w:tblStylePr>
    <w:tblStylePr w:type="band1Horz">
      <w:tblPr/>
      <w:tcPr>
        <w:shd w:color="auto" w:fill="EBEBEB"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Rastertabel2-Accent6" w:type="table">
    <w:name w:val="Grid Table 2 Accent 6"/>
    <w:basedOn w:val="Standaardtabel"/>
    <w:uiPriority w:val="47"/>
    <w:rsid w:val="00301E99"/>
    <w:pPr>
      <w:spacing w:line="240" w:lineRule="auto"/>
    </w:pPr>
    <w:tblPr>
      <w:tblStyleRowBandSize w:val="1"/>
      <w:tblStyleColBandSize w:val="1"/>
      <w:tblBorders>
        <w:top w:color="FF9705" w:space="0" w:sz="2" w:themeColor="accent6" w:themeTint="99" w:val="single"/>
        <w:bottom w:color="FF9705" w:space="0" w:sz="2" w:themeColor="accent6" w:themeTint="99" w:val="single"/>
        <w:insideH w:color="FF9705" w:space="0" w:sz="2" w:themeColor="accent6" w:themeTint="99" w:val="single"/>
        <w:insideV w:color="FF9705" w:space="0" w:sz="2" w:themeColor="accent6" w:themeTint="99" w:val="single"/>
      </w:tblBorders>
    </w:tblPr>
    <w:tblStylePr w:type="firstRow">
      <w:rPr>
        <w:b/>
        <w:bCs/>
      </w:rPr>
      <w:tblPr/>
      <w:tcPr>
        <w:tcBorders>
          <w:top w:val="nil"/>
          <w:bottom w:color="FF9705" w:space="0" w:sz="12" w:themeColor="accent6" w:themeTint="99" w:val="single"/>
          <w:insideH w:val="nil"/>
          <w:insideV w:val="nil"/>
        </w:tcBorders>
        <w:shd w:color="auto" w:fill="F8F8F8" w:themeFill="background1" w:val="clear"/>
      </w:tcPr>
    </w:tblStylePr>
    <w:tblStylePr w:type="lastRow">
      <w:rPr>
        <w:b/>
        <w:bCs/>
      </w:rPr>
      <w:tblPr/>
      <w:tcPr>
        <w:tcBorders>
          <w:top w:color="FF9705" w:space="0" w:sz="2" w:themeColor="accent6" w:themeTint="99" w:val="double"/>
          <w:bottom w:val="nil"/>
          <w:insideH w:val="nil"/>
          <w:insideV w:val="nil"/>
        </w:tcBorders>
        <w:shd w:color="auto" w:fill="F8F8F8" w:themeFill="background1" w:val="clear"/>
      </w:tcPr>
    </w:tblStylePr>
    <w:tblStylePr w:type="firstCol">
      <w:rPr>
        <w:b/>
        <w:bCs/>
      </w:rPr>
    </w:tblStylePr>
    <w:tblStylePr w:type="lastCol">
      <w:rPr>
        <w:b/>
        <w:bCs/>
      </w:rPr>
    </w:tblStylePr>
    <w:tblStylePr w:type="band1Vert">
      <w:tblPr/>
      <w:tcPr>
        <w:shd w:color="auto" w:fill="FFDCAB" w:themeFill="accent6" w:themeFillTint="33" w:val="clear"/>
      </w:tcPr>
    </w:tblStylePr>
    <w:tblStylePr w:type="band1Horz">
      <w:tblPr/>
      <w:tcPr>
        <w:shd w:color="auto" w:fill="FFDCAB" w:themeFill="accent6" w:themeFillTint="33" w:val="clear"/>
      </w:tcPr>
    </w:tblStylePr>
  </w:style>
  <w:style w:styleId="Rastertabel5donker-Accent2" w:type="table">
    <w:name w:val="Grid Table 5 Dark Accent 2"/>
    <w:basedOn w:val="Standaardtabel"/>
    <w:uiPriority w:val="50"/>
    <w:rsid w:val="00665B0F"/>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D6F4FF" w:themeFill="accent2"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33CCFF" w:themeFill="accent2"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33CCFF" w:themeFill="accent2"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33CCFF" w:themeFill="accent2"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33CCFF" w:themeFill="accent2" w:val="clear"/>
      </w:tcPr>
    </w:tblStylePr>
    <w:tblStylePr w:type="band1Vert">
      <w:tblPr/>
      <w:tcPr>
        <w:shd w:color="auto" w:fill="ADEAFF" w:themeFill="accent2" w:themeFillTint="66" w:val="clear"/>
      </w:tcPr>
    </w:tblStylePr>
    <w:tblStylePr w:type="band1Horz">
      <w:tblPr/>
      <w:tcPr>
        <w:shd w:color="auto" w:fill="ADEAFF" w:themeFill="accent2" w:themeFillTint="66" w:val="clear"/>
      </w:tcPr>
    </w:tblStylePr>
  </w:style>
  <w:style w:styleId="Rastertabel5donker-Accent6" w:type="table">
    <w:name w:val="Grid Table 5 Dark Accent 6"/>
    <w:basedOn w:val="Standaardtabel"/>
    <w:uiPriority w:val="50"/>
    <w:rsid w:val="00CF41A8"/>
    <w:pPr>
      <w:spacing w:line="240" w:lineRule="auto"/>
    </w:pPr>
    <w:tblPr>
      <w:tblStyleRowBandSize w:val="1"/>
      <w:tblStyleColBandSize w:val="1"/>
      <w:tblBorders>
        <w:top w:color="F8F8F8" w:space="0" w:sz="4" w:themeColor="background1" w:val="single"/>
        <w:left w:color="F8F8F8" w:space="0" w:sz="4" w:themeColor="background1" w:val="single"/>
        <w:bottom w:color="F8F8F8" w:space="0" w:sz="4" w:themeColor="background1" w:val="single"/>
        <w:right w:color="F8F8F8" w:space="0" w:sz="4" w:themeColor="background1" w:val="single"/>
        <w:insideH w:color="F8F8F8" w:space="0" w:sz="4" w:themeColor="background1" w:val="single"/>
        <w:insideV w:color="F8F8F8" w:space="0" w:sz="4" w:themeColor="background1" w:val="single"/>
      </w:tblBorders>
    </w:tblPr>
    <w:tcPr>
      <w:shd w:color="auto" w:fill="FFDCAB" w:themeFill="accent6" w:themeFillTint="33" w:val="clear"/>
    </w:tcPr>
    <w:tblStylePr w:type="firstRow">
      <w:rPr>
        <w:b/>
        <w:bCs/>
        <w:color w:themeColor="background1" w:val="F8F8F8"/>
      </w:rPr>
      <w:tblPr/>
      <w:tcPr>
        <w:tcBorders>
          <w:top w:color="F8F8F8" w:space="0" w:sz="4" w:themeColor="background1" w:val="single"/>
          <w:left w:color="F8F8F8" w:space="0" w:sz="4" w:themeColor="background1" w:val="single"/>
          <w:right w:color="F8F8F8" w:space="0" w:sz="4" w:themeColor="background1" w:val="single"/>
          <w:insideH w:val="nil"/>
          <w:insideV w:val="nil"/>
        </w:tcBorders>
        <w:shd w:color="auto" w:fill="5E3700" w:themeFill="accent6" w:val="clear"/>
      </w:tcPr>
    </w:tblStylePr>
    <w:tblStylePr w:type="lastRow">
      <w:rPr>
        <w:b/>
        <w:bCs/>
        <w:color w:themeColor="background1" w:val="F8F8F8"/>
      </w:rPr>
      <w:tblPr/>
      <w:tcPr>
        <w:tcBorders>
          <w:left w:color="F8F8F8" w:space="0" w:sz="4" w:themeColor="background1" w:val="single"/>
          <w:bottom w:color="F8F8F8" w:space="0" w:sz="4" w:themeColor="background1" w:val="single"/>
          <w:right w:color="F8F8F8" w:space="0" w:sz="4" w:themeColor="background1" w:val="single"/>
          <w:insideH w:val="nil"/>
          <w:insideV w:val="nil"/>
        </w:tcBorders>
        <w:shd w:color="auto" w:fill="5E3700" w:themeFill="accent6" w:val="clear"/>
      </w:tcPr>
    </w:tblStylePr>
    <w:tblStylePr w:type="firstCol">
      <w:rPr>
        <w:b/>
        <w:bCs/>
        <w:color w:themeColor="background1" w:val="F8F8F8"/>
      </w:rPr>
      <w:tblPr/>
      <w:tcPr>
        <w:tcBorders>
          <w:top w:color="F8F8F8" w:space="0" w:sz="4" w:themeColor="background1" w:val="single"/>
          <w:left w:color="F8F8F8" w:space="0" w:sz="4" w:themeColor="background1" w:val="single"/>
          <w:bottom w:color="F8F8F8" w:space="0" w:sz="4" w:themeColor="background1" w:val="single"/>
          <w:insideV w:val="nil"/>
        </w:tcBorders>
        <w:shd w:color="auto" w:fill="5E3700" w:themeFill="accent6" w:val="clear"/>
      </w:tcPr>
    </w:tblStylePr>
    <w:tblStylePr w:type="lastCol">
      <w:rPr>
        <w:b/>
        <w:bCs/>
        <w:color w:themeColor="background1" w:val="F8F8F8"/>
      </w:rPr>
      <w:tblPr/>
      <w:tcPr>
        <w:tcBorders>
          <w:top w:color="F8F8F8" w:space="0" w:sz="4" w:themeColor="background1" w:val="single"/>
          <w:bottom w:color="F8F8F8" w:space="0" w:sz="4" w:themeColor="background1" w:val="single"/>
          <w:right w:color="F8F8F8" w:space="0" w:sz="4" w:themeColor="background1" w:val="single"/>
          <w:insideV w:val="nil"/>
        </w:tcBorders>
        <w:shd w:color="auto" w:fill="5E3700" w:themeFill="accent6" w:val="clear"/>
      </w:tcPr>
    </w:tblStylePr>
    <w:tblStylePr w:type="band1Vert">
      <w:tblPr/>
      <w:tcPr>
        <w:shd w:color="auto" w:fill="FFB958" w:themeFill="accent6" w:themeFillTint="66" w:val="clear"/>
      </w:tcPr>
    </w:tblStylePr>
    <w:tblStylePr w:type="band1Horz">
      <w:tblPr/>
      <w:tcPr>
        <w:shd w:color="auto" w:fill="FFB958" w:themeFill="accent6" w:themeFillTint="66" w:val="clear"/>
      </w:tcPr>
    </w:tblStylePr>
  </w:style>
  <w:style w:customStyle="1" w:styleId="Tabelkopgrijs" w:type="paragraph">
    <w:name w:val="Tabel kop grijs"/>
    <w:basedOn w:val="Tabelkopwit"/>
    <w:autoRedefine/>
    <w:uiPriority w:val="21"/>
    <w:qFormat/>
    <w:rsid w:val="00CE4D84"/>
    <w:pPr>
      <w:spacing w:after="84"/>
    </w:pPr>
    <w:rPr>
      <w:b/>
      <w:bCs w:val="0"/>
      <w:color w:val="5A5A5A"/>
      <w:szCs w:val="20"/>
      <w:lang w:eastAsia="nl-NL"/>
    </w:rPr>
  </w:style>
  <w:style w:customStyle="1" w:styleId="Tabelstandaardwit" w:type="paragraph">
    <w:name w:val="Tabel standaard wit"/>
    <w:basedOn w:val="Tabelstandaard"/>
    <w:uiPriority w:val="23"/>
    <w:qFormat/>
    <w:rsid w:val="00CE4D84"/>
    <w:rPr>
      <w:color w:themeColor="background1" w:val="F8F8F8"/>
    </w:rPr>
  </w:style>
  <w:style w:customStyle="1" w:styleId="Contatgegevensvet" w:type="paragraph">
    <w:name w:val="Contatgegevens vet"/>
    <w:basedOn w:val="Contactgegevens"/>
    <w:link w:val="ContatgegevensvetChar"/>
    <w:uiPriority w:val="79"/>
    <w:semiHidden/>
    <w:qFormat/>
    <w:rsid w:val="00CE4D84"/>
    <w:rPr>
      <w:b w:val="0"/>
    </w:rPr>
  </w:style>
  <w:style w:customStyle="1" w:styleId="ContactgegevensSoilforLife" w:type="paragraph">
    <w:name w:val="Contactgegevens Soil for Life"/>
    <w:basedOn w:val="Contactgegevens"/>
    <w:autoRedefine/>
    <w:uiPriority w:val="79"/>
    <w:semiHidden/>
    <w:qFormat/>
    <w:rsid w:val="00CE4D84"/>
    <w:pPr>
      <w:spacing w:line="240" w:lineRule="auto"/>
      <w:jc w:val="left"/>
    </w:pPr>
    <w:rPr>
      <w:rFonts w:ascii="Raleway Medium" w:hAnsi="Raleway Medium"/>
      <w:sz w:val="36"/>
      <w:szCs w:val="36"/>
    </w:rPr>
  </w:style>
  <w:style w:customStyle="1" w:styleId="ContactgegevensChar" w:type="character">
    <w:name w:val="Contactgegevens Char"/>
    <w:basedOn w:val="Standaardalinea-lettertype"/>
    <w:link w:val="Contactgegevens"/>
    <w:uiPriority w:val="4"/>
    <w:rsid w:val="0026662F"/>
    <w:rPr>
      <w:rFonts w:ascii="Roboto Light" w:hAnsi="Roboto Light"/>
      <w:b/>
      <w:color w:themeColor="background1" w:val="F8F8F8"/>
      <w:sz w:val="20"/>
      <w:szCs w:val="20"/>
    </w:rPr>
  </w:style>
  <w:style w:customStyle="1" w:styleId="ContatgegevensvetChar" w:type="character">
    <w:name w:val="Contatgegevens vet Char"/>
    <w:basedOn w:val="ContactgegevensChar"/>
    <w:link w:val="Contatgegevensvet"/>
    <w:uiPriority w:val="79"/>
    <w:semiHidden/>
    <w:rsid w:val="00CE4D84"/>
    <w:rPr>
      <w:rFonts w:ascii="Roboto" w:hAnsi="Roboto"/>
      <w:b w:val="0"/>
      <w:color w:themeColor="background1" w:val="F8F8F8"/>
      <w:sz w:val="20"/>
      <w:szCs w:val="20"/>
    </w:rPr>
  </w:style>
  <w:style w:customStyle="1" w:styleId="Contactgegevensachterkant" w:type="paragraph">
    <w:name w:val="Contactgegevens achterkant"/>
    <w:basedOn w:val="Contactgegevens"/>
    <w:uiPriority w:val="79"/>
    <w:semiHidden/>
    <w:qFormat/>
    <w:rsid w:val="00CE4D84"/>
    <w:pPr>
      <w:jc w:val="left"/>
    </w:pPr>
  </w:style>
  <w:style w:styleId="Normaalweb" w:type="paragraph">
    <w:name w:val="Normal (Web)"/>
    <w:basedOn w:val="Standaard"/>
    <w:uiPriority w:val="99"/>
    <w:semiHidden/>
    <w:unhideWhenUsed/>
    <w:locked/>
    <w:rsid w:val="0085008D"/>
    <w:pPr>
      <w:spacing w:after="100" w:afterAutospacing="1" w:before="100" w:beforeAutospacing="1" w:line="240" w:lineRule="auto"/>
    </w:pPr>
    <w:rPr>
      <w:rFonts w:ascii="Times New Roman" w:cs="Times New Roman" w:eastAsia="Times New Roman" w:hAnsi="Times New Roman"/>
      <w:color w:val="auto"/>
      <w:sz w:val="24"/>
      <w:szCs w:val="24"/>
      <w:lang w:val="en-US"/>
    </w:rPr>
  </w:style>
  <w:style w:customStyle="1" w:styleId="NMIAgroTabelWit" w:type="table">
    <w:name w:val="NMI Agro Tabel Wit"/>
    <w:basedOn w:val="Standaardtabel"/>
    <w:uiPriority w:val="99"/>
    <w:rsid w:val="00E2524B"/>
    <w:pPr>
      <w:spacing w:line="240" w:lineRule="auto"/>
    </w:pPr>
    <w:rPr>
      <w:sz w:val="18"/>
    </w:rPr>
    <w:tblPr>
      <w:tblBorders>
        <w:bottom w:color="3B6B20" w:space="0" w:sz="4" w:val="single"/>
      </w:tblBorders>
      <w:tblCellMar>
        <w:top w:type="dxa" w:w="57"/>
        <w:bottom w:type="dxa" w:w="57"/>
      </w:tblCellMar>
    </w:tblPr>
    <w:tblStylePr w:type="firstRow">
      <w:rPr>
        <w:b w:val="0"/>
        <w:color w:themeColor="text1" w:val="111111"/>
        <w:sz w:val="18"/>
      </w:rPr>
      <w:tblPr/>
      <w:tcPr>
        <w:tcBorders>
          <w:top w:color="3B6B20" w:space="0" w:sz="4" w:val="single"/>
          <w:bottom w:color="3B6B20" w:space="0" w:sz="4" w:val="single"/>
        </w:tcBorders>
      </w:tcPr>
    </w:tblStylePr>
  </w:style>
  <w:style w:styleId="Verwijzingopmerking" w:type="character">
    <w:name w:val="annotation reference"/>
    <w:basedOn w:val="Standaardalinea-lettertype"/>
    <w:uiPriority w:val="99"/>
    <w:semiHidden/>
    <w:locked/>
    <w:rsid w:val="00BE660E"/>
    <w:rPr>
      <w:sz w:val="16"/>
      <w:szCs w:val="16"/>
    </w:rPr>
  </w:style>
  <w:style w:styleId="Tekstopmerking" w:type="paragraph">
    <w:name w:val="annotation text"/>
    <w:basedOn w:val="Standaard"/>
    <w:link w:val="TekstopmerkingChar"/>
    <w:uiPriority w:val="99"/>
    <w:semiHidden/>
    <w:locked/>
    <w:rsid w:val="00BE660E"/>
    <w:pPr>
      <w:spacing w:line="240" w:lineRule="auto"/>
    </w:pPr>
  </w:style>
  <w:style w:customStyle="1" w:styleId="TekstopmerkingChar" w:type="character">
    <w:name w:val="Tekst opmerking Char"/>
    <w:basedOn w:val="Standaardalinea-lettertype"/>
    <w:link w:val="Tekstopmerking"/>
    <w:uiPriority w:val="99"/>
    <w:semiHidden/>
    <w:rsid w:val="00BE660E"/>
    <w:rPr>
      <w:rFonts w:ascii="Roboto Light" w:hAnsi="Roboto Light"/>
      <w:color w:val="5A5A5A"/>
      <w:sz w:val="20"/>
      <w:szCs w:val="20"/>
    </w:rPr>
  </w:style>
  <w:style w:styleId="Onderwerpvanopmerking" w:type="paragraph">
    <w:name w:val="annotation subject"/>
    <w:basedOn w:val="Tekstopmerking"/>
    <w:next w:val="Tekstopmerking"/>
    <w:link w:val="OnderwerpvanopmerkingChar"/>
    <w:uiPriority w:val="99"/>
    <w:semiHidden/>
    <w:locked/>
    <w:rsid w:val="00BE660E"/>
    <w:rPr>
      <w:b/>
      <w:bCs/>
    </w:rPr>
  </w:style>
  <w:style w:customStyle="1" w:styleId="OnderwerpvanopmerkingChar" w:type="character">
    <w:name w:val="Onderwerp van opmerking Char"/>
    <w:basedOn w:val="TekstopmerkingChar"/>
    <w:link w:val="Onderwerpvanopmerking"/>
    <w:uiPriority w:val="99"/>
    <w:semiHidden/>
    <w:rsid w:val="00BE660E"/>
    <w:rPr>
      <w:rFonts w:ascii="Roboto Light" w:hAnsi="Roboto Light"/>
      <w:b/>
      <w:bCs/>
      <w:color w:val="5A5A5A"/>
      <w:sz w:val="20"/>
      <w:szCs w:val="20"/>
    </w:rPr>
  </w:style>
  <w:style w:styleId="Lijstalinea" w:type="paragraph">
    <w:name w:val="List Paragraph"/>
    <w:basedOn w:val="Standaard"/>
    <w:uiPriority w:val="99"/>
    <w:semiHidden/>
    <w:locked/>
    <w:rsid w:val="00BE660E"/>
    <w:pPr>
      <w:ind w:left="720"/>
      <w:contextualSpacing/>
    </w:pPr>
  </w:style>
  <w:style w:customStyle="1" w:styleId="Literatuurlijst" w:type="paragraph">
    <w:name w:val="Literatuurlijst"/>
    <w:basedOn w:val="Standaard"/>
    <w:uiPriority w:val="21"/>
    <w:qFormat/>
    <w:rsid w:val="00CE4D84"/>
    <w:pPr>
      <w:spacing w:after="0"/>
      <w:ind w:hanging="340" w:left="340"/>
    </w:pPr>
    <w:rPr>
      <w:rFonts w:cs="Times New Roman" w:eastAsia="Roboto"/>
      <w:lang w:val="en-US"/>
    </w:rPr>
  </w:style>
  <w:style w:styleId="Voetnoottekst" w:type="paragraph">
    <w:name w:val="footnote text"/>
    <w:basedOn w:val="Standaard"/>
    <w:link w:val="VoetnoottekstChar"/>
    <w:uiPriority w:val="99"/>
    <w:semiHidden/>
    <w:locked/>
    <w:rsid w:val="00004B47"/>
    <w:pPr>
      <w:spacing w:after="0" w:line="240" w:lineRule="auto"/>
    </w:pPr>
  </w:style>
  <w:style w:customStyle="1" w:styleId="VoetnoottekstChar" w:type="character">
    <w:name w:val="Voetnoottekst Char"/>
    <w:basedOn w:val="Standaardalinea-lettertype"/>
    <w:link w:val="Voetnoottekst"/>
    <w:uiPriority w:val="99"/>
    <w:semiHidden/>
    <w:rsid w:val="00004B47"/>
    <w:rPr>
      <w:rFonts w:ascii="Roboto" w:hAnsi="Roboto"/>
      <w:color w:val="3C3C3C"/>
      <w:sz w:val="20"/>
      <w:szCs w:val="20"/>
    </w:rPr>
  </w:style>
  <w:style w:styleId="Voetnootmarkering" w:type="character">
    <w:name w:val="footnote reference"/>
    <w:basedOn w:val="Standaardalinea-lettertype"/>
    <w:uiPriority w:val="99"/>
    <w:semiHidden/>
    <w:locked/>
    <w:rsid w:val="00004B47"/>
    <w:rPr>
      <w:vertAlign w:val="superscript"/>
    </w:rPr>
  </w:style>
  <w:style w:styleId="Eindnootmarkering" w:type="character">
    <w:name w:val="endnote reference"/>
    <w:basedOn w:val="Standaardalinea-lettertype"/>
    <w:uiPriority w:val="99"/>
    <w:semiHidden/>
    <w:locked/>
    <w:rsid w:val="00EE60F8"/>
    <w:rPr>
      <w:vertAlign w:val="superscript"/>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609902">
      <w:bodyDiv w:val="1"/>
      <w:marLeft w:val="0"/>
      <w:marRight w:val="0"/>
      <w:marTop w:val="0"/>
      <w:marBottom w:val="0"/>
      <w:divBdr>
        <w:top w:val="none" w:sz="0" w:space="0" w:color="auto"/>
        <w:left w:val="none" w:sz="0" w:space="0" w:color="auto"/>
        <w:bottom w:val="none" w:sz="0" w:space="0" w:color="auto"/>
        <w:right w:val="none" w:sz="0" w:space="0" w:color="auto"/>
      </w:divBdr>
    </w:div>
    <w:div w:id="856775333">
      <w:bodyDiv w:val="1"/>
      <w:marLeft w:val="0"/>
      <w:marRight w:val="0"/>
      <w:marTop w:val="0"/>
      <w:marBottom w:val="0"/>
      <w:divBdr>
        <w:top w:val="none" w:sz="0" w:space="0" w:color="auto"/>
        <w:left w:val="none" w:sz="0" w:space="0" w:color="auto"/>
        <w:bottom w:val="none" w:sz="0" w:space="0" w:color="auto"/>
        <w:right w:val="none" w:sz="0" w:space="0" w:color="auto"/>
      </w:divBdr>
    </w:div>
    <w:div w:id="1031763052">
      <w:bodyDiv w:val="1"/>
      <w:marLeft w:val="0"/>
      <w:marRight w:val="0"/>
      <w:marTop w:val="0"/>
      <w:marBottom w:val="0"/>
      <w:divBdr>
        <w:top w:val="none" w:sz="0" w:space="0" w:color="auto"/>
        <w:left w:val="none" w:sz="0" w:space="0" w:color="auto"/>
        <w:bottom w:val="none" w:sz="0" w:space="0" w:color="auto"/>
        <w:right w:val="none" w:sz="0" w:space="0" w:color="auto"/>
      </w:divBdr>
    </w:div>
    <w:div w:id="20244736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8" Target="numbering.xml" /><Relationship Type="http://schemas.openxmlformats.org/officeDocument/2006/relationships/styles" Id="rId27" Target="styles.xml" /><Relationship Type="http://schemas.openxmlformats.org/officeDocument/2006/relationships/settings" Id="rId26" Target="settings.xml" /><Relationship Type="http://schemas.openxmlformats.org/officeDocument/2006/relationships/webSettings" Id="rId25" Target="webSettings.xml" /><Relationship Type="http://schemas.openxmlformats.org/officeDocument/2006/relationships/fontTable" Id="rId24" Target="fontTable.xml" /><Relationship Type="http://schemas.openxmlformats.org/officeDocument/2006/relationships/theme" Id="rId23" Target="theme/theme1.xml" /><Relationship Type="http://schemas.openxmlformats.org/officeDocument/2006/relationships/footnotes" Id="rId22" Target="footnotes.xml" /><Relationship Type="http://schemas.openxmlformats.org/officeDocument/2006/relationships/comments" Id="rId21" Target="comments.xml" /><Relationship Id="rId13" Target="media/image2.png" Type="http://schemas.openxmlformats.org/officeDocument/2006/relationships/image" /><Relationship Id="rId12" Target="media/image1.jpeg" Type="http://schemas.openxmlformats.org/officeDocument/2006/relationships/image" /><Relationship Id="rId20" Target="footer2.xml" Type="http://schemas.openxmlformats.org/officeDocument/2006/relationships/footer" /><Relationship Id="rId19" Target="footer1.xml" Type="http://schemas.openxmlformats.org/officeDocument/2006/relationships/footer" /><Relationship Id="rId14" Target="media/image3.png" Type="http://schemas.openxmlformats.org/officeDocument/2006/relationships/image"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39" Target="media/rId39.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60" Target="media/rId60.png" /><Relationship Type="http://schemas.openxmlformats.org/officeDocument/2006/relationships/image" Id="rId54" Target="media/rId54.png" /><Relationship Type="http://schemas.openxmlformats.org/officeDocument/2006/relationships/image" Id="rId70" Target="media/rId70.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LauraMoria\NMI\NMI%20-%20Gedeelde%20documenten\Templates\NMI%20rapport%20template%20versie%202026_%202maart.dotx" TargetMode="External"/></Relationships>
</file>

<file path=word/theme/theme1.xml><?xml version="1.0" encoding="utf-8"?>
<a:theme xmlns:a="http://schemas.openxmlformats.org/drawingml/2006/main" name="Kantoorthema">
  <a:themeElements>
    <a:clrScheme name="NMI Agro template kleuren">
      <a:dk1>
        <a:srgbClr val="111111"/>
      </a:dk1>
      <a:lt1>
        <a:srgbClr val="F8F8F8"/>
      </a:lt1>
      <a:dk2>
        <a:srgbClr val="7CC144"/>
      </a:dk2>
      <a:lt2>
        <a:srgbClr val="3B6B20"/>
      </a:lt2>
      <a:accent1>
        <a:srgbClr val="3B6B20"/>
      </a:accent1>
      <a:accent2>
        <a:srgbClr val="33CCFF"/>
      </a:accent2>
      <a:accent3>
        <a:srgbClr val="FF6600"/>
      </a:accent3>
      <a:accent4>
        <a:srgbClr val="3333CC"/>
      </a:accent4>
      <a:accent5>
        <a:srgbClr val="7CC144"/>
      </a:accent5>
      <a:accent6>
        <a:srgbClr val="5E3700"/>
      </a:accent6>
      <a:hlink>
        <a:srgbClr val="0563C1"/>
      </a:hlink>
      <a:folHlink>
        <a:srgbClr val="954F72"/>
      </a:folHlink>
    </a:clrScheme>
    <a:fontScheme name="NMI Agro Lettertypes">
      <a:majorFont>
        <a:latin typeface="Raleway"/>
        <a:ea typeface=""/>
        <a:cs typeface=""/>
      </a:majorFont>
      <a:minorFont>
        <a:latin typeface="Roboto"/>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7CC144"/>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NMI rapport template versie 2026_ 2maart.dotx</Template>
  <TotalTime>0</TotalTime>
  <Pages>6</Pages>
  <Words>341</Words>
  <Characters>2144</Characters>
  <Application>Microsoft Office Word</Application>
  <DocSecurity>0</DocSecurity>
  <Lines>71</Lines>
  <Paragraphs>21</Paragraphs>
  <ScaleCrop>false</ScaleCrop>
  <HeadingPairs>
    <vt:vector size="6" baseType="variant">
      <vt:variant>
        <vt:lpstr>Titel</vt:lpstr>
      </vt:variant>
      <vt:variant>
        <vt:i4>1</vt:i4>
      </vt:variant>
      <vt:variant>
        <vt:lpstr>Title</vt:lpstr>
      </vt:variant>
      <vt:variant>
        <vt:i4>1</vt:i4>
      </vt:variant>
      <vt:variant>
        <vt:lpstr>Headings</vt:lpstr>
      </vt:variant>
      <vt:variant>
        <vt:i4>29</vt:i4>
      </vt:variant>
    </vt:vector>
  </HeadingPairs>
  <TitlesOfParts>
    <vt:vector size="31" baseType="lpstr">
      <vt:lpstr>NMI Agro Template voor publicaties</vt:lpstr>
      <vt:lpstr>NMI Agro Template voor publicaties</vt:lpstr>
      <vt:lpstr>Samenvatting en conclusies</vt:lpstr>
      <vt:lpstr>Voorbeeld voor rapport [Kop 1]</vt:lpstr>
      <vt:lpstr>    Voorbeeld kop nevieau 2 [Kop 2]</vt:lpstr>
      <vt:lpstr>        Voorbeeld kop niveau 3 [Kop 3]</vt:lpstr>
      <vt:lpstr>    Voorbeeld kop niveau 2 [Kop 2]</vt:lpstr>
      <vt:lpstr>        Nog een voorbeeld kop niveau 3 [Kop 3]</vt:lpstr>
      <vt:lpstr>        Wederom een voorbeeld kop niveau 3 [Kop 3]</vt:lpstr>
      <vt:lpstr>Koppen en algemene tekst</vt:lpstr>
      <vt:lpstr>    Koppen</vt:lpstr>
      <vt:lpstr>    Standaard tekst</vt:lpstr>
      <vt:lpstr>        Standaard</vt:lpstr>
      <vt:lpstr>        Standaard – znd space</vt:lpstr>
      <vt:lpstr>    Alineastijlen vs karakterstijlen</vt:lpstr>
      <vt:lpstr>        Karakterstijlen</vt:lpstr>
      <vt:lpstr>    Opsommingslijst met bullets </vt:lpstr>
      <vt:lpstr>    Opsommingslijst met nummers</vt:lpstr>
      <vt:lpstr>    Literatuur</vt:lpstr>
      <vt:lpstr>Grafieken</vt:lpstr>
      <vt:lpstr>Tabellen</vt:lpstr>
      <vt:lpstr>    Standaard tabel</vt:lpstr>
      <vt:lpstr>    Tabel aanpassen</vt:lpstr>
      <vt:lpstr>Lettertypes</vt:lpstr>
      <vt:lpstr>    Raleway</vt:lpstr>
      <vt:lpstr>    Roboto</vt:lpstr>
      <vt:lpstr>    Belangrijkste stijlen</vt:lpstr>
      <vt:lpstr>Kleurgebruik</vt:lpstr>
      <vt:lpstr>    Basiskleuren</vt:lpstr>
      <vt:lpstr>    Accent kleuren</vt:lpstr>
      <vt:lpstr>Voorblad en achterblad</vt:lpstr>
    </vt:vector>
  </TitlesOfParts>
  <Manager/>
  <Company>NMI Agro</Company>
  <LinksUpToDate>false</LinksUpToDate>
  <CharactersWithSpaces>2464</CharactersWithSpaces>
  <SharedDoc>false</SharedDoc>
  <HyperlinkBase>www.nmi-agro.nl</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Modellering VeeST: XGBoost, Random Forest en GAM</dc:title>
  <dc:creator/>
  <dc:language>nl</dc:language>
  <cp:keywords/>
  <dcterms:created xsi:type="dcterms:W3CDTF">2026-08-27T10:09:24Z</dcterms:created>
  <dcterms:modified xsi:type="dcterms:W3CDTF">2026-08-27T10:09:24Z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Inhoudsopgave</vt:lpwstr>
  </property>
</Properties>
</file>