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0C2F3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b/>
          <w:sz w:val="32"/>
          <w:szCs w:val="32"/>
          <w:lang w:val="bg-BG"/>
        </w:rPr>
        <w:t xml:space="preserve">                           Автоматика за секционни врати</w:t>
      </w:r>
      <w:r>
        <w:rPr>
          <w:rFonts w:ascii="Times New Roman" w:hAnsi="Times New Roman" w:cs="Times New Roman"/>
          <w:b/>
          <w:sz w:val="32"/>
          <w:szCs w:val="32"/>
          <w:lang w:val="bg-BG"/>
        </w:rPr>
        <w:br w:type="textWrapping"/>
      </w:r>
      <w:r>
        <w:rPr>
          <w:rFonts w:ascii="Times New Roman" w:hAnsi="Times New Roman" w:cs="Times New Roman"/>
          <w:b/>
          <w:sz w:val="32"/>
          <w:szCs w:val="32"/>
          <w:lang w:val="bg-BG"/>
        </w:rPr>
        <w:br w:type="textWrapping"/>
      </w:r>
      <w:r>
        <w:rPr>
          <w:rFonts w:ascii="Times New Roman" w:hAnsi="Times New Roman" w:cs="Times New Roman"/>
          <w:sz w:val="24"/>
          <w:szCs w:val="24"/>
          <w:lang w:val="bg-BG"/>
        </w:rPr>
        <w:t>Ролтех</w:t>
      </w:r>
      <w:r>
        <w:rPr>
          <w:rFonts w:hint="default" w:ascii="Times New Roman" w:hAnsi="Times New Roman" w:cs="Times New Roman"/>
          <w:sz w:val="24"/>
          <w:szCs w:val="24"/>
          <w:lang w:val="bg-BG"/>
        </w:rPr>
        <w:t xml:space="preserve"> ООД предлага на своите клиени висококачествена автоматика за гаражни и индустриални врати на водещият немски производител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Sommer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  <w:lang w:val="bg-BG"/>
        </w:rPr>
        <w:t>Производителността</w:t>
      </w:r>
      <w:r>
        <w:rPr>
          <w:rFonts w:hint="default" w:ascii="Times New Roman" w:hAnsi="Times New Roman" w:cs="Times New Roman"/>
          <w:sz w:val="24"/>
          <w:szCs w:val="24"/>
          <w:lang w:val="bg-BG"/>
        </w:rPr>
        <w:t xml:space="preserve"> и стандартите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bg-BG"/>
        </w:rPr>
        <w:t xml:space="preserve"> за качество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гаранират безпроблемния</w:t>
      </w:r>
      <w:r>
        <w:rPr>
          <w:rFonts w:hint="default" w:ascii="Times New Roman" w:hAnsi="Times New Roman" w:cs="Times New Roman"/>
          <w:sz w:val="24"/>
          <w:szCs w:val="24"/>
          <w:lang w:val="bg-BG"/>
        </w:rPr>
        <w:t xml:space="preserve"> и дълъг експлоатационен живот на задвижванията и управляващата автоматика</w:t>
      </w:r>
      <w:r>
        <w:rPr>
          <w:rFonts w:ascii="Times New Roman" w:hAnsi="Times New Roman" w:cs="Times New Roman"/>
          <w:sz w:val="24"/>
          <w:szCs w:val="24"/>
          <w:lang w:val="bg-BG"/>
        </w:rPr>
        <w:t>.</w:t>
      </w:r>
      <w:r>
        <w:rPr>
          <w:rFonts w:ascii="Times New Roman" w:hAnsi="Times New Roman" w:cs="Times New Roman"/>
          <w:sz w:val="24"/>
          <w:szCs w:val="24"/>
          <w:lang w:val="bg-BG"/>
        </w:rPr>
        <w:br w:type="textWrapping"/>
      </w:r>
      <w:r>
        <w:rPr>
          <w:rFonts w:ascii="Times New Roman" w:hAnsi="Times New Roman" w:cs="Times New Roman"/>
          <w:sz w:val="24"/>
          <w:szCs w:val="24"/>
          <w:lang w:val="bg-BG"/>
        </w:rPr>
        <w:t>Разнообразието</w:t>
      </w:r>
      <w:r>
        <w:rPr>
          <w:rFonts w:hint="default" w:ascii="Times New Roman" w:hAnsi="Times New Roman" w:cs="Times New Roman"/>
          <w:sz w:val="24"/>
          <w:szCs w:val="24"/>
          <w:lang w:val="bg-BG"/>
        </w:rPr>
        <w:t xml:space="preserve"> от типове задвижвания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покрива всички нужди и спецификации за задвижване на секционните врати  , било то </w:t>
      </w:r>
      <w:r>
        <w:rPr>
          <w:rFonts w:ascii="Times New Roman" w:hAnsi="Times New Roman" w:cs="Times New Roman"/>
          <w:b/>
          <w:sz w:val="24"/>
          <w:szCs w:val="24"/>
          <w:lang w:val="bg-BG"/>
        </w:rPr>
        <w:t>Индустриални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или </w:t>
      </w:r>
      <w:r>
        <w:rPr>
          <w:rFonts w:ascii="Times New Roman" w:hAnsi="Times New Roman" w:cs="Times New Roman"/>
          <w:b/>
          <w:sz w:val="24"/>
          <w:szCs w:val="24"/>
          <w:lang w:val="bg-BG"/>
        </w:rPr>
        <w:t>Гаражни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 (тук го направи като цъкнеш върху тях да те праща в категориите ) . </w:t>
      </w:r>
      <w:r>
        <w:rPr>
          <w:rFonts w:ascii="Times New Roman" w:hAnsi="Times New Roman" w:cs="Times New Roman"/>
          <w:sz w:val="24"/>
          <w:szCs w:val="24"/>
          <w:lang w:val="bg-BG"/>
        </w:rPr>
        <w:br w:type="textWrapping"/>
      </w:r>
      <w:r>
        <w:rPr>
          <w:rFonts w:ascii="Times New Roman" w:hAnsi="Times New Roman" w:cs="Times New Roman"/>
          <w:sz w:val="24"/>
          <w:szCs w:val="24"/>
          <w:lang w:val="bg-BG"/>
        </w:rPr>
        <w:t>Към механизмите се предлагат пълната</w:t>
      </w:r>
      <w:r>
        <w:rPr>
          <w:rFonts w:hint="default" w:ascii="Times New Roman" w:hAnsi="Times New Roman" w:cs="Times New Roman"/>
          <w:sz w:val="24"/>
          <w:szCs w:val="24"/>
          <w:lang w:val="bg-BG"/>
        </w:rPr>
        <w:t xml:space="preserve"> гама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аксесоари – фотоклетки , бутониери , приемници</w:t>
      </w:r>
      <w:r>
        <w:rPr>
          <w:rFonts w:hint="default" w:ascii="Times New Roman" w:hAnsi="Times New Roman" w:cs="Times New Roman"/>
          <w:sz w:val="24"/>
          <w:szCs w:val="24"/>
          <w:lang w:val="bg-BG"/>
        </w:rPr>
        <w:t xml:space="preserve"> и др.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. </w:t>
      </w:r>
      <w:r>
        <w:rPr>
          <w:rFonts w:ascii="Times New Roman" w:hAnsi="Times New Roman" w:cs="Times New Roman"/>
          <w:sz w:val="24"/>
          <w:szCs w:val="24"/>
          <w:lang w:val="bg-BG"/>
        </w:rPr>
        <w:br w:type="textWrapping"/>
      </w:r>
      <w:r>
        <w:rPr>
          <w:rFonts w:ascii="Times New Roman" w:hAnsi="Times New Roman" w:cs="Times New Roman"/>
          <w:sz w:val="24"/>
          <w:szCs w:val="24"/>
          <w:lang w:val="bg-BG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2313940" cy="1543050"/>
            <wp:effectExtent l="0" t="0" r="0" b="0"/>
            <wp:docPr id="1" name="Picture 0" descr="family-gigasedocmet-w-oblique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 descr="family-gigasedocmet-w-oblique-0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7853" cy="154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                </w:t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2000250" cy="1333500"/>
            <wp:effectExtent l="19050" t="0" r="0" b="0"/>
            <wp:docPr id="2" name="Picture 1" descr="family-sommerbaseplus-w-oblique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family-sommerbaseplus-w-oblique-01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569" cy="133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bg-BG"/>
        </w:rPr>
        <w:br w:type="textWrapping"/>
      </w:r>
      <w:r>
        <w:rPr>
          <w:rFonts w:ascii="Times New Roman" w:hAnsi="Times New Roman" w:cs="Times New Roman"/>
          <w:sz w:val="24"/>
          <w:szCs w:val="24"/>
          <w:lang w:val="bg-BG"/>
        </w:rPr>
        <w:br w:type="textWrapping"/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            </w:t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171190" cy="2114550"/>
            <wp:effectExtent l="0" t="0" r="0" b="0"/>
            <wp:docPr id="3" name="Picture 2" descr="family-sommerproplus-w-oblique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family-sommerproplus-w-oblique-01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2163" cy="211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bg-BG"/>
        </w:rPr>
        <w:br w:type="textWrapping"/>
      </w:r>
      <w:r>
        <w:rPr>
          <w:rFonts w:ascii="Times New Roman" w:hAnsi="Times New Roman" w:cs="Times New Roman"/>
          <w:sz w:val="24"/>
          <w:szCs w:val="24"/>
          <w:lang w:val="bg-BG"/>
        </w:rPr>
        <w:br w:type="textWrapping"/>
      </w:r>
      <w:r>
        <w:rPr>
          <w:rFonts w:ascii="Times New Roman" w:hAnsi="Times New Roman" w:cs="Times New Roman"/>
          <w:sz w:val="24"/>
          <w:szCs w:val="24"/>
          <w:lang w:val="bg-BG"/>
        </w:rPr>
        <w:br w:type="textWrapping"/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Основна за най – отгоре над текста </w:t>
      </w:r>
      <w:r>
        <w:rPr>
          <w:rFonts w:ascii="Times New Roman" w:hAnsi="Times New Roman" w:cs="Times New Roman"/>
          <w:sz w:val="24"/>
          <w:szCs w:val="24"/>
          <w:lang w:val="bg-BG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972810" cy="3215640"/>
            <wp:effectExtent l="19050" t="0" r="8890" b="0"/>
            <wp:docPr id="4" name="Picture 3" descr="SOMMER-Garage-Door-Openers-in-Melbourn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SOMMER-Garage-Door-Openers-in-Melbourne.jp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1D65BB"/>
    <w:rsid w:val="00046781"/>
    <w:rsid w:val="00160D8E"/>
    <w:rsid w:val="001D65BB"/>
    <w:rsid w:val="00D54D41"/>
    <w:rsid w:val="447E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5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101</Words>
  <Characters>581</Characters>
  <Lines>4</Lines>
  <Paragraphs>1</Paragraphs>
  <TotalTime>29</TotalTime>
  <ScaleCrop>false</ScaleCrop>
  <LinksUpToDate>false</LinksUpToDate>
  <CharactersWithSpaces>681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2025-09-02T08:09:00Z</dcterms:created>
  <dc:creator>r2-rtnk2</dc:creator>
  <cp:lastModifiedBy>Miro</cp:lastModifiedBy>
  <dcterms:modified xsi:type="dcterms:W3CDTF">2025-09-02T10:59:11Z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7C34CFBF35494C808A4A965C46DABC9B_12</vt:lpwstr>
  </property>
</Properties>
</file>