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302A31">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302A31">
      <w:pPr>
        <w:jc w:val="both"/>
        <w:rPr>
          <w:rFonts w:asciiTheme="minorHAnsi" w:hAnsiTheme="minorHAnsi" w:cstheme="minorHAnsi"/>
        </w:rPr>
      </w:pPr>
    </w:p>
    <w:p w14:paraId="0C8D574D" w14:textId="77777777" w:rsidR="007F732F" w:rsidRPr="004E6869" w:rsidRDefault="007F732F" w:rsidP="00302A31">
      <w:pPr>
        <w:jc w:val="both"/>
        <w:rPr>
          <w:rFonts w:asciiTheme="minorHAnsi" w:hAnsiTheme="minorHAnsi" w:cstheme="minorHAnsi"/>
        </w:rPr>
      </w:pPr>
    </w:p>
    <w:p w14:paraId="255AE99C" w14:textId="77777777" w:rsidR="007F732F" w:rsidRPr="004E6869" w:rsidRDefault="007F732F" w:rsidP="008A6A1C">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8A6A1C">
      <w:pPr>
        <w:jc w:val="center"/>
        <w:rPr>
          <w:rFonts w:asciiTheme="minorHAnsi" w:hAnsiTheme="minorHAnsi" w:cstheme="minorHAnsi"/>
          <w:b/>
          <w:sz w:val="52"/>
        </w:rPr>
      </w:pPr>
    </w:p>
    <w:p w14:paraId="1DBF1F22" w14:textId="77777777" w:rsidR="007F732F" w:rsidRPr="004E6869" w:rsidRDefault="007F732F" w:rsidP="008A6A1C">
      <w:pPr>
        <w:jc w:val="center"/>
        <w:rPr>
          <w:rFonts w:asciiTheme="minorHAnsi" w:hAnsiTheme="minorHAnsi" w:cstheme="minorHAnsi"/>
          <w:b/>
          <w:sz w:val="52"/>
        </w:rPr>
      </w:pPr>
    </w:p>
    <w:p w14:paraId="481A0C48" w14:textId="77777777" w:rsidR="003E3066" w:rsidRPr="003E3066" w:rsidRDefault="00EB1A53" w:rsidP="008A6A1C">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8A6A1C">
      <w:pPr>
        <w:jc w:val="center"/>
        <w:rPr>
          <w:rFonts w:asciiTheme="minorHAnsi" w:hAnsiTheme="minorHAnsi" w:cstheme="minorHAnsi"/>
          <w:b/>
          <w:sz w:val="28"/>
          <w:szCs w:val="28"/>
        </w:rPr>
      </w:pPr>
    </w:p>
    <w:p w14:paraId="3E0EA50B" w14:textId="77777777" w:rsidR="007F732F" w:rsidRPr="004E6869" w:rsidRDefault="007F732F" w:rsidP="008A6A1C">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8A6A1C">
      <w:pPr>
        <w:jc w:val="center"/>
        <w:rPr>
          <w:rFonts w:asciiTheme="minorHAnsi" w:hAnsiTheme="minorHAnsi" w:cstheme="minorHAnsi"/>
          <w:b/>
          <w:sz w:val="32"/>
        </w:rPr>
      </w:pPr>
    </w:p>
    <w:p w14:paraId="3CB51B3B" w14:textId="77777777" w:rsidR="007F732F" w:rsidRPr="004E6869" w:rsidRDefault="007F732F" w:rsidP="008A6A1C">
      <w:pPr>
        <w:jc w:val="center"/>
        <w:rPr>
          <w:rFonts w:asciiTheme="minorHAnsi" w:hAnsiTheme="minorHAnsi" w:cstheme="minorHAnsi"/>
          <w:b/>
          <w:sz w:val="32"/>
        </w:rPr>
      </w:pPr>
    </w:p>
    <w:p w14:paraId="0AE27C74" w14:textId="7A33DCB6" w:rsidR="004E6869" w:rsidRDefault="00EB1A53" w:rsidP="008A6A1C">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8A6A1C">
      <w:pPr>
        <w:jc w:val="center"/>
        <w:rPr>
          <w:rFonts w:asciiTheme="minorHAnsi" w:hAnsiTheme="minorHAnsi" w:cstheme="minorHAnsi"/>
          <w:b/>
          <w:sz w:val="52"/>
        </w:rPr>
      </w:pPr>
    </w:p>
    <w:p w14:paraId="3491D969" w14:textId="77777777" w:rsidR="004E6869" w:rsidRPr="004E6869" w:rsidRDefault="004E6869" w:rsidP="008A6A1C">
      <w:pPr>
        <w:jc w:val="center"/>
        <w:rPr>
          <w:rFonts w:asciiTheme="minorHAnsi" w:hAnsiTheme="minorHAnsi" w:cstheme="minorHAnsi"/>
          <w:b/>
          <w:sz w:val="52"/>
        </w:rPr>
      </w:pPr>
    </w:p>
    <w:p w14:paraId="5A4E72A0" w14:textId="77777777" w:rsidR="004E6869" w:rsidRPr="004E6869" w:rsidRDefault="004E6869" w:rsidP="008A6A1C">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8A6A1C">
      <w:pPr>
        <w:jc w:val="center"/>
        <w:rPr>
          <w:rFonts w:asciiTheme="minorHAnsi" w:hAnsiTheme="minorHAnsi" w:cstheme="minorHAnsi"/>
          <w:b/>
          <w:sz w:val="48"/>
        </w:rPr>
      </w:pPr>
    </w:p>
    <w:p w14:paraId="5074C995" w14:textId="77777777" w:rsidR="003E3066" w:rsidRPr="004E6869" w:rsidRDefault="003E3066" w:rsidP="008A6A1C">
      <w:pPr>
        <w:jc w:val="center"/>
        <w:rPr>
          <w:rFonts w:asciiTheme="minorHAnsi" w:hAnsiTheme="minorHAnsi" w:cstheme="minorHAnsi"/>
          <w:b/>
          <w:sz w:val="48"/>
        </w:rPr>
      </w:pPr>
    </w:p>
    <w:p w14:paraId="2B662735" w14:textId="77777777" w:rsidR="004E6869" w:rsidRPr="004E6869" w:rsidRDefault="004E6869" w:rsidP="008A6A1C">
      <w:pPr>
        <w:jc w:val="center"/>
        <w:rPr>
          <w:rFonts w:asciiTheme="minorHAnsi" w:hAnsiTheme="minorHAnsi" w:cstheme="minorHAnsi"/>
          <w:b/>
          <w:sz w:val="48"/>
        </w:rPr>
      </w:pPr>
    </w:p>
    <w:p w14:paraId="08FADA13" w14:textId="77777777" w:rsidR="004E6869" w:rsidRPr="004E6869" w:rsidRDefault="004E6869" w:rsidP="008A6A1C">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302A31">
      <w:pPr>
        <w:jc w:val="both"/>
        <w:rPr>
          <w:rFonts w:ascii="Arial" w:hAnsi="Arial" w:cs="Arial"/>
          <w:b/>
          <w:sz w:val="32"/>
        </w:rPr>
      </w:pPr>
    </w:p>
    <w:p w14:paraId="2398CA9D"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302A31">
      <w:pPr>
        <w:autoSpaceDE w:val="0"/>
        <w:autoSpaceDN w:val="0"/>
        <w:adjustRightInd w:val="0"/>
        <w:jc w:val="both"/>
        <w:rPr>
          <w:rFonts w:asciiTheme="minorHAnsi" w:hAnsiTheme="minorHAnsi" w:cstheme="minorHAnsi"/>
        </w:rPr>
      </w:pPr>
    </w:p>
    <w:p w14:paraId="4E403C49" w14:textId="77777777" w:rsidR="004E6869" w:rsidRPr="004E6869" w:rsidRDefault="004E6869" w:rsidP="00302A31">
      <w:pPr>
        <w:autoSpaceDE w:val="0"/>
        <w:autoSpaceDN w:val="0"/>
        <w:adjustRightInd w:val="0"/>
        <w:jc w:val="both"/>
        <w:rPr>
          <w:rFonts w:asciiTheme="minorHAnsi" w:hAnsiTheme="minorHAnsi" w:cstheme="minorHAnsi"/>
        </w:rPr>
      </w:pPr>
    </w:p>
    <w:p w14:paraId="1155AA38" w14:textId="77777777" w:rsidR="004E6869" w:rsidRPr="004E6869" w:rsidRDefault="004E6869" w:rsidP="00302A31">
      <w:pPr>
        <w:autoSpaceDE w:val="0"/>
        <w:autoSpaceDN w:val="0"/>
        <w:adjustRightInd w:val="0"/>
        <w:jc w:val="both"/>
        <w:rPr>
          <w:rFonts w:asciiTheme="minorHAnsi" w:hAnsiTheme="minorHAnsi" w:cstheme="minorHAnsi"/>
        </w:rPr>
      </w:pPr>
    </w:p>
    <w:p w14:paraId="1E6FD6D3" w14:textId="77777777" w:rsidR="004E6869" w:rsidRPr="004E6869" w:rsidRDefault="004E6869" w:rsidP="00302A31">
      <w:pPr>
        <w:autoSpaceDE w:val="0"/>
        <w:autoSpaceDN w:val="0"/>
        <w:adjustRightInd w:val="0"/>
        <w:jc w:val="both"/>
        <w:rPr>
          <w:rFonts w:asciiTheme="minorHAnsi" w:hAnsiTheme="minorHAnsi" w:cstheme="minorHAnsi"/>
        </w:rPr>
      </w:pPr>
    </w:p>
    <w:p w14:paraId="43912422"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302A31">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302A31">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302A31">
      <w:pPr>
        <w:jc w:val="both"/>
        <w:rPr>
          <w:rFonts w:asciiTheme="minorHAnsi" w:hAnsiTheme="minorHAnsi" w:cstheme="minorHAnsi"/>
          <w:b/>
          <w:sz w:val="28"/>
        </w:rPr>
      </w:pPr>
    </w:p>
    <w:p w14:paraId="56F00FB9" w14:textId="77777777" w:rsidR="00EB1A53" w:rsidRDefault="00EB1A53" w:rsidP="00302A31">
      <w:pPr>
        <w:jc w:val="both"/>
        <w:rPr>
          <w:rFonts w:asciiTheme="minorHAnsi" w:hAnsiTheme="minorHAnsi" w:cstheme="minorHAnsi"/>
          <w:b/>
          <w:sz w:val="28"/>
        </w:rPr>
      </w:pPr>
    </w:p>
    <w:p w14:paraId="52981003" w14:textId="77777777" w:rsidR="00EB1A53" w:rsidRDefault="00EB1A53" w:rsidP="00302A31">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302A31">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302A31">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302A31">
      <w:pPr>
        <w:jc w:val="both"/>
      </w:pPr>
    </w:p>
    <w:p w14:paraId="11EFF6A6" w14:textId="77777777" w:rsidR="00EB1A53" w:rsidRDefault="00EB1A53" w:rsidP="00302A31">
      <w:pPr>
        <w:jc w:val="both"/>
      </w:pPr>
    </w:p>
    <w:p w14:paraId="3DD6009E" w14:textId="77777777" w:rsidR="00EB1A53" w:rsidRDefault="00EB1A53" w:rsidP="00302A31">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2A31">
      <w:pPr>
        <w:jc w:val="both"/>
        <w:rPr>
          <w:rFonts w:asciiTheme="minorHAnsi" w:hAnsiTheme="minorHAnsi" w:cstheme="minorHAnsi"/>
        </w:rPr>
      </w:pPr>
    </w:p>
    <w:p w14:paraId="6CFDF141" w14:textId="77777777" w:rsidR="00EB1A53" w:rsidRDefault="00EB1A53" w:rsidP="00302A31">
      <w:pPr>
        <w:jc w:val="both"/>
        <w:rPr>
          <w:rFonts w:asciiTheme="minorHAnsi" w:hAnsiTheme="minorHAnsi" w:cstheme="minorHAnsi"/>
        </w:rPr>
      </w:pPr>
    </w:p>
    <w:p w14:paraId="651D3CA7" w14:textId="77777777" w:rsidR="006A4E34" w:rsidRDefault="006A4E34" w:rsidP="00302A31">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302A31">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302A31">
      <w:pPr>
        <w:jc w:val="both"/>
      </w:pPr>
    </w:p>
    <w:p w14:paraId="15AB9725" w14:textId="77777777" w:rsidR="00FC33EE" w:rsidRDefault="00FC33EE" w:rsidP="00302A31">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302A31">
      <w:pPr>
        <w:jc w:val="both"/>
        <w:rPr>
          <w:b/>
          <w:i/>
        </w:rPr>
      </w:pPr>
    </w:p>
    <w:p w14:paraId="013BFDEB" w14:textId="77777777" w:rsidR="00FC33EE" w:rsidRDefault="00FC33EE" w:rsidP="00302A31">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 typu I) i macierz </w:t>
      </w:r>
      <w:proofErr w:type="spellStart"/>
      <w:r>
        <w:t>zlozona</w:t>
      </w:r>
      <w:proofErr w:type="spellEnd"/>
      <w:r>
        <w:t xml:space="preserve"> z </w:t>
      </w:r>
      <w:proofErr w:type="spellStart"/>
      <w:r>
        <w:t>proteoglikanow</w:t>
      </w:r>
      <w:proofErr w:type="spellEnd"/>
      <w:r w:rsidR="003E413F">
        <w:rPr>
          <w:rStyle w:val="FootnoteReference"/>
        </w:rPr>
        <w:footnoteReference w:id="1"/>
      </w:r>
      <w:r>
        <w:t xml:space="preserve"> (</w:t>
      </w:r>
      <w:proofErr w:type="spellStart"/>
      <w:r>
        <w:t>glownie</w:t>
      </w:r>
      <w:proofErr w:type="spellEnd"/>
      <w:r>
        <w:t xml:space="preserve"> </w:t>
      </w:r>
      <w:proofErr w:type="spellStart"/>
      <w:r>
        <w:t>dekoryn</w:t>
      </w:r>
      <w:proofErr w:type="spellEnd"/>
      <w:r w:rsidR="003E413F">
        <w:rPr>
          <w:rStyle w:val="FootnoteReference"/>
        </w:rPr>
        <w:footnoteReference w:id="2"/>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3"/>
      </w:r>
      <w:r>
        <w:t xml:space="preserve"> i </w:t>
      </w:r>
      <w:proofErr w:type="spellStart"/>
      <w:r>
        <w:t>osteokalcyny</w:t>
      </w:r>
      <w:proofErr w:type="spellEnd"/>
      <w:r>
        <w:rPr>
          <w:rStyle w:val="FootnoteReference"/>
        </w:rPr>
        <w:footnoteReference w:id="4"/>
      </w:r>
      <w:r>
        <w:t xml:space="preserve">, </w:t>
      </w:r>
      <w:proofErr w:type="spellStart"/>
      <w:r>
        <w:t>fosfoprotein</w:t>
      </w:r>
      <w:proofErr w:type="spellEnd"/>
      <w:r>
        <w:t xml:space="preserve"> (</w:t>
      </w:r>
      <w:proofErr w:type="spellStart"/>
      <w:r>
        <w:t>osteopontyna</w:t>
      </w:r>
      <w:proofErr w:type="spellEnd"/>
      <w:r>
        <w:rPr>
          <w:rStyle w:val="FootnoteReference"/>
        </w:rPr>
        <w:footnoteReference w:id="5"/>
      </w:r>
      <w:r>
        <w:t xml:space="preserve">), </w:t>
      </w:r>
      <w:proofErr w:type="spellStart"/>
      <w:r>
        <w:t>sialoprotein</w:t>
      </w:r>
      <w:proofErr w:type="spellEnd"/>
      <w:r>
        <w:rPr>
          <w:rStyle w:val="FootnoteReference"/>
        </w:rPr>
        <w:footnoteReference w:id="6"/>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302A31">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7"/>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302A31">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8"/>
      </w:r>
      <w:r>
        <w:t xml:space="preserve"> wykazują </w:t>
      </w:r>
      <w:proofErr w:type="spellStart"/>
      <w:r>
        <w:t>dwojlomnosc</w:t>
      </w:r>
      <w:proofErr w:type="spellEnd"/>
      <w:r>
        <w:rPr>
          <w:rStyle w:val="FootnoteReference"/>
        </w:rPr>
        <w:footnoteReference w:id="9"/>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302A31">
      <w:pPr>
        <w:jc w:val="both"/>
      </w:pPr>
    </w:p>
    <w:p w14:paraId="0B0DC6C3" w14:textId="77777777" w:rsidR="00FC33EE" w:rsidRDefault="00FC33EE" w:rsidP="00302A31">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302A31">
      <w:pPr>
        <w:jc w:val="both"/>
      </w:pPr>
    </w:p>
    <w:p w14:paraId="430A01BD" w14:textId="3D593D31" w:rsidR="00FC33EE" w:rsidRDefault="00FC33EE" w:rsidP="00302A31">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0"/>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302A31">
      <w:pPr>
        <w:jc w:val="both"/>
      </w:pPr>
    </w:p>
    <w:p w14:paraId="5AE13D69" w14:textId="0E7B871C" w:rsidR="00FC33EE" w:rsidRDefault="00FC33EE" w:rsidP="00302A31">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302A31">
      <w:pPr>
        <w:jc w:val="both"/>
      </w:pPr>
      <w:r>
        <w:tab/>
        <w:t>Czynność osteoblastów (ich rekrutacje i aktywność wydzielnicza) stymulują hormony: parathormon</w:t>
      </w:r>
      <w:r w:rsidR="000B3644">
        <w:rPr>
          <w:rStyle w:val="FootnoteReference"/>
        </w:rPr>
        <w:footnoteReference w:id="11"/>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2"/>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302A31">
      <w:pPr>
        <w:jc w:val="both"/>
      </w:pPr>
    </w:p>
    <w:p w14:paraId="5C314F4B" w14:textId="736CABC8" w:rsidR="00BB2E29" w:rsidRDefault="00BB2E29" w:rsidP="00302A31">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3"/>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302A31">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302A31">
      <w:pPr>
        <w:jc w:val="both"/>
      </w:pPr>
    </w:p>
    <w:p w14:paraId="0DFDD3F8" w14:textId="77777777" w:rsidR="00FC33EE" w:rsidRDefault="00FC33EE" w:rsidP="00302A31">
      <w:pPr>
        <w:jc w:val="both"/>
      </w:pPr>
    </w:p>
    <w:p w14:paraId="5DB97702" w14:textId="77777777" w:rsidR="00FC33EE" w:rsidRDefault="00FC33EE" w:rsidP="00302A31">
      <w:pPr>
        <w:jc w:val="both"/>
      </w:pPr>
      <w:r>
        <w:rPr>
          <w:noProof/>
          <w:lang w:val="en-US"/>
        </w:rPr>
        <w:lastRenderedPageBreak/>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302A31">
      <w:pPr>
        <w:pStyle w:val="Caption"/>
        <w:jc w:val="both"/>
      </w:pPr>
      <w:r>
        <w:t xml:space="preserve">Rysunek </w:t>
      </w:r>
      <w:fldSimple w:instr=" SEQ Rysunek \* ARABIC ">
        <w:r w:rsidR="00FB502E">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302A31">
      <w:pPr>
        <w:jc w:val="both"/>
      </w:pPr>
      <w:r>
        <w:rPr>
          <w:b/>
          <w:i/>
        </w:rPr>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302A31">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4"/>
      </w:r>
      <w:r w:rsidR="00302A31">
        <w:t>;</w:t>
      </w:r>
    </w:p>
    <w:p w14:paraId="2E828F4C" w14:textId="45795BE2" w:rsidR="00052153" w:rsidRDefault="00302A31" w:rsidP="00302A31">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5"/>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w:t>
      </w:r>
      <w:r>
        <w:lastRenderedPageBreak/>
        <w:t xml:space="preserve">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302A31">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302A31">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302A31">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6"/>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302A31">
      <w:pPr>
        <w:pStyle w:val="Heading1"/>
        <w:numPr>
          <w:ilvl w:val="1"/>
          <w:numId w:val="2"/>
        </w:numPr>
        <w:jc w:val="both"/>
        <w:rPr>
          <w:rFonts w:cstheme="minorHAnsi"/>
        </w:rPr>
      </w:pPr>
      <w:r>
        <w:rPr>
          <w:rFonts w:cstheme="minorHAnsi"/>
        </w:rPr>
        <w:t>Istota zbita</w:t>
      </w:r>
    </w:p>
    <w:p w14:paraId="5C659A1A" w14:textId="31CA50A4" w:rsidR="006A4E34" w:rsidRDefault="009B7C09" w:rsidP="00302A31">
      <w:pPr>
        <w:jc w:val="both"/>
      </w:pPr>
      <w:r>
        <w:t xml:space="preserve">Tworzy trzony </w:t>
      </w:r>
      <w:proofErr w:type="spellStart"/>
      <w:r>
        <w:t>kosci</w:t>
      </w:r>
      <w:proofErr w:type="spellEnd"/>
      <w:r>
        <w:t xml:space="preserve"> długich i stanowi </w:t>
      </w:r>
      <w:proofErr w:type="spellStart"/>
      <w:r>
        <w:t>zewnetrzna</w:t>
      </w:r>
      <w:proofErr w:type="spellEnd"/>
      <w:r>
        <w:t xml:space="preserve"> warstwę nasad oraz wszystkich </w:t>
      </w:r>
      <w:proofErr w:type="spellStart"/>
      <w:r>
        <w:t>kosci</w:t>
      </w:r>
      <w:proofErr w:type="spellEnd"/>
      <w:r>
        <w:t xml:space="preserve"> płaskich. Większość blaszek </w:t>
      </w:r>
      <w:proofErr w:type="spellStart"/>
      <w:r>
        <w:t>kosci</w:t>
      </w:r>
      <w:proofErr w:type="spellEnd"/>
      <w:r>
        <w:t xml:space="preserve"> zbitej układa się koncentrycznie wokół </w:t>
      </w:r>
      <w:proofErr w:type="spellStart"/>
      <w:r>
        <w:t>kanalow</w:t>
      </w:r>
      <w:proofErr w:type="spellEnd"/>
      <w:r>
        <w:t xml:space="preserve"> naczyniowych, tworząc osteony (systemy </w:t>
      </w:r>
      <w:proofErr w:type="spellStart"/>
      <w:r>
        <w:t>Haversa</w:t>
      </w:r>
      <w:proofErr w:type="spellEnd"/>
      <w:r>
        <w:t xml:space="preserve">). Osteony </w:t>
      </w:r>
      <w:proofErr w:type="spellStart"/>
      <w:r>
        <w:t>ulozone</w:t>
      </w:r>
      <w:proofErr w:type="spellEnd"/>
      <w:r>
        <w:t xml:space="preserve"> </w:t>
      </w:r>
      <w:proofErr w:type="spellStart"/>
      <w:r>
        <w:t>sa</w:t>
      </w:r>
      <w:proofErr w:type="spellEnd"/>
      <w:r>
        <w:t xml:space="preserve"> swa osia </w:t>
      </w:r>
      <w:proofErr w:type="spellStart"/>
      <w:r>
        <w:t>dluga</w:t>
      </w:r>
      <w:proofErr w:type="spellEnd"/>
      <w:r>
        <w:t xml:space="preserve"> zgodnie z osia </w:t>
      </w:r>
      <w:proofErr w:type="spellStart"/>
      <w:r>
        <w:t>dluga</w:t>
      </w:r>
      <w:proofErr w:type="spellEnd"/>
      <w:r>
        <w:t xml:space="preserve"> </w:t>
      </w:r>
      <w:proofErr w:type="spellStart"/>
      <w:r>
        <w:t>kosci</w:t>
      </w:r>
      <w:proofErr w:type="spellEnd"/>
      <w:r>
        <w:t xml:space="preserve"> i maja </w:t>
      </w:r>
      <w:proofErr w:type="spellStart"/>
      <w:r>
        <w:t>postac</w:t>
      </w:r>
      <w:proofErr w:type="spellEnd"/>
      <w:r>
        <w:t xml:space="preserve"> </w:t>
      </w:r>
      <w:proofErr w:type="spellStart"/>
      <w:r>
        <w:t>walcow</w:t>
      </w:r>
      <w:proofErr w:type="spellEnd"/>
      <w:r>
        <w:t xml:space="preserve"> o </w:t>
      </w:r>
      <w:proofErr w:type="spellStart"/>
      <w:r>
        <w:t>dlugosci</w:t>
      </w:r>
      <w:proofErr w:type="spellEnd"/>
      <w:r>
        <w:t xml:space="preserve"> od kilku mm </w:t>
      </w:r>
      <w:r w:rsidR="00FB2E5C">
        <w:t>do 2-3cm (</w:t>
      </w:r>
      <w:proofErr w:type="spellStart"/>
      <w:r w:rsidR="00FB2E5C">
        <w:t>zaleznie</w:t>
      </w:r>
      <w:proofErr w:type="spellEnd"/>
      <w:r w:rsidR="00FB2E5C">
        <w:t xml:space="preserve"> od </w:t>
      </w:r>
      <w:proofErr w:type="spellStart"/>
      <w:r w:rsidR="00FB2E5C">
        <w:t>dlugosci</w:t>
      </w:r>
      <w:proofErr w:type="spellEnd"/>
      <w:r w:rsidR="00FB2E5C">
        <w:t xml:space="preserve"> naczynia biegnącego w kanale). </w:t>
      </w:r>
      <w:proofErr w:type="spellStart"/>
      <w:r w:rsidR="00FB2E5C">
        <w:t>Srednica</w:t>
      </w:r>
      <w:proofErr w:type="spellEnd"/>
      <w:r w:rsidR="00FB2E5C">
        <w:t xml:space="preserve"> osteonu wynosi 100-300um i zależy od średnicy </w:t>
      </w:r>
      <w:proofErr w:type="spellStart"/>
      <w:r w:rsidR="00FB2E5C">
        <w:t>kanalu</w:t>
      </w:r>
      <w:proofErr w:type="spellEnd"/>
      <w:r w:rsidR="00FB2E5C">
        <w:t xml:space="preserve"> (20-100um) oraz ilości otaczających go blaszek (zazwyczaj 6-15). Kolejne blaszki </w:t>
      </w:r>
      <w:proofErr w:type="spellStart"/>
      <w:r w:rsidR="00FB2E5C">
        <w:t>sa</w:t>
      </w:r>
      <w:proofErr w:type="spellEnd"/>
      <w:r w:rsidR="00FB2E5C">
        <w:t xml:space="preserve"> typu gęstego i luźnego; w tych ostatnich </w:t>
      </w:r>
      <w:proofErr w:type="spellStart"/>
      <w:r w:rsidR="00FB2E5C">
        <w:t>znajduja</w:t>
      </w:r>
      <w:proofErr w:type="spellEnd"/>
      <w:r w:rsidR="00FB2E5C">
        <w:t xml:space="preserve"> się jamki, natomiast przez blaszki </w:t>
      </w:r>
      <w:proofErr w:type="spellStart"/>
      <w:r w:rsidR="00FB2E5C">
        <w:t>geste</w:t>
      </w:r>
      <w:proofErr w:type="spellEnd"/>
      <w:r w:rsidR="00FB2E5C">
        <w:t xml:space="preserve"> przechodzą </w:t>
      </w:r>
      <w:proofErr w:type="spellStart"/>
      <w:r w:rsidR="00FB2E5C">
        <w:t>laczace</w:t>
      </w:r>
      <w:proofErr w:type="spellEnd"/>
      <w:r w:rsidR="00FB2E5C">
        <w:t xml:space="preserve"> je kanaliki</w:t>
      </w:r>
      <w:r w:rsidR="00994C76">
        <w:t xml:space="preserve">. Powstaje w ten sposób system komunikacyjny </w:t>
      </w:r>
      <w:proofErr w:type="spellStart"/>
      <w:r w:rsidR="00994C76">
        <w:t>umozliwiajacy</w:t>
      </w:r>
      <w:proofErr w:type="spellEnd"/>
      <w:r w:rsidR="00994C76">
        <w:t xml:space="preserve"> </w:t>
      </w:r>
      <w:proofErr w:type="spellStart"/>
      <w:r w:rsidR="00994C76">
        <w:t>przepkyw</w:t>
      </w:r>
      <w:proofErr w:type="spellEnd"/>
      <w:r w:rsidR="00994C76">
        <w:t xml:space="preserve"> metabolitów od </w:t>
      </w:r>
      <w:proofErr w:type="spellStart"/>
      <w:r w:rsidR="00994C76">
        <w:t>kanalow</w:t>
      </w:r>
      <w:proofErr w:type="spellEnd"/>
      <w:r w:rsidR="00994C76">
        <w:t xml:space="preserve"> </w:t>
      </w:r>
      <w:proofErr w:type="spellStart"/>
      <w:r w:rsidR="00994C76">
        <w:t>Haversa</w:t>
      </w:r>
      <w:proofErr w:type="spellEnd"/>
      <w:r w:rsidR="00994C76">
        <w:t xml:space="preserve">, a </w:t>
      </w:r>
      <w:proofErr w:type="spellStart"/>
      <w:r w:rsidR="00994C76">
        <w:t>scislej</w:t>
      </w:r>
      <w:proofErr w:type="spellEnd"/>
      <w:r w:rsidR="00994C76">
        <w:t xml:space="preserve"> od przebiegającego w nim naczynia, od obwodowych części osteonu. W jamkach zlokalizowane </w:t>
      </w:r>
      <w:proofErr w:type="spellStart"/>
      <w:r w:rsidR="00994C76">
        <w:t>sa</w:t>
      </w:r>
      <w:proofErr w:type="spellEnd"/>
      <w:r w:rsidR="00994C76">
        <w:t xml:space="preserve"> osteocyty, a w kanalikach </w:t>
      </w:r>
      <w:proofErr w:type="spellStart"/>
      <w:r w:rsidR="00994C76">
        <w:t>laczace</w:t>
      </w:r>
      <w:proofErr w:type="spellEnd"/>
      <w:r w:rsidR="00994C76">
        <w:t xml:space="preserve"> je wypustki.</w:t>
      </w:r>
    </w:p>
    <w:p w14:paraId="002BF7B3" w14:textId="5CE1C94D" w:rsidR="00994C76" w:rsidRDefault="00994C76" w:rsidP="00302A31">
      <w:pPr>
        <w:jc w:val="both"/>
      </w:pPr>
      <w:proofErr w:type="spellStart"/>
      <w:r>
        <w:t>Oprocz</w:t>
      </w:r>
      <w:proofErr w:type="spellEnd"/>
      <w:r>
        <w:t xml:space="preserve"> blaszek systemowych tworzących osteony w </w:t>
      </w:r>
      <w:proofErr w:type="spellStart"/>
      <w:r>
        <w:t>kosci</w:t>
      </w:r>
      <w:proofErr w:type="spellEnd"/>
      <w:r>
        <w:t xml:space="preserve"> zbitej </w:t>
      </w:r>
      <w:proofErr w:type="spellStart"/>
      <w:r>
        <w:t>wystepuja</w:t>
      </w:r>
      <w:proofErr w:type="spellEnd"/>
      <w:r>
        <w:t>:</w:t>
      </w:r>
    </w:p>
    <w:p w14:paraId="56858F92" w14:textId="69A3DB04" w:rsidR="00994C76" w:rsidRDefault="00994C76" w:rsidP="00994C76">
      <w:pPr>
        <w:pStyle w:val="ListParagraph"/>
        <w:numPr>
          <w:ilvl w:val="0"/>
          <w:numId w:val="39"/>
        </w:numPr>
        <w:jc w:val="both"/>
      </w:pPr>
      <w:r>
        <w:t xml:space="preserve">blaszki międzysystemowe, które </w:t>
      </w:r>
      <w:proofErr w:type="spellStart"/>
      <w:r>
        <w:t>wypelniaja</w:t>
      </w:r>
      <w:proofErr w:type="spellEnd"/>
      <w:r>
        <w:t xml:space="preserve"> przestrzenie miedzy osteonami i powstają w wyniku stale zachodzącej przebudowy </w:t>
      </w:r>
      <w:proofErr w:type="spellStart"/>
      <w:r>
        <w:t>kosci</w:t>
      </w:r>
      <w:proofErr w:type="spellEnd"/>
      <w:r>
        <w:t xml:space="preserve">; proces ten polega na niszczeniu jednych struktur (np. </w:t>
      </w:r>
      <w:proofErr w:type="spellStart"/>
      <w:r>
        <w:t>Osteonow</w:t>
      </w:r>
      <w:proofErr w:type="spellEnd"/>
      <w:r>
        <w:t xml:space="preserve">) i tworzeniu w ich miejsce nowych. Zapewnia to pule </w:t>
      </w:r>
      <w:proofErr w:type="spellStart"/>
      <w:r>
        <w:t>latwo</w:t>
      </w:r>
      <w:proofErr w:type="spellEnd"/>
      <w:r>
        <w:t xml:space="preserve"> dostępnych </w:t>
      </w:r>
      <w:proofErr w:type="spellStart"/>
      <w:r>
        <w:t>jonow</w:t>
      </w:r>
      <w:proofErr w:type="spellEnd"/>
      <w:r>
        <w:t xml:space="preserve"> wapniowych, które </w:t>
      </w:r>
      <w:proofErr w:type="spellStart"/>
      <w:r>
        <w:t>sa</w:t>
      </w:r>
      <w:proofErr w:type="spellEnd"/>
      <w:r>
        <w:t xml:space="preserve"> mobilizowane przez osteocyty, ze </w:t>
      </w:r>
      <w:proofErr w:type="spellStart"/>
      <w:r>
        <w:t>slabo</w:t>
      </w:r>
      <w:proofErr w:type="spellEnd"/>
      <w:r>
        <w:t xml:space="preserve"> zmineralizowanej, nowo utworzonej istoty </w:t>
      </w:r>
      <w:proofErr w:type="spellStart"/>
      <w:r>
        <w:t>miedzykomorkowej</w:t>
      </w:r>
      <w:proofErr w:type="spellEnd"/>
      <w:r>
        <w:t>;</w:t>
      </w:r>
    </w:p>
    <w:p w14:paraId="1F80F769" w14:textId="1D7ED897" w:rsidR="00994C76" w:rsidRDefault="00994C76" w:rsidP="00994C76">
      <w:pPr>
        <w:pStyle w:val="ListParagraph"/>
        <w:numPr>
          <w:ilvl w:val="0"/>
          <w:numId w:val="39"/>
        </w:numPr>
        <w:jc w:val="both"/>
      </w:pPr>
      <w:r>
        <w:t xml:space="preserve">blaszki podstawowe zewnętrzne, </w:t>
      </w:r>
      <w:proofErr w:type="spellStart"/>
      <w:r>
        <w:t>lezace</w:t>
      </w:r>
      <w:proofErr w:type="spellEnd"/>
      <w:r>
        <w:t xml:space="preserve"> w kilku podkładach pod okostna;</w:t>
      </w:r>
    </w:p>
    <w:p w14:paraId="7EE7CBB5" w14:textId="30665E0F" w:rsidR="00994C76" w:rsidRDefault="00994C76" w:rsidP="00994C76">
      <w:pPr>
        <w:pStyle w:val="ListParagraph"/>
        <w:numPr>
          <w:ilvl w:val="0"/>
          <w:numId w:val="39"/>
        </w:numPr>
        <w:jc w:val="both"/>
      </w:pPr>
      <w:r>
        <w:lastRenderedPageBreak/>
        <w:t xml:space="preserve">blaszki podstawowe wewnętrze, </w:t>
      </w:r>
      <w:proofErr w:type="spellStart"/>
      <w:r>
        <w:t>otaczajace</w:t>
      </w:r>
      <w:proofErr w:type="spellEnd"/>
      <w:r>
        <w:t xml:space="preserve"> </w:t>
      </w:r>
      <w:proofErr w:type="spellStart"/>
      <w:r>
        <w:t>kosc</w:t>
      </w:r>
      <w:proofErr w:type="spellEnd"/>
      <w:r>
        <w:t xml:space="preserve"> od strony jamy szpikowej. </w:t>
      </w:r>
      <w:proofErr w:type="spellStart"/>
      <w:r>
        <w:t>Kosc</w:t>
      </w:r>
      <w:proofErr w:type="spellEnd"/>
      <w:r>
        <w:t xml:space="preserve"> zbita pokryta jest okostna. Stanowi ona </w:t>
      </w:r>
      <w:proofErr w:type="spellStart"/>
      <w:r>
        <w:t>ciagla</w:t>
      </w:r>
      <w:proofErr w:type="spellEnd"/>
      <w:r>
        <w:t xml:space="preserve"> </w:t>
      </w:r>
      <w:proofErr w:type="spellStart"/>
      <w:r>
        <w:t>blone</w:t>
      </w:r>
      <w:proofErr w:type="spellEnd"/>
      <w:r>
        <w:t xml:space="preserve">, nie </w:t>
      </w:r>
      <w:proofErr w:type="spellStart"/>
      <w:r>
        <w:t>wystepuje</w:t>
      </w:r>
      <w:proofErr w:type="spellEnd"/>
      <w:r>
        <w:t xml:space="preserve"> jedynie w </w:t>
      </w:r>
      <w:proofErr w:type="spellStart"/>
      <w:r>
        <w:t>obrebie</w:t>
      </w:r>
      <w:proofErr w:type="spellEnd"/>
      <w:r>
        <w:t xml:space="preserve"> </w:t>
      </w:r>
      <w:proofErr w:type="spellStart"/>
      <w:r>
        <w:t>stawow</w:t>
      </w:r>
      <w:proofErr w:type="spellEnd"/>
      <w:r>
        <w:t>. Okostna zbudowana jest z dwóch warstw</w:t>
      </w:r>
      <w:r w:rsidR="002C13D5">
        <w:t xml:space="preserve">: warstwę </w:t>
      </w:r>
      <w:proofErr w:type="spellStart"/>
      <w:r w:rsidR="002C13D5">
        <w:t>zewnetrzna</w:t>
      </w:r>
      <w:proofErr w:type="spellEnd"/>
      <w:r w:rsidR="002C13D5">
        <w:t xml:space="preserve"> tworzy zbita tkanka </w:t>
      </w:r>
      <w:proofErr w:type="spellStart"/>
      <w:r w:rsidR="002C13D5">
        <w:t>laczna</w:t>
      </w:r>
      <w:proofErr w:type="spellEnd"/>
      <w:r w:rsidR="002C13D5">
        <w:t xml:space="preserve">, od której odchodzą </w:t>
      </w:r>
      <w:proofErr w:type="spellStart"/>
      <w:r w:rsidR="002C13D5">
        <w:t>wlokna</w:t>
      </w:r>
      <w:proofErr w:type="spellEnd"/>
      <w:r w:rsidR="002C13D5">
        <w:t xml:space="preserve"> zakotwiczone okostna do </w:t>
      </w:r>
      <w:proofErr w:type="spellStart"/>
      <w:r w:rsidR="002C13D5">
        <w:t>kosci</w:t>
      </w:r>
      <w:proofErr w:type="spellEnd"/>
      <w:r w:rsidR="002C13D5">
        <w:t xml:space="preserve"> (</w:t>
      </w:r>
      <w:proofErr w:type="spellStart"/>
      <w:r w:rsidR="002C13D5">
        <w:t>wlokna</w:t>
      </w:r>
      <w:proofErr w:type="spellEnd"/>
      <w:r w:rsidR="002C13D5">
        <w:t xml:space="preserve"> </w:t>
      </w:r>
      <w:proofErr w:type="spellStart"/>
      <w:r w:rsidR="002C13D5">
        <w:t>Sharpeya</w:t>
      </w:r>
      <w:proofErr w:type="spellEnd"/>
      <w:r w:rsidR="002C13D5">
        <w:t xml:space="preserve">), natomiast warstwa </w:t>
      </w:r>
      <w:proofErr w:type="spellStart"/>
      <w:r w:rsidR="002C13D5">
        <w:t>wewnetrzna</w:t>
      </w:r>
      <w:proofErr w:type="spellEnd"/>
      <w:r w:rsidR="002C13D5">
        <w:t xml:space="preserve"> jest </w:t>
      </w:r>
      <w:proofErr w:type="spellStart"/>
      <w:r w:rsidR="002C13D5">
        <w:t>luzniejsza</w:t>
      </w:r>
      <w:proofErr w:type="spellEnd"/>
      <w:r w:rsidR="002C13D5">
        <w:t>, zawiera liczne naczynia i komórki macierzyste (</w:t>
      </w:r>
      <w:proofErr w:type="spellStart"/>
      <w:r w:rsidR="002C13D5">
        <w:t>osteogenne</w:t>
      </w:r>
      <w:proofErr w:type="spellEnd"/>
      <w:r w:rsidR="002C13D5">
        <w:t xml:space="preserve">), które mogą się </w:t>
      </w:r>
      <w:proofErr w:type="spellStart"/>
      <w:r w:rsidR="002C13D5">
        <w:t>roznicowac</w:t>
      </w:r>
      <w:proofErr w:type="spellEnd"/>
      <w:r w:rsidR="002C13D5">
        <w:t xml:space="preserve"> w osteoblasty.</w:t>
      </w:r>
    </w:p>
    <w:p w14:paraId="323BCC93" w14:textId="41629BE7" w:rsidR="00FB502E" w:rsidRDefault="00FB502E" w:rsidP="00FB502E">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C07807">
      <w:pPr>
        <w:pStyle w:val="Caption"/>
      </w:pPr>
      <w:r>
        <w:t xml:space="preserve">Rysunek </w:t>
      </w:r>
      <w:fldSimple w:instr=" SEQ Rysunek \* ARABIC ">
        <w:r>
          <w:rPr>
            <w:noProof/>
          </w:rPr>
          <w:t>2</w:t>
        </w:r>
      </w:fldSimple>
      <w:r w:rsidR="00C07807">
        <w:t xml:space="preserve">.  Budowa </w:t>
      </w:r>
      <w:proofErr w:type="spellStart"/>
      <w:r w:rsidR="00C07807">
        <w:t>kosci</w:t>
      </w:r>
      <w:proofErr w:type="spellEnd"/>
      <w:r w:rsidR="00C07807">
        <w:t xml:space="preserve"> zbitej. A. Fragment trzonu </w:t>
      </w:r>
      <w:proofErr w:type="spellStart"/>
      <w:r w:rsidR="00C07807">
        <w:t>kosci</w:t>
      </w:r>
      <w:proofErr w:type="spellEnd"/>
      <w:r w:rsidR="00C07807">
        <w:t xml:space="preserve"> długiej: os-blaszki systemowe tworzące osteon;  </w:t>
      </w:r>
      <w:proofErr w:type="spellStart"/>
      <w:r w:rsidR="00C07807">
        <w:t>bm</w:t>
      </w:r>
      <w:proofErr w:type="spellEnd"/>
      <w:r w:rsidR="00C07807">
        <w:t xml:space="preserve">-blaszki międzysystemowe; </w:t>
      </w:r>
      <w:proofErr w:type="spellStart"/>
      <w:r w:rsidR="00C07807">
        <w:t>bz</w:t>
      </w:r>
      <w:proofErr w:type="spellEnd"/>
      <w:r w:rsidR="00C07807">
        <w:t>/</w:t>
      </w:r>
      <w:proofErr w:type="spellStart"/>
      <w:r w:rsidR="00C07807">
        <w:t>bw</w:t>
      </w:r>
      <w:proofErr w:type="spellEnd"/>
      <w:r w:rsidR="00C07807">
        <w:t xml:space="preserve"> – blaszki podstawowe wewnętrzne i zewnętrzne; k-</w:t>
      </w:r>
      <w:proofErr w:type="spellStart"/>
      <w:r w:rsidR="00C07807">
        <w:t>kanal</w:t>
      </w:r>
      <w:proofErr w:type="spellEnd"/>
      <w:r w:rsidR="00C07807">
        <w:t xml:space="preserve"> </w:t>
      </w:r>
      <w:proofErr w:type="spellStart"/>
      <w:r w:rsidR="00C07807">
        <w:t>Haversa</w:t>
      </w:r>
      <w:proofErr w:type="spellEnd"/>
      <w:r w:rsidR="00C07807">
        <w:t>; ko-</w:t>
      </w:r>
      <w:proofErr w:type="spellStart"/>
      <w:r w:rsidR="00C07807">
        <w:t>kanal</w:t>
      </w:r>
      <w:proofErr w:type="spellEnd"/>
      <w:r w:rsidR="00C07807">
        <w:t xml:space="preserve"> odżywczy; o-okostna. B. Wycinek osteonu: k-</w:t>
      </w:r>
      <w:proofErr w:type="spellStart"/>
      <w:r w:rsidR="00C07807">
        <w:t>kanal</w:t>
      </w:r>
      <w:proofErr w:type="spellEnd"/>
      <w:r w:rsidR="00C07807">
        <w:t xml:space="preserve"> </w:t>
      </w:r>
      <w:proofErr w:type="spellStart"/>
      <w:r w:rsidR="00C07807">
        <w:t>Haversa</w:t>
      </w:r>
      <w:proofErr w:type="spellEnd"/>
      <w:r w:rsidR="00C07807">
        <w:t xml:space="preserve">; b-blaszki </w:t>
      </w:r>
      <w:proofErr w:type="spellStart"/>
      <w:r w:rsidR="00C07807">
        <w:t>kostne;j-jamka</w:t>
      </w:r>
      <w:proofErr w:type="spellEnd"/>
      <w:r w:rsidR="00C07807">
        <w:t xml:space="preserve"> kostna z odchodzącymi od niej kanalikami kostnymi. C. Osteocyty i </w:t>
      </w:r>
      <w:proofErr w:type="spellStart"/>
      <w:r w:rsidR="00C07807">
        <w:t>laczace</w:t>
      </w:r>
      <w:proofErr w:type="spellEnd"/>
      <w:r w:rsidR="00C07807">
        <w:t xml:space="preserve"> je wypustki (w)</w:t>
      </w:r>
    </w:p>
    <w:p w14:paraId="40D5BE8C" w14:textId="77777777" w:rsidR="006A4E34" w:rsidRDefault="006A4E34" w:rsidP="00302A31">
      <w:pPr>
        <w:pStyle w:val="Heading1"/>
        <w:numPr>
          <w:ilvl w:val="1"/>
          <w:numId w:val="2"/>
        </w:numPr>
        <w:jc w:val="both"/>
        <w:rPr>
          <w:rFonts w:cstheme="minorHAnsi"/>
        </w:rPr>
      </w:pPr>
      <w:r>
        <w:rPr>
          <w:rFonts w:cstheme="minorHAnsi"/>
        </w:rPr>
        <w:t>Istota gąbczasta</w:t>
      </w:r>
    </w:p>
    <w:p w14:paraId="62FBD84D" w14:textId="77821E48" w:rsidR="00ED02D4" w:rsidRDefault="00C07807" w:rsidP="00302A31">
      <w:pPr>
        <w:jc w:val="both"/>
      </w:pPr>
      <w:proofErr w:type="spellStart"/>
      <w:r>
        <w:t>Wystepuje</w:t>
      </w:r>
      <w:proofErr w:type="spellEnd"/>
      <w:r>
        <w:t xml:space="preserve"> w nasadach </w:t>
      </w:r>
      <w:proofErr w:type="spellStart"/>
      <w:r>
        <w:t>kosci</w:t>
      </w:r>
      <w:proofErr w:type="spellEnd"/>
      <w:r>
        <w:t xml:space="preserve"> długich oraz tworzy </w:t>
      </w:r>
      <w:proofErr w:type="spellStart"/>
      <w:r>
        <w:t>srodkoscie</w:t>
      </w:r>
      <w:proofErr w:type="spellEnd"/>
      <w:r>
        <w:t xml:space="preserve"> w kościach płaskich. Zbudowana jest z beleczek </w:t>
      </w:r>
      <w:proofErr w:type="spellStart"/>
      <w:r>
        <w:t>kosntych</w:t>
      </w:r>
      <w:proofErr w:type="spellEnd"/>
      <w:r>
        <w:t xml:space="preserve"> </w:t>
      </w:r>
      <w:r w:rsidR="000C50E0">
        <w:t xml:space="preserve">utworzonych przez </w:t>
      </w:r>
      <w:proofErr w:type="spellStart"/>
      <w:r w:rsidR="000C50E0">
        <w:t>rownolegle</w:t>
      </w:r>
      <w:proofErr w:type="spellEnd"/>
      <w:r w:rsidR="000C50E0">
        <w:t xml:space="preserve"> </w:t>
      </w:r>
      <w:proofErr w:type="spellStart"/>
      <w:r w:rsidR="000C50E0">
        <w:t>ulozone</w:t>
      </w:r>
      <w:proofErr w:type="spellEnd"/>
      <w:r w:rsidR="000C50E0">
        <w:t xml:space="preserve"> blaszki kostne, wraz z osteocytami. Grubość beleczek jest niewielka, stad osteocyty </w:t>
      </w:r>
      <w:proofErr w:type="spellStart"/>
      <w:r w:rsidR="000C50E0">
        <w:t>sa</w:t>
      </w:r>
      <w:proofErr w:type="spellEnd"/>
      <w:r w:rsidR="000C50E0">
        <w:t xml:space="preserve"> odżywiane poprzez kanaliki bezpośrednio od naczyń szpiku, który </w:t>
      </w:r>
      <w:proofErr w:type="spellStart"/>
      <w:r w:rsidR="000C50E0">
        <w:t>wypelnia</w:t>
      </w:r>
      <w:proofErr w:type="spellEnd"/>
      <w:r w:rsidR="000C50E0">
        <w:t xml:space="preserve"> przestrzenie pomiędzy beleczkami. Beleczki </w:t>
      </w:r>
      <w:proofErr w:type="spellStart"/>
      <w:r w:rsidR="000C50E0">
        <w:t>sa</w:t>
      </w:r>
      <w:proofErr w:type="spellEnd"/>
      <w:r w:rsidR="000C50E0">
        <w:t xml:space="preserve"> pokryte </w:t>
      </w:r>
      <w:proofErr w:type="spellStart"/>
      <w:r w:rsidR="000C50E0">
        <w:t>komorkami</w:t>
      </w:r>
      <w:proofErr w:type="spellEnd"/>
      <w:r w:rsidR="000C50E0">
        <w:t xml:space="preserve"> </w:t>
      </w:r>
      <w:proofErr w:type="spellStart"/>
      <w:r w:rsidR="000C50E0">
        <w:t>osteogennymi</w:t>
      </w:r>
      <w:proofErr w:type="spellEnd"/>
      <w:r w:rsidR="000C50E0">
        <w:t xml:space="preserve"> </w:t>
      </w:r>
      <w:proofErr w:type="spellStart"/>
      <w:r w:rsidR="000C50E0">
        <w:t>alo</w:t>
      </w:r>
      <w:proofErr w:type="spellEnd"/>
      <w:r w:rsidR="000C50E0">
        <w:t xml:space="preserve"> osteoblastami tworzącymi </w:t>
      </w:r>
      <w:proofErr w:type="spellStart"/>
      <w:r w:rsidR="000C50E0">
        <w:t>ciagla</w:t>
      </w:r>
      <w:proofErr w:type="spellEnd"/>
      <w:r w:rsidR="000C50E0">
        <w:t xml:space="preserve"> warstwę. W miejscu jej przerwania dochodzi do natychmiastowej resorpcji </w:t>
      </w:r>
      <w:proofErr w:type="spellStart"/>
      <w:r w:rsidR="000C50E0">
        <w:t>kosci</w:t>
      </w:r>
      <w:proofErr w:type="spellEnd"/>
      <w:r w:rsidR="000C50E0">
        <w:t>.</w:t>
      </w:r>
    </w:p>
    <w:p w14:paraId="5C9CB0D6" w14:textId="77777777" w:rsidR="00E00ED4" w:rsidRDefault="00E00ED4" w:rsidP="00302A31">
      <w:pPr>
        <w:jc w:val="both"/>
      </w:pPr>
    </w:p>
    <w:p w14:paraId="0238F3CA" w14:textId="669ABAF9" w:rsidR="00E00ED4" w:rsidRDefault="00E00ED4" w:rsidP="00E00ED4">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E00ED4">
      <w:pPr>
        <w:jc w:val="both"/>
      </w:pPr>
      <w:proofErr w:type="spellStart"/>
      <w:r>
        <w:t>Wyrozniamy</w:t>
      </w:r>
      <w:proofErr w:type="spellEnd"/>
      <w:r>
        <w:t xml:space="preserve"> dwa rodzaje kostnienia: kostnienie na </w:t>
      </w:r>
      <w:proofErr w:type="spellStart"/>
      <w:r>
        <w:t>podlozu</w:t>
      </w:r>
      <w:proofErr w:type="spellEnd"/>
      <w:r>
        <w:t xml:space="preserve"> </w:t>
      </w:r>
      <w:r w:rsidR="00797EA7">
        <w:t xml:space="preserve">mezenchymatycznym i kostnienie na </w:t>
      </w:r>
      <w:proofErr w:type="spellStart"/>
      <w:r w:rsidR="00797EA7">
        <w:t>podlozu</w:t>
      </w:r>
      <w:proofErr w:type="spellEnd"/>
      <w:r w:rsidR="00797EA7">
        <w:t xml:space="preserve"> chrzestnym. W obu przypadkach tkanka kostna powstaje z mezenchymy, a okresowa obecność chrząstki tworzącej pierwotny szkielet pozwala jedynie na zwiększenie szybkości procesu. </w:t>
      </w:r>
    </w:p>
    <w:p w14:paraId="71E8B80C" w14:textId="77777777" w:rsidR="00797EA7" w:rsidRDefault="00797EA7" w:rsidP="00E00ED4">
      <w:pPr>
        <w:jc w:val="both"/>
      </w:pPr>
    </w:p>
    <w:p w14:paraId="282767D3" w14:textId="34D66E34" w:rsidR="00797EA7" w:rsidRDefault="00797EA7" w:rsidP="00797EA7">
      <w:pPr>
        <w:pStyle w:val="ListParagraph"/>
        <w:numPr>
          <w:ilvl w:val="2"/>
          <w:numId w:val="2"/>
        </w:numPr>
        <w:jc w:val="both"/>
      </w:pPr>
      <w:r>
        <w:lastRenderedPageBreak/>
        <w:t xml:space="preserve">Kostninie na </w:t>
      </w:r>
      <w:proofErr w:type="spellStart"/>
      <w:r>
        <w:t>podlozu</w:t>
      </w:r>
      <w:proofErr w:type="spellEnd"/>
      <w:r>
        <w:t xml:space="preserve"> mezenchymatycznym (błoniastym) dotyczy większości </w:t>
      </w:r>
      <w:proofErr w:type="spellStart"/>
      <w:r>
        <w:t>kosci</w:t>
      </w:r>
      <w:proofErr w:type="spellEnd"/>
      <w:r>
        <w:t xml:space="preserve"> płaskich i można je umownie podzielić na kilka </w:t>
      </w:r>
      <w:proofErr w:type="spellStart"/>
      <w:r>
        <w:t>etapow</w:t>
      </w:r>
      <w:proofErr w:type="spellEnd"/>
      <w:r>
        <w:t>:</w:t>
      </w:r>
    </w:p>
    <w:p w14:paraId="6754A1F7" w14:textId="358EEC6A" w:rsidR="00797EA7" w:rsidRDefault="00797EA7" w:rsidP="00797EA7">
      <w:pPr>
        <w:ind w:left="360"/>
        <w:jc w:val="both"/>
      </w:pPr>
      <w:r>
        <w:t>1. W mezenchymie powstają silnie unaczynione obszary</w:t>
      </w:r>
      <w:bookmarkStart w:id="1" w:name="_GoBack"/>
      <w:bookmarkEnd w:id="1"/>
    </w:p>
    <w:p w14:paraId="0AC6CFA4" w14:textId="77777777" w:rsidR="00797EA7" w:rsidRPr="006A4E34" w:rsidRDefault="00797EA7" w:rsidP="00797EA7">
      <w:pPr>
        <w:jc w:val="both"/>
      </w:pPr>
    </w:p>
    <w:p w14:paraId="72A5DAD6" w14:textId="77777777" w:rsidR="006A4E34" w:rsidRDefault="006A4E34" w:rsidP="00302A31">
      <w:pPr>
        <w:jc w:val="both"/>
      </w:pPr>
    </w:p>
    <w:p w14:paraId="5FC92DEA" w14:textId="77777777" w:rsidR="006A4E34" w:rsidRDefault="006A4E34" w:rsidP="00302A31">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302A31">
      <w:pPr>
        <w:pStyle w:val="ListParagraph"/>
        <w:spacing w:after="160" w:line="259" w:lineRule="auto"/>
        <w:jc w:val="both"/>
      </w:pPr>
      <w:r>
        <w:t xml:space="preserve">   </w:t>
      </w:r>
    </w:p>
    <w:p w14:paraId="68B7D3E5" w14:textId="77777777" w:rsidR="006A4E34" w:rsidRDefault="006A4E34" w:rsidP="00302A31">
      <w:pPr>
        <w:jc w:val="both"/>
      </w:pPr>
      <w:r>
        <w:t>Naprężenia i odkształcenia</w:t>
      </w:r>
    </w:p>
    <w:p w14:paraId="6F48ED9A" w14:textId="77777777" w:rsidR="006A4E34" w:rsidRDefault="006A4E34" w:rsidP="00302A31">
      <w:pPr>
        <w:jc w:val="both"/>
      </w:pPr>
      <w:r>
        <w:t>Parametry materiałowe</w:t>
      </w:r>
    </w:p>
    <w:p w14:paraId="5BD01EFC" w14:textId="77777777" w:rsidR="006A4E34" w:rsidRPr="006A4E34" w:rsidRDefault="006A4E34" w:rsidP="00302A31">
      <w:pPr>
        <w:jc w:val="both"/>
      </w:pPr>
      <w:r>
        <w:t xml:space="preserve">Uogólnione prawo </w:t>
      </w:r>
      <w:proofErr w:type="spellStart"/>
      <w:r>
        <w:t>Hooke’a</w:t>
      </w:r>
      <w:proofErr w:type="spellEnd"/>
    </w:p>
    <w:p w14:paraId="5A419511" w14:textId="77777777" w:rsidR="006A4E34" w:rsidRDefault="006A4E34" w:rsidP="00302A31">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302A31">
      <w:pPr>
        <w:jc w:val="both"/>
        <w:rPr>
          <w:rFonts w:cstheme="minorHAnsi"/>
        </w:rPr>
      </w:pPr>
      <w:r>
        <w:rPr>
          <w:rFonts w:cstheme="minorHAnsi"/>
        </w:rPr>
        <w:t xml:space="preserve"> </w:t>
      </w:r>
    </w:p>
    <w:p w14:paraId="300B6ACD" w14:textId="77777777" w:rsidR="006A4E34" w:rsidRPr="006A4E34" w:rsidRDefault="006A4E34" w:rsidP="00302A31">
      <w:pPr>
        <w:jc w:val="both"/>
        <w:rPr>
          <w:rFonts w:cstheme="minorHAnsi"/>
        </w:rPr>
      </w:pPr>
      <w:r>
        <w:rPr>
          <w:rFonts w:cstheme="minorHAnsi"/>
        </w:rPr>
        <w:t>w</w:t>
      </w:r>
      <w:r>
        <w:t>yznaczanie mechanicznych właściwości kości</w:t>
      </w:r>
    </w:p>
    <w:p w14:paraId="410D1463" w14:textId="77777777" w:rsidR="006A4E34" w:rsidRDefault="006A4E34" w:rsidP="00302A31">
      <w:pPr>
        <w:jc w:val="both"/>
      </w:pPr>
      <w:r>
        <w:t>Wartości doświadczalne parametrów wytrzymałościowych kości</w:t>
      </w:r>
    </w:p>
    <w:p w14:paraId="2DD3F29B" w14:textId="77777777" w:rsidR="006A4E34" w:rsidRDefault="006A4E34" w:rsidP="00302A31">
      <w:pPr>
        <w:jc w:val="both"/>
      </w:pPr>
      <w:r>
        <w:t xml:space="preserve">Zależność między modułem </w:t>
      </w:r>
      <w:proofErr w:type="spellStart"/>
      <w:r>
        <w:t>Young’a</w:t>
      </w:r>
      <w:proofErr w:type="spellEnd"/>
      <w:r>
        <w:t>, a gęstością kości</w:t>
      </w:r>
    </w:p>
    <w:p w14:paraId="370EF994" w14:textId="77777777" w:rsidR="006A4E34" w:rsidRDefault="006A4E34" w:rsidP="00302A31">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302A31">
      <w:pPr>
        <w:jc w:val="both"/>
      </w:pPr>
    </w:p>
    <w:p w14:paraId="37CEEB61" w14:textId="77777777" w:rsidR="006A4E34" w:rsidRPr="00BF09B6" w:rsidRDefault="006A4E34" w:rsidP="00302A31">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302A31">
      <w:pPr>
        <w:pStyle w:val="Heading1"/>
        <w:numPr>
          <w:ilvl w:val="0"/>
          <w:numId w:val="2"/>
        </w:numPr>
        <w:jc w:val="both"/>
        <w:rPr>
          <w:rFonts w:cstheme="minorHAnsi"/>
        </w:rPr>
      </w:pPr>
      <w:r>
        <w:rPr>
          <w:rFonts w:cstheme="minorHAnsi"/>
        </w:rPr>
        <w:t>Tomografia komputerowa</w:t>
      </w:r>
    </w:p>
    <w:p w14:paraId="6F3FC436" w14:textId="77777777" w:rsidR="006A4E34" w:rsidRDefault="006A4E34" w:rsidP="00302A31">
      <w:pPr>
        <w:jc w:val="both"/>
      </w:pPr>
    </w:p>
    <w:p w14:paraId="7C5734E3" w14:textId="77777777" w:rsidR="008D0D60" w:rsidRPr="008D0D60" w:rsidRDefault="006A4E34" w:rsidP="00302A31">
      <w:pPr>
        <w:jc w:val="both"/>
      </w:pPr>
      <w:r>
        <w:t>Krótko jak działa i jaki daje wynik.</w:t>
      </w:r>
    </w:p>
    <w:p w14:paraId="3894F09C" w14:textId="77777777" w:rsidR="00BF09B6" w:rsidRDefault="00ED02D4" w:rsidP="00302A31">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302A31">
      <w:pPr>
        <w:jc w:val="both"/>
      </w:pPr>
    </w:p>
    <w:p w14:paraId="4A45326B" w14:textId="77777777" w:rsidR="00157B89" w:rsidRDefault="00ED02D4" w:rsidP="00302A31">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302A31">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302A31">
      <w:pPr>
        <w:jc w:val="both"/>
      </w:pPr>
    </w:p>
    <w:p w14:paraId="2A477AC4" w14:textId="77777777" w:rsidR="00ED02D4" w:rsidRPr="00ED02D4" w:rsidRDefault="00ED02D4" w:rsidP="00302A31">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302A31">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302A31">
      <w:pPr>
        <w:jc w:val="both"/>
      </w:pPr>
    </w:p>
    <w:p w14:paraId="10419D5B" w14:textId="77777777" w:rsidR="00ED02D4" w:rsidRPr="00ED02D4" w:rsidRDefault="00ED02D4" w:rsidP="00302A31">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302A31">
      <w:pPr>
        <w:pStyle w:val="Heading1"/>
        <w:ind w:left="720" w:firstLine="0"/>
        <w:jc w:val="both"/>
        <w:rPr>
          <w:rFonts w:cstheme="minorHAnsi"/>
        </w:rPr>
      </w:pPr>
    </w:p>
    <w:p w14:paraId="32D88878" w14:textId="77777777" w:rsidR="005270F8" w:rsidRDefault="005270F8" w:rsidP="00302A31">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302A31">
      <w:pPr>
        <w:jc w:val="both"/>
      </w:pPr>
    </w:p>
    <w:p w14:paraId="4939FE6B" w14:textId="77777777" w:rsidR="005270F8" w:rsidRDefault="005270F8" w:rsidP="00302A31">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302A31">
      <w:pPr>
        <w:jc w:val="both"/>
      </w:pPr>
    </w:p>
    <w:p w14:paraId="103AB48A" w14:textId="77777777" w:rsidR="005270F8" w:rsidRDefault="005270F8" w:rsidP="00302A31">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302A31">
      <w:pPr>
        <w:jc w:val="both"/>
      </w:pPr>
    </w:p>
    <w:p w14:paraId="4F5778CB" w14:textId="77777777" w:rsidR="005270F8" w:rsidRPr="005270F8" w:rsidRDefault="005270F8" w:rsidP="00302A31">
      <w:pPr>
        <w:jc w:val="both"/>
      </w:pPr>
    </w:p>
    <w:sectPr w:rsidR="005270F8" w:rsidRPr="005270F8" w:rsidSect="004E6869">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797EA7" w:rsidRDefault="00797EA7" w:rsidP="00E43F6F">
      <w:r>
        <w:separator/>
      </w:r>
    </w:p>
  </w:endnote>
  <w:endnote w:type="continuationSeparator" w:id="0">
    <w:p w14:paraId="77401F87" w14:textId="77777777" w:rsidR="00797EA7" w:rsidRDefault="00797EA7"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797EA7" w:rsidRDefault="00797EA7">
        <w:pPr>
          <w:pStyle w:val="Footer"/>
          <w:jc w:val="center"/>
        </w:pPr>
        <w:r>
          <w:fldChar w:fldCharType="begin"/>
        </w:r>
        <w:r>
          <w:instrText xml:space="preserve"> PAGE   \* MERGEFORMAT </w:instrText>
        </w:r>
        <w:r>
          <w:fldChar w:fldCharType="separate"/>
        </w:r>
        <w:r w:rsidR="000F5C6C">
          <w:rPr>
            <w:noProof/>
          </w:rPr>
          <w:t>11</w:t>
        </w:r>
        <w:r>
          <w:rPr>
            <w:noProof/>
          </w:rPr>
          <w:fldChar w:fldCharType="end"/>
        </w:r>
      </w:p>
    </w:sdtContent>
  </w:sdt>
  <w:p w14:paraId="5F56A446" w14:textId="77777777" w:rsidR="00797EA7" w:rsidRDefault="00797E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797EA7" w:rsidRDefault="00797EA7" w:rsidP="00E43F6F">
      <w:r>
        <w:separator/>
      </w:r>
    </w:p>
  </w:footnote>
  <w:footnote w:type="continuationSeparator" w:id="0">
    <w:p w14:paraId="3730CED8" w14:textId="77777777" w:rsidR="00797EA7" w:rsidRDefault="00797EA7" w:rsidP="00E43F6F">
      <w:r>
        <w:continuationSeparator/>
      </w:r>
    </w:p>
  </w:footnote>
  <w:footnote w:id="1">
    <w:p w14:paraId="2B687CC2" w14:textId="25ABA9F2" w:rsidR="00797EA7" w:rsidRDefault="00797EA7">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2">
    <w:p w14:paraId="6286D938" w14:textId="667CBF0F" w:rsidR="00797EA7" w:rsidRDefault="00797EA7">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3">
    <w:p w14:paraId="6A4822C4" w14:textId="77777777" w:rsidR="00797EA7" w:rsidRPr="003E643F" w:rsidRDefault="00797EA7"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4">
    <w:p w14:paraId="6C6AA8D8" w14:textId="77777777" w:rsidR="00797EA7" w:rsidRPr="001E5290" w:rsidRDefault="00797EA7"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5">
    <w:p w14:paraId="52DC5909" w14:textId="77777777" w:rsidR="00797EA7" w:rsidRPr="00C21CF6" w:rsidRDefault="00797EA7"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6">
    <w:p w14:paraId="6A507DC4" w14:textId="77777777" w:rsidR="00797EA7" w:rsidRPr="004A7AF4" w:rsidRDefault="00797EA7"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7">
    <w:p w14:paraId="2CF5BDB1" w14:textId="77777777" w:rsidR="00797EA7" w:rsidRPr="00CA182C" w:rsidRDefault="00797EA7"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8">
    <w:p w14:paraId="6A7B01F2" w14:textId="77777777" w:rsidR="00797EA7" w:rsidRDefault="00797EA7"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797EA7" w:rsidRDefault="00797EA7"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0">
    <w:p w14:paraId="238D5B2B" w14:textId="7404B0DF" w:rsidR="00797EA7" w:rsidRDefault="00797EA7">
      <w:pPr>
        <w:pStyle w:val="FootnoteText"/>
      </w:pPr>
      <w:r>
        <w:rPr>
          <w:rStyle w:val="FootnoteReference"/>
        </w:rPr>
        <w:footnoteRef/>
      </w:r>
      <w:r>
        <w:t xml:space="preserve"> </w:t>
      </w:r>
    </w:p>
  </w:footnote>
  <w:footnote w:id="11">
    <w:p w14:paraId="3B1939C9" w14:textId="67B06044" w:rsidR="00797EA7" w:rsidRDefault="00797EA7">
      <w:pPr>
        <w:pStyle w:val="FootnoteText"/>
      </w:pPr>
      <w:r>
        <w:rPr>
          <w:rStyle w:val="FootnoteReference"/>
        </w:rPr>
        <w:footnoteRef/>
      </w:r>
      <w:r>
        <w:t xml:space="preserve"> </w:t>
      </w:r>
    </w:p>
  </w:footnote>
  <w:footnote w:id="12">
    <w:p w14:paraId="1EA8248D" w14:textId="0C6AEDBD" w:rsidR="00797EA7" w:rsidRDefault="00797EA7">
      <w:pPr>
        <w:pStyle w:val="FootnoteText"/>
      </w:pPr>
      <w:r>
        <w:rPr>
          <w:rStyle w:val="FootnoteReference"/>
        </w:rPr>
        <w:footnoteRef/>
      </w:r>
      <w:r>
        <w:t xml:space="preserve"> </w:t>
      </w:r>
    </w:p>
  </w:footnote>
  <w:footnote w:id="13">
    <w:p w14:paraId="6504BF77" w14:textId="258A00E7" w:rsidR="00797EA7" w:rsidRDefault="00797EA7">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4">
    <w:p w14:paraId="41BC1866" w14:textId="028FC3BD" w:rsidR="00797EA7" w:rsidRDefault="00797EA7">
      <w:pPr>
        <w:pStyle w:val="FootnoteText"/>
      </w:pPr>
      <w:r>
        <w:rPr>
          <w:rStyle w:val="FootnoteReference"/>
        </w:rPr>
        <w:footnoteRef/>
      </w:r>
      <w:r>
        <w:t xml:space="preserve"> </w:t>
      </w:r>
    </w:p>
  </w:footnote>
  <w:footnote w:id="15">
    <w:p w14:paraId="7D8DF0EF" w14:textId="2AB8EC8C" w:rsidR="00797EA7" w:rsidRDefault="00797EA7">
      <w:pPr>
        <w:pStyle w:val="FootnoteText"/>
      </w:pPr>
      <w:r>
        <w:rPr>
          <w:rStyle w:val="FootnoteReference"/>
        </w:rPr>
        <w:footnoteRef/>
      </w:r>
      <w:r>
        <w:t xml:space="preserve"> </w:t>
      </w:r>
    </w:p>
  </w:footnote>
  <w:footnote w:id="16">
    <w:p w14:paraId="22E6DA91" w14:textId="112F91EB" w:rsidR="00797EA7" w:rsidRDefault="00797EA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0">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14"/>
  </w:num>
  <w:num w:numId="5">
    <w:abstractNumId w:val="19"/>
  </w:num>
  <w:num w:numId="6">
    <w:abstractNumId w:val="2"/>
  </w:num>
  <w:num w:numId="7">
    <w:abstractNumId w:val="1"/>
  </w:num>
  <w:num w:numId="8">
    <w:abstractNumId w:val="27"/>
  </w:num>
  <w:num w:numId="9">
    <w:abstractNumId w:val="25"/>
  </w:num>
  <w:num w:numId="10">
    <w:abstractNumId w:val="18"/>
  </w:num>
  <w:num w:numId="11">
    <w:abstractNumId w:val="5"/>
  </w:num>
  <w:num w:numId="12">
    <w:abstractNumId w:val="32"/>
  </w:num>
  <w:num w:numId="13">
    <w:abstractNumId w:val="34"/>
  </w:num>
  <w:num w:numId="14">
    <w:abstractNumId w:val="30"/>
  </w:num>
  <w:num w:numId="15">
    <w:abstractNumId w:val="13"/>
  </w:num>
  <w:num w:numId="16">
    <w:abstractNumId w:val="12"/>
  </w:num>
  <w:num w:numId="17">
    <w:abstractNumId w:val="26"/>
  </w:num>
  <w:num w:numId="18">
    <w:abstractNumId w:val="23"/>
  </w:num>
  <w:num w:numId="19">
    <w:abstractNumId w:val="8"/>
  </w:num>
  <w:num w:numId="20">
    <w:abstractNumId w:val="33"/>
  </w:num>
  <w:num w:numId="21">
    <w:abstractNumId w:val="36"/>
  </w:num>
  <w:num w:numId="22">
    <w:abstractNumId w:val="0"/>
  </w:num>
  <w:num w:numId="23">
    <w:abstractNumId w:val="38"/>
  </w:num>
  <w:num w:numId="24">
    <w:abstractNumId w:val="35"/>
  </w:num>
  <w:num w:numId="25">
    <w:abstractNumId w:val="20"/>
  </w:num>
  <w:num w:numId="26">
    <w:abstractNumId w:val="16"/>
  </w:num>
  <w:num w:numId="27">
    <w:abstractNumId w:val="21"/>
  </w:num>
  <w:num w:numId="28">
    <w:abstractNumId w:val="11"/>
  </w:num>
  <w:num w:numId="29">
    <w:abstractNumId w:val="29"/>
  </w:num>
  <w:num w:numId="30">
    <w:abstractNumId w:val="24"/>
  </w:num>
  <w:num w:numId="31">
    <w:abstractNumId w:val="10"/>
  </w:num>
  <w:num w:numId="32">
    <w:abstractNumId w:val="15"/>
  </w:num>
  <w:num w:numId="33">
    <w:abstractNumId w:val="9"/>
  </w:num>
  <w:num w:numId="34">
    <w:abstractNumId w:val="17"/>
  </w:num>
  <w:num w:numId="35">
    <w:abstractNumId w:val="37"/>
  </w:num>
  <w:num w:numId="36">
    <w:abstractNumId w:val="28"/>
  </w:num>
  <w:num w:numId="37">
    <w:abstractNumId w:val="31"/>
  </w:num>
  <w:num w:numId="38">
    <w:abstractNumId w:val="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3644"/>
    <w:rsid w:val="000B5A06"/>
    <w:rsid w:val="000C50E0"/>
    <w:rsid w:val="000C536C"/>
    <w:rsid w:val="000C680A"/>
    <w:rsid w:val="000D1445"/>
    <w:rsid w:val="000E10AD"/>
    <w:rsid w:val="000F5C6C"/>
    <w:rsid w:val="0010503E"/>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0CC4"/>
    <w:rsid w:val="002C13D5"/>
    <w:rsid w:val="002C514C"/>
    <w:rsid w:val="002D2270"/>
    <w:rsid w:val="002D4778"/>
    <w:rsid w:val="002D4A50"/>
    <w:rsid w:val="002E12E9"/>
    <w:rsid w:val="002E13E0"/>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5F8"/>
    <w:rsid w:val="005122DB"/>
    <w:rsid w:val="00513981"/>
    <w:rsid w:val="00523AFF"/>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D19D4"/>
    <w:rsid w:val="007D422E"/>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519CE"/>
    <w:rsid w:val="00853A26"/>
    <w:rsid w:val="008572B3"/>
    <w:rsid w:val="00881051"/>
    <w:rsid w:val="00881073"/>
    <w:rsid w:val="00895963"/>
    <w:rsid w:val="008A48B4"/>
    <w:rsid w:val="008A635D"/>
    <w:rsid w:val="008A6A1C"/>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4C76"/>
    <w:rsid w:val="0099633D"/>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2E29"/>
    <w:rsid w:val="00BB721A"/>
    <w:rsid w:val="00BD3302"/>
    <w:rsid w:val="00BD746C"/>
    <w:rsid w:val="00BF09B6"/>
    <w:rsid w:val="00BF3A35"/>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0ED4"/>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81BCF"/>
    <w:rsid w:val="00F8659F"/>
    <w:rsid w:val="00F919FA"/>
    <w:rsid w:val="00FA6794"/>
    <w:rsid w:val="00FB2511"/>
    <w:rsid w:val="00FB2E3A"/>
    <w:rsid w:val="00FB2E5C"/>
    <w:rsid w:val="00FB3C90"/>
    <w:rsid w:val="00FB502E"/>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D8DE5-94B9-3346-BB7C-703167B0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2332</Words>
  <Characters>13298</Characters>
  <Application>Microsoft Macintosh Word</Application>
  <DocSecurity>0</DocSecurity>
  <Lines>110</Lines>
  <Paragraphs>31</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15599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19</cp:revision>
  <cp:lastPrinted>2013-10-17T11:15:00Z</cp:lastPrinted>
  <dcterms:created xsi:type="dcterms:W3CDTF">2014-10-20T14:45:00Z</dcterms:created>
  <dcterms:modified xsi:type="dcterms:W3CDTF">2014-10-21T16:34:00Z</dcterms:modified>
</cp:coreProperties>
</file>