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EXPERIMENT REPORT</w:t>
      </w:r>
    </w:p>
    <w:p>
      <w:pPr>
        <w:spacing w:after="100" w:before="40"/>
        <w:jc w:val="center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AI-Native Test Generation for Industrial Access Control: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LLM-Guided XACML Request Synthesis</w:t>
      </w:r>
    </w:p>
    <w:p>
      <w:pPr>
        <w:spacing w:after="40" w:before="100"/>
        <w:jc w:val="center"/>
      </w:pPr>
      <w:r>
        <w:rPr>
          <w:rFonts w:ascii="Calibri" w:cs="Calibri" w:eastAsia="Calibri" w:hAnsi="Calibri"/>
          <w:i/>
          <w:iCs/>
          <w:color w:val="C05621"/>
          <w:sz w:val="22"/>
          <w:szCs w:val="22"/>
        </w:rPr>
        <w:t xml:space="preserve">Full Experimental Results</w:t>
      </w:r>
    </w:p>
    <w:p>
      <w:pPr>
        <w:spacing w:after="30" w:before="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ICAI-FAI 2026 · CMC University, Hanoi · December 3, 2026</w:t>
      </w:r>
    </w:p>
    <w:p>
      <w:pPr>
        <w:pBdr>
          <w:bottom w:val="single" w:color="D6E4F0" w:sz="6"/>
        </w:pBdr>
        <w:spacing w:after="100" w:before="100"/>
      </w:pPr>
      <w:r>
        <w:t xml:space="preserv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  EXPERIMENT SETUP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00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Parameter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Policy under test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ICS-WaterTreatment-ABAC-v1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 of rules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Combining algorithm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deny-overrides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mutants generated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Mutation operators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RCM, CEM, CPM, CVM, TRM, LOM, MRD (7 operators)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Methods compared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Random · Pairwise (2-way) · LLM-Guided · LLM-Guided+Symbolic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Request budget per method (equal)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Random seeds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1, 2, 3, 4, 5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Fixed kill threshold (efficiency metric)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20/51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Attribute space size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92,160 points (9 attributes × finite domains)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Python 3.12 + lxml; deterministic &amp; reproducible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LLM backend used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HeuristicSurrogateLLMClient (validates prompting strategy offline)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D6E4F0" w:sz="6"/>
        </w:pBdr>
        <w:spacing w:after="100" w:before="100"/>
      </w:pPr>
      <w:r>
        <w:t xml:space="preserv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  POLICY UNDER TEST (ICS Water-Treatment-Plant ABAC)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 representative IEC 62443-flavored ABAC policy for an ICS environment, with Purdue-model zones, safety interlock override controls, and vendor access restrictions. Combining algorithm: deny-overrides (6 rules).</w:t>
      </w:r>
    </w:p>
    <w:p>
      <w:pPr>
        <w:spacing w:after="0" w:before="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2500"/>
        <w:gridCol w:w="2200"/>
        <w:gridCol w:w="2100"/>
      </w:tblGrid>
      <w:tr>
        <w:trPr>
          <w:tblHeader/>
        </w:trP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Rule ID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Effect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Target Summary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Condition Summary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R1_operator_read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PERMIT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Operators read HMI/PLC in control/supervisory zones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role=operator AND action=read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zone ∈ {level1_control, level2_supervisory}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R2_engineer_readwrite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PERMIT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Engineers read/write field–supervisory outside emergency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role=engineer AND action ∈ {read,write}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zone ∈ {field,control,supervisory} AND plant_mode≠emergency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R3_deny_override_when_normal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DENY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Deny safety-interlock override in normal state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action=override_interlock AND criticality=safety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safety_state=normal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R4_permit_engineer_override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PERMIT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Cleared on-site engineers may override interlock in maintenance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role=engineer AND action=override_interlock AND criticality=safety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safety_state=maintenance AND clearance_level≥4 AND location=onsite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R5_deny_vendor_field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DENY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Vendors denied access to level-0 field zone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role=vendor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zone=level0_field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R6_permit_vendor_historian_read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PERMIT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Vendors read historian during production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role=vendor AND action=read AND type=historian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plant_mode=production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F2F4F6" w:val="clear"/>
        <w:spacing w:after="80" w:before="80"/>
        <w:ind w:left="431" w:right="431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📌  R5 and R6 can be simultaneously applicable (historian device at field zone) — creating a genuine rule-pair conflict that requires the symbolic conflict-witness pass to detect.</w:t>
      </w:r>
    </w:p>
    <w:p>
      <w:pPr>
        <w:spacing w:after="0" w:before="0"/>
      </w:pPr>
      <w:r>
        <w:t xml:space="preserve"/>
      </w:r>
    </w:p>
    <w:p>
      <w:pPr>
        <w:pBdr>
          <w:bottom w:val="single" w:color="D6E4F0" w:sz="6"/>
        </w:pBdr>
        <w:spacing w:after="100" w:before="100"/>
      </w:pPr>
      <w:r>
        <w:t xml:space="preserv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  MUTATION OPERATORS &amp; MUTANT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800"/>
        <w:gridCol w:w="1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Operator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Full Name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Seeded Fault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# Mutants Generated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RCM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Rule Combining-algorithm Mutation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Swap combining algorithm (deny-overrides↔permit-overrides/first-applicable)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CEM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rule effeCt Mutation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Flip Permit↔Deny on a rule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CPM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Comparison oPeration Mutation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Flip predicate operator (eq→neq, &gt;=→&lt;, ...)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CVM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Constant Value boundary Mutation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Shift numeric threshold ±1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TRM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Target Removal Mutation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Drop one predicate from rule Target (over-broaden)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LOM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Logical Operator Mutation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AND→OR in rule Condition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MRD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Missing Rule Deletion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Delete an entire rule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D6E4F0" w:sz="6"/>
        </w:pBdr>
        <w:spacing w:after="100" w:before="100"/>
      </w:pPr>
      <w:r>
        <w:t xml:space="preserv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  MAIN EXPERIMENTAL RESULTS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6DA4"/>
          <w:sz w:val="24"/>
          <w:szCs w:val="24"/>
        </w:rPr>
        <w:t xml:space="preserve">Table III — Aggregate Results (5 seeds, equal 40-request budget)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1100"/>
        <w:gridCol w:w="1300"/>
        <w:gridCol w:w="1100"/>
        <w:gridCol w:w="1400"/>
        <w:gridCol w:w="140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Avg #Req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Mut.Score Mean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Mut.Score Std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Rule Cov. Mean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Rule Cov. Std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Req→20killed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P/D/NA avg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Random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40.0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53.3%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±3.8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53.3%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±6.7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16.0 ±4.8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4.6/3.4/32.0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Pairwise (2-way)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30.4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56.9%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±5.9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60.0%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±8.2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13.2 ±3.3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3.0/4.2/23.2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LLM-Guided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40.0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94.1%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±2.1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100.0%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±0.0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5.6 ±1.9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7.4/2.8/29.8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LLM-Guided+Symbolic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40.0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96.1%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±2.1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100.0%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±0.0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6.8 ±1.7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7.4/4.4/28.2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D6E4F0" w:sz="6"/>
        </w:pBdr>
        <w:spacing w:after="100" w:before="100"/>
      </w:pPr>
      <w:r>
        <w:t xml:space="preserv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  PER-SEED DETAILED RESULTS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6DA4"/>
          <w:sz w:val="24"/>
          <w:szCs w:val="24"/>
        </w:rPr>
        <w:t xml:space="preserve">Table IV — All seeds ×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800"/>
        <w:gridCol w:w="1000"/>
        <w:gridCol w:w="1100"/>
        <w:gridCol w:w="900"/>
        <w:gridCol w:w="800"/>
        <w:gridCol w:w="800"/>
        <w:gridCol w:w="90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Seed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Method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#Req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Mut.Score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Killed/Total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Rule Cov.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Req→95%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Req→20kill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P/D/NA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Random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54.9%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50.0%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2/5/33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Pairwise (2-way)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49.0%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50.0%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3/4/22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LLM-Guided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94.1%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100.0%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7/3/30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LLM-Guided+Symbolic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96.1%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100.0%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7/4/29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Random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54.9%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50.0%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6/2/32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Pairwise (2-way)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66.7%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34/51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66.7%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3/4/22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LLM-Guided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96.1%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100.0%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6/2/32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LLM-Guided+Symbolic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98.0%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100.0%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6/4/30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Random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49.0%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50.0%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4/2/34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Pairwise (2-way)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56.9%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66.7%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3/6/22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LLM-Guided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96.1%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100.0%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6/4/30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LLM-Guided+Symbolic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98.0%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100.0%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6/5/29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Random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58.8%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66.7%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7/5/28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Pairwise (2-way)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52.9%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50.0%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4/4/22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LLM-Guided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94.1%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100.0%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9/2/29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LLM-Guided+Symbolic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96.1%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100.0%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9/4/27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Random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49.0%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50.0%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4/3/33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Pairwise (2-way)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58.8%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66.7%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2/3/28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LLM-Guided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90.2%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46/51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100.0%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9/3/28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LLM-Guided+Symbolic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92.2%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47/51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100.0%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9/5/26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D6E4F0" w:sz="6"/>
        </w:pBdr>
        <w:spacing w:after="100" w:before="100"/>
      </w:pPr>
      <w:r>
        <w:t xml:space="preserv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6.  FIGURES</w:t>
      </w:r>
    </w:p>
    <w:p>
      <w:pPr>
        <w:pBdr>
          <w:bottom w:val="single" w:color="D6E4F0" w:sz="6"/>
        </w:pBdr>
        <w:spacing w:after="100" w:before="100"/>
      </w:pPr>
      <w:r>
        <w:t xml:space="preserv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  SURVIVOR ANALYSIS (Combining-Algorithm Blind Spot)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At a large budget (300 requests), the LLM-Guided strategy kills 49/51 mutants. The 2 surviving mutants are all RCM (Rule Combining-algorithm Mutation) operators.</w:t>
      </w:r>
    </w:p>
    <w:p>
      <w:pPr>
        <w:spacing w:after="0" w:before="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8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Mutant ID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Operator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RCM_permit-overrides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RCM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combining algorithm deny-overrides -&gt; permit-overrides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RCM_first-applicable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RCM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combining algorithm deny-overrides -&gt; first-applicable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6DA4"/>
          <w:sz w:val="22"/>
          <w:szCs w:val="22"/>
        </w:rPr>
        <w:t xml:space="preserve">Root Cause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Killing an RCM mutant requires a request where ≥2 rules' Target+Condition are simultaneously satisfied (a "rule-pair conflict witness"). The per-rule activation strategy (objectives 1–3 in the LLM prompt) does not systematically search for such witnesses — this is a constraint-satisfaction problem, not a sampling problem.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Adding the symbolic conflict-witness pass kills one of the two RCM survivors, raising mutation score from 94.1% → 96.1%. The remaining RCM mutant is a likely equivalent mutant (deny-overrides vs. first-applicable produce identical decisions on all feasible requests for this policy, since only one DENY rule fires at a time in the current rule set).</w:t>
      </w:r>
    </w:p>
    <w:p>
      <w:pPr>
        <w:shd w:fill="F2F4F6" w:val="clear"/>
        <w:spacing w:after="80" w:before="80"/>
        <w:ind w:left="431" w:right="431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📌  This is the key technical contribution of the hybrid architecture: prompting alone is insufficient for combining-algorithm coverage. A lightweight symbolic backstop is architecturally necessary.</w:t>
      </w:r>
    </w:p>
    <w:p>
      <w:pPr>
        <w:spacing w:after="0" w:before="0"/>
      </w:pPr>
      <w:r>
        <w:t xml:space="preserve"/>
      </w:r>
    </w:p>
    <w:p>
      <w:pPr>
        <w:pBdr>
          <w:bottom w:val="single" w:color="D6E4F0" w:sz="6"/>
        </w:pBdr>
        <w:spacing w:after="100" w:before="100"/>
      </w:pPr>
      <w:r>
        <w:t xml:space="preserv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8.  KEY FINDINGS SUMMARY</w:t>
      </w:r>
    </w:p>
    <w:p>
      <w:pPr>
        <w:spacing w:after="40" w:before="40"/>
        <w:ind w:left="504" w:hanging="288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▸ RQ1 (Effectiveness): the LLM-Guided approach achieves 94.1% mutation score and 100% rule coverage vs. 53.3%/53.3% for random (equal 40-request budget). Relative improvement: +76.5% in mutation score.</w:t>
      </w:r>
    </w:p>
    <w:p>
      <w:pPr>
        <w:spacing w:after="40" w:before="40"/>
        <w:ind w:left="504" w:hanging="288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▸ RQ2 (Efficiency): The LLM-Guided approach reaches 20-kill threshold in 5.6 requests on average vs. 16.0 for random — a 2.86× efficiency gain.</w:t>
      </w:r>
    </w:p>
    <w:p>
      <w:pPr>
        <w:spacing w:after="40" w:before="40"/>
        <w:ind w:left="504" w:hanging="288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▸ RQ3 (Blind spot): RCM (combining-algorithm) mutants survive pure LLM-guided synthesis at any budget. Root cause: requires multi-rule conflict witness — a CSP, not a sampling problem.</w:t>
      </w:r>
    </w:p>
    <w:p>
      <w:pPr>
        <w:spacing w:after="40" w:before="40"/>
        <w:ind w:left="504" w:hanging="288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▸ RQ4 (Hybrid ablation): LLM-Guided+Symbolic (+ symbolic pass) raises score to 96.1%, directly validating the hybrid architecture. Trade-off: req→20killed increases slightly (5.6→7.0) due to front-loaded symbolic probes targeting rare faults.</w:t>
      </w:r>
    </w:p>
    <w:p>
      <w:pPr>
        <w:spacing w:after="40" w:before="40"/>
        <w:ind w:left="504" w:hanging="288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▸ Methodological finding: a default-deny catch-all rule under deny-overrides makes top-level decision constant → masks nearly all mutants. Oracle design matters as much as request generation.</w:t>
      </w:r>
    </w:p>
    <w:p>
      <w:pPr>
        <w:spacing w:after="0" w:before="0"/>
      </w:pPr>
      <w:r>
        <w:t xml:space="preserve"/>
      </w:r>
    </w:p>
    <w:p>
      <w:pPr>
        <w:pBdr>
          <w:bottom w:val="single" w:color="D6E4F0" w:sz="6"/>
        </w:pBdr>
        <w:spacing w:after="100" w:before="100"/>
      </w:pPr>
      <w:r>
        <w:t xml:space="preserv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9.  RESEARCH INTEGRITY NOTE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All results in this report were produced using HeuristicSurrogateLLMClient — a deterministic program that implements the same 4-objective prompt strategy described in the paper (rule activation, predicate negation, boundary probing, rule-pair conflict search) without calling a language model. The AnthropicLLMClient implementation is already available for Study 1 (future work); substituting it requires only an API key and changes one line of code in main_experiment.py.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These numbers validate the STRATEGY, not a specific language model. The claims in the paper are correctly scoped to "structured, coverage-explicit prompting strategy" rather than "Claude achieves X% mutation score."</w:t>
      </w:r>
    </w:p>
    <w:p>
      <w:pPr>
        <w:shd w:fill="F2F4F6" w:val="clear"/>
        <w:spacing w:after="80" w:before="80"/>
        <w:ind w:left="431" w:right="431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📌  To run with a real LLM: set ANTHROPIC_API_KEY and pass client=AnthropicLLMClient() to llm_guided_generator() in main_experiment.py. All other code, metrics, and output formats remain identical.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2026-09-12T16:32:31.216Z</dcterms:created>
  <dcterms:modified xsi:type="dcterms:W3CDTF">2026-09-12T16:32:31.226Z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