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30/10/2023 – 4/11/2023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Blue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 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21127081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Minh Khoi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Project manager, Front-end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21127243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21127296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21127329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, Data Analys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512"/>
        <w:gridCol w:w="1710"/>
        <w:gridCol w:w="1530"/>
        <w:tblGridChange w:id="0">
          <w:tblGrid>
            <w:gridCol w:w="738"/>
            <w:gridCol w:w="4428"/>
            <w:gridCol w:w="1512"/>
            <w:gridCol w:w="1710"/>
            <w:gridCol w:w="1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 to finish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 to finish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TMHUyen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Weekly report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NMKhoi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Sprint review meeting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CTKiet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Sprint planning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review of the report will be carried out by the QA department prior to the report being presented to the Sponsor. (Responsible: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NMKhoi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Action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5025"/>
        <w:gridCol w:w="1575"/>
        <w:gridCol w:w="2580"/>
        <w:tblGridChange w:id="0">
          <w:tblGrid>
            <w:gridCol w:w="735"/>
            <w:gridCol w:w="5025"/>
            <w:gridCol w:w="1575"/>
            <w:gridCol w:w="258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Project Plan (50%)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DHHuy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Vision Document (50%)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NMKHoi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Use-case model (50%)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PSDat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Use-case specification (50%)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CTKiet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Use-case specification and report (50%)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TMHUyen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sionuNyCe6zqwvCPyyqmV9rpSA==">CgMxLjA4AHIhMUkxNXFfNkx2N29mMDRZQnFYRmVtYVdlSGNHbExKWlBw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