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23/10/2023 – 29/10/2023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Blue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 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Prepared by: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21127081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Minh Khoi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Project manager, Front-end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21127243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21127296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21127329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, Data Analys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512"/>
        <w:gridCol w:w="1710"/>
        <w:gridCol w:w="1530"/>
        <w:tblGridChange w:id="0">
          <w:tblGrid>
            <w:gridCol w:w="738"/>
            <w:gridCol w:w="4428"/>
            <w:gridCol w:w="1512"/>
            <w:gridCol w:w="1710"/>
            <w:gridCol w:w="1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review of the report will be carried out by the QA department prior to the report being presented to the Sponsor. (Responsible: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NMKhôi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Action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</w:p>
    <w:tbl>
      <w:tblPr>
        <w:tblStyle w:val="Table2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872"/>
        <w:gridCol w:w="2880"/>
        <w:tblGridChange w:id="0">
          <w:tblGrid>
            <w:gridCol w:w="738"/>
            <w:gridCol w:w="4428"/>
            <w:gridCol w:w="1872"/>
            <w:gridCol w:w="288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zR1anYCyZzgL2okMO61DsL/dZg==">AMUW2mUNsf/2V2MTJQa8bjRN9fJahT4JcKcw3HGd0zcRjVCRO6siEfJqMQKE3PGYFvpYOHiQwehSU8d0QctgzH/3D5oGFm+VZhraH34cagKsFIFzYITSs0k=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