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4"/>
          <w:szCs w:val="44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4"/>
          <w:szCs w:val="44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30/10/2023 – 4/11/2023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Group ID: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Blue 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 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 Alley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Prepared by: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21127081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Nguyen Minh Khoi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Project manager, Front-end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21127202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Tran Minh Hai Uyen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Tester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21127243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Phung Sieu Dat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Back-end Developer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  <w:t xml:space="preserve">21127296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Dang Ha Huy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UI/UX Designer,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21127329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Chau Tan Kiet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Front-end Developer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, Data Analys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4428"/>
        <w:gridCol w:w="1512"/>
        <w:gridCol w:w="1710"/>
        <w:gridCol w:w="1530"/>
        <w:tblGridChange w:id="0">
          <w:tblGrid>
            <w:gridCol w:w="738"/>
            <w:gridCol w:w="4428"/>
            <w:gridCol w:w="1512"/>
            <w:gridCol w:w="1710"/>
            <w:gridCol w:w="1530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%Complete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and impacts: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review of the report will be carried out by the QA department prior to the report being presented to the Sponsor. (Responsible: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NMKhoi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Action 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spacing w:before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week's goals:</w:t>
      </w:r>
    </w:p>
    <w:tbl>
      <w:tblPr>
        <w:tblStyle w:val="Table2"/>
        <w:tblW w:w="99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5"/>
        <w:gridCol w:w="5025"/>
        <w:gridCol w:w="1575"/>
        <w:gridCol w:w="2580"/>
        <w:tblGridChange w:id="0">
          <w:tblGrid>
            <w:gridCol w:w="735"/>
            <w:gridCol w:w="5025"/>
            <w:gridCol w:w="1575"/>
            <w:gridCol w:w="258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shd w:fill="004070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Responsibility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k1/PaZIarcEEmJGUHQmJ2pRpfOg==">AMUW2mW3sMfLdwirmUd6kFO28r4VsFCaOQCrKOP9p4xrj1JajiZhixhMgICa97uFx+8OQy8akgnx8lN3vPnd6BuLqrLCKXcsqU9d8BJYaVtJeNSdu+ArGZs=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